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0666237D" w:rsidR="008531DA" w:rsidRPr="00F46268" w:rsidRDefault="008531DA" w:rsidP="00F46268">
      <w:pPr>
        <w:pStyle w:val="Title2"/>
        <w:tabs>
          <w:tab w:val="clear" w:pos="648"/>
          <w:tab w:val="clear" w:pos="7776"/>
          <w:tab w:val="clear" w:pos="7848"/>
        </w:tabs>
        <w:rPr>
          <w:rFonts w:ascii="Book Antiqua" w:hAnsi="Book Antiqua"/>
          <w:lang w:val="es-PR"/>
        </w:rPr>
      </w:pPr>
      <w:r w:rsidRPr="00F46268">
        <w:rPr>
          <w:rFonts w:ascii="Book Antiqua" w:hAnsi="Book Antiqua"/>
          <w:lang w:val="es-PR"/>
        </w:rPr>
        <w:t xml:space="preserve"> </w:t>
      </w:r>
      <w:r w:rsidR="004E7A37" w:rsidRPr="00F46268">
        <w:rPr>
          <w:rFonts w:ascii="Book Antiqua" w:hAnsi="Book Antiqua"/>
          <w:lang w:val="es-PR"/>
        </w:rPr>
        <w:t xml:space="preserve">20ma. </w:t>
      </w:r>
      <w:r w:rsidRPr="00F46268">
        <w:rPr>
          <w:rFonts w:ascii="Book Antiqua" w:hAnsi="Book Antiqua"/>
          <w:lang w:val="es-PR"/>
        </w:rPr>
        <w:t>Asamblea</w:t>
      </w:r>
      <w:r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t xml:space="preserve">         </w:t>
      </w:r>
      <w:r w:rsidR="00F46268">
        <w:rPr>
          <w:rFonts w:ascii="Book Antiqua" w:hAnsi="Book Antiqua"/>
          <w:lang w:val="es-PR"/>
        </w:rPr>
        <w:t xml:space="preserve"> </w:t>
      </w:r>
      <w:r w:rsidR="0073562E" w:rsidRPr="00F46268">
        <w:rPr>
          <w:rFonts w:ascii="Book Antiqua" w:hAnsi="Book Antiqua"/>
          <w:lang w:val="es-PR"/>
        </w:rPr>
        <w:t>2d</w:t>
      </w:r>
      <w:r w:rsidR="004E7A37" w:rsidRPr="00F46268">
        <w:rPr>
          <w:rFonts w:ascii="Book Antiqua" w:hAnsi="Book Antiqua"/>
          <w:lang w:val="es-PR"/>
        </w:rPr>
        <w:t xml:space="preserve">a. </w:t>
      </w:r>
      <w:r w:rsidRPr="00F46268">
        <w:rPr>
          <w:rFonts w:ascii="Book Antiqua" w:hAnsi="Book Antiqua"/>
          <w:lang w:val="es-PR"/>
        </w:rPr>
        <w:t>Sesión</w:t>
      </w:r>
    </w:p>
    <w:p w14:paraId="35D1E365" w14:textId="29325FAF" w:rsidR="008531DA" w:rsidRPr="00F46268" w:rsidRDefault="008531DA" w:rsidP="00F46268">
      <w:pPr>
        <w:pStyle w:val="Title2"/>
        <w:tabs>
          <w:tab w:val="clear" w:pos="648"/>
          <w:tab w:val="clear" w:pos="7776"/>
          <w:tab w:val="clear" w:pos="7848"/>
        </w:tabs>
        <w:rPr>
          <w:rFonts w:ascii="Book Antiqua" w:hAnsi="Book Antiqua"/>
          <w:lang w:val="es-PR"/>
        </w:rPr>
      </w:pPr>
      <w:r w:rsidRPr="00F46268">
        <w:rPr>
          <w:rFonts w:ascii="Book Antiqua" w:hAnsi="Book Antiqua"/>
          <w:lang w:val="es-PR"/>
        </w:rPr>
        <w:tab/>
      </w:r>
      <w:r w:rsidR="004E7A37" w:rsidRPr="00F46268">
        <w:rPr>
          <w:rFonts w:ascii="Book Antiqua" w:hAnsi="Book Antiqua"/>
          <w:lang w:val="es-PR"/>
        </w:rPr>
        <w:t xml:space="preserve"> </w:t>
      </w:r>
      <w:r w:rsidRPr="00F46268">
        <w:rPr>
          <w:rFonts w:ascii="Book Antiqua" w:hAnsi="Book Antiqua"/>
          <w:lang w:val="es-PR"/>
        </w:rPr>
        <w:t>Legislativa</w:t>
      </w:r>
      <w:r w:rsidRPr="00F46268">
        <w:rPr>
          <w:rFonts w:ascii="Book Antiqua" w:hAnsi="Book Antiqua"/>
          <w:lang w:val="es-PR"/>
        </w:rPr>
        <w:tab/>
      </w:r>
      <w:r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r>
      <w:r w:rsidR="004E7A37" w:rsidRPr="00F46268">
        <w:rPr>
          <w:rFonts w:ascii="Book Antiqua" w:hAnsi="Book Antiqua"/>
          <w:lang w:val="es-PR"/>
        </w:rPr>
        <w:tab/>
        <w:t xml:space="preserve">      </w:t>
      </w:r>
      <w:r w:rsidRPr="00F46268">
        <w:rPr>
          <w:rFonts w:ascii="Book Antiqua" w:hAnsi="Book Antiqua"/>
          <w:lang w:val="es-PR"/>
        </w:rPr>
        <w:t>Ordinaria</w:t>
      </w:r>
    </w:p>
    <w:p w14:paraId="500D6C43" w14:textId="77777777" w:rsidR="008531DA" w:rsidRPr="00F46268" w:rsidRDefault="008531DA" w:rsidP="008531DA">
      <w:pPr>
        <w:rPr>
          <w:rFonts w:ascii="Book Antiqua" w:hAnsi="Book Antiqua"/>
          <w:lang w:val="es-PR"/>
        </w:rPr>
      </w:pPr>
    </w:p>
    <w:p w14:paraId="2DFF26A0" w14:textId="77777777" w:rsidR="008531DA" w:rsidRPr="00F46268" w:rsidRDefault="008531DA" w:rsidP="004E7A37">
      <w:pPr>
        <w:jc w:val="center"/>
        <w:rPr>
          <w:rFonts w:ascii="Book Antiqua" w:hAnsi="Book Antiqua"/>
          <w:b/>
          <w:sz w:val="36"/>
          <w:szCs w:val="36"/>
          <w:lang w:val="es-PR"/>
        </w:rPr>
      </w:pPr>
      <w:r w:rsidRPr="00F46268">
        <w:rPr>
          <w:rFonts w:ascii="Book Antiqua" w:hAnsi="Book Antiqua"/>
          <w:b/>
          <w:sz w:val="36"/>
          <w:szCs w:val="36"/>
          <w:lang w:val="es-PR"/>
        </w:rPr>
        <w:t>CÁMARA DE REPRESENTANTES</w:t>
      </w:r>
    </w:p>
    <w:p w14:paraId="2519F638" w14:textId="77777777" w:rsidR="004E7A37" w:rsidRPr="00F46268" w:rsidRDefault="004E7A37" w:rsidP="004E7A37">
      <w:pPr>
        <w:jc w:val="center"/>
        <w:rPr>
          <w:rFonts w:ascii="Book Antiqua" w:hAnsi="Book Antiqua"/>
          <w:b/>
          <w:szCs w:val="24"/>
          <w:lang w:val="es-PR"/>
        </w:rPr>
      </w:pPr>
    </w:p>
    <w:p w14:paraId="30798B43" w14:textId="3668CC36" w:rsidR="008531DA" w:rsidRPr="00F46268" w:rsidRDefault="008531DA" w:rsidP="004E7A37">
      <w:pPr>
        <w:jc w:val="center"/>
        <w:rPr>
          <w:rFonts w:ascii="Book Antiqua" w:hAnsi="Book Antiqua"/>
          <w:b/>
          <w:sz w:val="52"/>
          <w:szCs w:val="52"/>
          <w:lang w:val="es-PR"/>
        </w:rPr>
      </w:pPr>
      <w:r w:rsidRPr="00F46268">
        <w:rPr>
          <w:rFonts w:ascii="Book Antiqua" w:hAnsi="Book Antiqua"/>
          <w:b/>
          <w:sz w:val="52"/>
          <w:szCs w:val="52"/>
          <w:lang w:val="es-PR"/>
        </w:rPr>
        <w:t>P. de la C.</w:t>
      </w:r>
      <w:r w:rsidR="00DC321C" w:rsidRPr="00F46268">
        <w:rPr>
          <w:rFonts w:ascii="Book Antiqua" w:hAnsi="Book Antiqua"/>
          <w:b/>
          <w:sz w:val="52"/>
          <w:szCs w:val="52"/>
          <w:lang w:val="es-PR"/>
        </w:rPr>
        <w:t xml:space="preserve"> 788</w:t>
      </w:r>
    </w:p>
    <w:p w14:paraId="6A0901E8" w14:textId="77777777" w:rsidR="004E7A37" w:rsidRPr="00F46268" w:rsidRDefault="004E7A37" w:rsidP="004E7A37">
      <w:pPr>
        <w:jc w:val="center"/>
        <w:rPr>
          <w:rFonts w:ascii="Book Antiqua" w:hAnsi="Book Antiqua"/>
          <w:szCs w:val="24"/>
          <w:lang w:val="es-PR"/>
        </w:rPr>
      </w:pPr>
    </w:p>
    <w:p w14:paraId="41E05997" w14:textId="26D8CDBF" w:rsidR="008531DA" w:rsidRPr="00F46268" w:rsidRDefault="00DC321C" w:rsidP="004E7A37">
      <w:pPr>
        <w:jc w:val="center"/>
        <w:rPr>
          <w:rFonts w:ascii="Book Antiqua" w:hAnsi="Book Antiqua"/>
          <w:szCs w:val="24"/>
          <w:lang w:val="es-PR"/>
        </w:rPr>
      </w:pPr>
      <w:r w:rsidRPr="00F46268">
        <w:rPr>
          <w:rFonts w:ascii="Book Antiqua" w:hAnsi="Book Antiqua"/>
          <w:szCs w:val="24"/>
          <w:lang w:val="es-PR"/>
        </w:rPr>
        <w:t>19</w:t>
      </w:r>
      <w:r w:rsidR="008531DA" w:rsidRPr="00F46268">
        <w:rPr>
          <w:rFonts w:ascii="Book Antiqua" w:hAnsi="Book Antiqua"/>
          <w:szCs w:val="24"/>
          <w:lang w:val="es-PR"/>
        </w:rPr>
        <w:t xml:space="preserve"> DE A</w:t>
      </w:r>
      <w:r w:rsidR="0073562E" w:rsidRPr="00F46268">
        <w:rPr>
          <w:rFonts w:ascii="Book Antiqua" w:hAnsi="Book Antiqua"/>
          <w:szCs w:val="24"/>
          <w:lang w:val="es-PR"/>
        </w:rPr>
        <w:t>GOSTO</w:t>
      </w:r>
      <w:r w:rsidR="008531DA" w:rsidRPr="00F46268">
        <w:rPr>
          <w:rFonts w:ascii="Book Antiqua" w:hAnsi="Book Antiqua"/>
          <w:szCs w:val="24"/>
          <w:lang w:val="es-PR"/>
        </w:rPr>
        <w:t xml:space="preserve"> DE 2025</w:t>
      </w:r>
    </w:p>
    <w:p w14:paraId="355286E5" w14:textId="77777777" w:rsidR="004E7A37" w:rsidRPr="00F46268" w:rsidRDefault="004E7A37" w:rsidP="004E7A37">
      <w:pPr>
        <w:jc w:val="center"/>
        <w:rPr>
          <w:rFonts w:ascii="Book Antiqua" w:hAnsi="Book Antiqua"/>
          <w:szCs w:val="24"/>
          <w:lang w:val="es-PR"/>
        </w:rPr>
      </w:pPr>
    </w:p>
    <w:p w14:paraId="56D9BDEF" w14:textId="0EB9BDCF" w:rsidR="008531DA" w:rsidRPr="004E7A37" w:rsidRDefault="008531DA" w:rsidP="0073562E">
      <w:pPr>
        <w:jc w:val="center"/>
        <w:rPr>
          <w:rFonts w:ascii="Book Antiqua" w:hAnsi="Book Antiqua"/>
          <w:i/>
          <w:iCs/>
          <w:szCs w:val="24"/>
          <w:lang w:val="es-ES_tradnl"/>
        </w:rPr>
      </w:pPr>
      <w:r w:rsidRPr="00F46268">
        <w:rPr>
          <w:rFonts w:ascii="Book Antiqua" w:hAnsi="Book Antiqua"/>
          <w:szCs w:val="24"/>
          <w:lang w:val="es-PR"/>
        </w:rPr>
        <w:t xml:space="preserve">Presentado por </w:t>
      </w:r>
      <w:r w:rsidR="0073562E" w:rsidRPr="00F46268">
        <w:rPr>
          <w:rFonts w:ascii="Book Antiqua" w:hAnsi="Book Antiqua"/>
          <w:szCs w:val="24"/>
          <w:lang w:val="es-PR"/>
        </w:rPr>
        <w:t>la</w:t>
      </w:r>
      <w:r w:rsidRPr="00F46268">
        <w:rPr>
          <w:rFonts w:ascii="Book Antiqua" w:hAnsi="Book Antiqua"/>
          <w:szCs w:val="24"/>
          <w:lang w:val="es-PR"/>
        </w:rPr>
        <w:t xml:space="preserve"> representante </w:t>
      </w:r>
      <w:r w:rsidR="0073562E" w:rsidRPr="00F46268">
        <w:rPr>
          <w:rFonts w:ascii="Book Antiqua" w:hAnsi="Book Antiqua"/>
          <w:i/>
          <w:iCs/>
          <w:szCs w:val="24"/>
          <w:lang w:val="es-PR"/>
        </w:rPr>
        <w:t>Vargas Laureano</w:t>
      </w:r>
    </w:p>
    <w:p w14:paraId="41824B9C" w14:textId="77777777" w:rsidR="004E7A37" w:rsidRDefault="004E7A37" w:rsidP="004E7A37">
      <w:pPr>
        <w:jc w:val="center"/>
        <w:rPr>
          <w:rFonts w:ascii="Book Antiqua" w:hAnsi="Book Antiqua"/>
          <w:szCs w:val="24"/>
          <w:lang w:val="es-ES_tradnl"/>
        </w:rPr>
      </w:pPr>
    </w:p>
    <w:p w14:paraId="7A586FFC" w14:textId="30911DD2"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 xml:space="preserve">Referido a </w:t>
      </w:r>
      <w:r w:rsidR="00EC37FA">
        <w:rPr>
          <w:rFonts w:ascii="Book Antiqua" w:hAnsi="Book Antiqua"/>
          <w:szCs w:val="24"/>
          <w:lang w:val="es-ES_tradnl"/>
        </w:rPr>
        <w:t>la Comisión de lo Jurídico</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34EAEFF9" w14:textId="454F617B" w:rsidR="00D436BC" w:rsidRDefault="00D436BC" w:rsidP="004E7A37">
      <w:pPr>
        <w:ind w:left="720" w:hanging="720"/>
        <w:jc w:val="both"/>
        <w:rPr>
          <w:rFonts w:ascii="Book Antiqua" w:hAnsi="Book Antiqua"/>
          <w:lang w:val="es-ES"/>
        </w:rPr>
      </w:pPr>
      <w:r w:rsidRPr="004748F8">
        <w:rPr>
          <w:rFonts w:ascii="Book Antiqua" w:hAnsi="Book Antiqua"/>
          <w:lang w:val="es-ES"/>
        </w:rPr>
        <w:t xml:space="preserve">Para </w:t>
      </w:r>
      <w:r w:rsidR="0073562E">
        <w:rPr>
          <w:rFonts w:ascii="Book Antiqua" w:hAnsi="Book Antiqua"/>
          <w:lang w:val="es-ES"/>
        </w:rPr>
        <w:t>enmendar el Artículo 3.1 de la Ley Núm. 54</w:t>
      </w:r>
      <w:r w:rsidR="007C7D36">
        <w:rPr>
          <w:rFonts w:ascii="Book Antiqua" w:hAnsi="Book Antiqua"/>
          <w:lang w:val="es-ES"/>
        </w:rPr>
        <w:t xml:space="preserve"> de 15 de agosto de </w:t>
      </w:r>
      <w:r w:rsidR="0073562E">
        <w:rPr>
          <w:rFonts w:ascii="Book Antiqua" w:hAnsi="Book Antiqua"/>
          <w:lang w:val="es-ES"/>
        </w:rPr>
        <w:t xml:space="preserve">1989, según enmendada, conocida como “Ley para la Prevención e Intervención con la Violencia Doméstica”, para eliminar el requerimiento de aprecio sobre los bienes dañados en la tipificación del delito de maltrato en la modalidad </w:t>
      </w:r>
      <w:r w:rsidR="00CA19E2">
        <w:rPr>
          <w:rFonts w:ascii="Book Antiqua" w:hAnsi="Book Antiqua"/>
          <w:lang w:val="es-ES"/>
        </w:rPr>
        <w:t xml:space="preserve">de </w:t>
      </w:r>
      <w:r w:rsidR="0073562E">
        <w:rPr>
          <w:rFonts w:ascii="Book Antiqua" w:hAnsi="Book Antiqua"/>
          <w:lang w:val="es-ES"/>
        </w:rPr>
        <w:t xml:space="preserve">daños de bienes de la víctima; agregar como elemento del delito el hecho de que el bien dañado pertenezca a la víctima o a la sociedad de bienes gananciales de la que forme parte; </w:t>
      </w:r>
      <w:r w:rsidRPr="004748F8">
        <w:rPr>
          <w:rFonts w:ascii="Book Antiqua" w:hAnsi="Book Antiqua"/>
          <w:lang w:val="es-ES"/>
        </w:rPr>
        <w:t>y para otros fines</w:t>
      </w:r>
      <w:r w:rsidR="00FA4B65">
        <w:rPr>
          <w:rFonts w:ascii="Book Antiqua" w:hAnsi="Book Antiqua"/>
          <w:lang w:val="es-ES"/>
        </w:rPr>
        <w:t xml:space="preserve"> relacionados</w:t>
      </w:r>
      <w:r w:rsidRPr="004748F8">
        <w:rPr>
          <w:rFonts w:ascii="Book Antiqua" w:hAnsi="Book Antiqua"/>
          <w:lang w:val="es-ES"/>
        </w:rPr>
        <w:t>.</w:t>
      </w:r>
      <w:r w:rsidR="1050A5E4" w:rsidRPr="004748F8">
        <w:rPr>
          <w:rFonts w:ascii="Book Antiqua" w:hAnsi="Book Antiqua"/>
          <w:lang w:val="es-ES"/>
        </w:rPr>
        <w:t xml:space="preserve"> </w:t>
      </w:r>
    </w:p>
    <w:p w14:paraId="77FBB229" w14:textId="77777777" w:rsidR="004E7A37" w:rsidRPr="004E7A37" w:rsidRDefault="004E7A37" w:rsidP="004E7A37">
      <w:pPr>
        <w:ind w:left="720" w:hanging="720"/>
        <w:jc w:val="both"/>
        <w:rPr>
          <w:rFonts w:ascii="Book Antiqua" w:hAnsi="Book Antiqua"/>
          <w:lang w:val="es-ES"/>
        </w:rPr>
      </w:pPr>
    </w:p>
    <w:p w14:paraId="2CA23802" w14:textId="5C654A94" w:rsidR="00F13533" w:rsidRDefault="00F13533" w:rsidP="004E7A37">
      <w:pPr>
        <w:ind w:firstLine="360"/>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7A6FBA3C" w14:textId="1E325C4A" w:rsidR="00771E62" w:rsidRPr="00771E62" w:rsidRDefault="00771E62" w:rsidP="00771E62">
      <w:pPr>
        <w:ind w:firstLine="720"/>
        <w:jc w:val="both"/>
        <w:rPr>
          <w:rFonts w:ascii="Book Antiqua" w:hAnsi="Book Antiqua"/>
          <w:lang w:val="es-PR"/>
        </w:rPr>
      </w:pPr>
      <w:r w:rsidRPr="00771E62">
        <w:rPr>
          <w:rFonts w:ascii="Book Antiqua" w:hAnsi="Book Antiqua"/>
          <w:lang w:val="es-PR"/>
        </w:rPr>
        <w:t>La Ley Núm. 54</w:t>
      </w:r>
      <w:r>
        <w:rPr>
          <w:rFonts w:ascii="Book Antiqua" w:hAnsi="Book Antiqua"/>
          <w:lang w:val="es-PR"/>
        </w:rPr>
        <w:t>,</w:t>
      </w:r>
      <w:r w:rsidRPr="00771E62">
        <w:rPr>
          <w:rFonts w:ascii="Book Antiqua" w:hAnsi="Book Antiqua"/>
          <w:lang w:val="es-PR"/>
        </w:rPr>
        <w:t xml:space="preserve"> de 15 de agosto de 1989, </w:t>
      </w:r>
      <w:r>
        <w:rPr>
          <w:rFonts w:ascii="Book Antiqua" w:hAnsi="Book Antiqua"/>
          <w:lang w:val="es-PR"/>
        </w:rPr>
        <w:t xml:space="preserve">según enmendada, </w:t>
      </w:r>
      <w:r w:rsidRPr="00771E62">
        <w:rPr>
          <w:rFonts w:ascii="Book Antiqua" w:hAnsi="Book Antiqua"/>
          <w:lang w:val="es-PR"/>
        </w:rPr>
        <w:t>conocida como la “Ley para la Prevención e Intervención con la Violencia Doméstica”, ha sido pilar fundamental en la protección de las personas afectadas por este grave problema social en Puerto Rico. Sin embargo, la realidad cambiante y la complejidad de las dinámicas de poder y control dentro de las relaciones de pareja exigen una revisión constante de sus disposiciones. Entre los aspectos que requieren atención se encuentra la tipificación del delito de maltrato en la modalidad de daños a bienes, particularmente el requerimiento de un “aprecio” sobre los bienes dañados y, como mejor alternativa, la necesidad de precisar la titularidad de estos bienes.</w:t>
      </w:r>
    </w:p>
    <w:p w14:paraId="2B487EC4" w14:textId="77777777" w:rsidR="00771E62" w:rsidRPr="00771E62" w:rsidRDefault="00771E62" w:rsidP="00771E62">
      <w:pPr>
        <w:ind w:firstLine="720"/>
        <w:jc w:val="both"/>
        <w:rPr>
          <w:rFonts w:ascii="Book Antiqua" w:hAnsi="Book Antiqua"/>
          <w:lang w:val="es-PR"/>
        </w:rPr>
      </w:pPr>
    </w:p>
    <w:p w14:paraId="1733FF7F" w14:textId="77777777" w:rsidR="00771E62" w:rsidRPr="00771E62" w:rsidRDefault="00771E62" w:rsidP="00771E62">
      <w:pPr>
        <w:ind w:firstLine="720"/>
        <w:jc w:val="both"/>
        <w:rPr>
          <w:rFonts w:ascii="Book Antiqua" w:hAnsi="Book Antiqua"/>
          <w:lang w:val="es-PR"/>
        </w:rPr>
      </w:pPr>
      <w:r w:rsidRPr="00771E62">
        <w:rPr>
          <w:rFonts w:ascii="Book Antiqua" w:hAnsi="Book Antiqua"/>
          <w:lang w:val="es-PR"/>
        </w:rPr>
        <w:t>La legislación vigente exige que, para configurar el delito de maltrato bajo la modalidad de daños a bienes, se establezca el “aprecio” o valoración emocional del bien afectado. Este requisito, aunque en principio podría buscar delimitar la gravedad del daño, se ha convertido en un obstáculo para la protección efectiva de las víctimas.</w:t>
      </w:r>
    </w:p>
    <w:p w14:paraId="40DD59E4" w14:textId="63250071" w:rsidR="00771E62" w:rsidRDefault="00771E62" w:rsidP="00771E62">
      <w:pPr>
        <w:ind w:firstLine="720"/>
        <w:jc w:val="both"/>
        <w:rPr>
          <w:rFonts w:ascii="Book Antiqua" w:hAnsi="Book Antiqua"/>
          <w:lang w:val="es-PR"/>
        </w:rPr>
      </w:pPr>
      <w:r w:rsidRPr="00771E62">
        <w:rPr>
          <w:rFonts w:ascii="Book Antiqua" w:hAnsi="Book Antiqua"/>
          <w:lang w:val="es-PR"/>
        </w:rPr>
        <w:lastRenderedPageBreak/>
        <w:t xml:space="preserve">Es común </w:t>
      </w:r>
      <w:r w:rsidR="008504BC" w:rsidRPr="00771E62">
        <w:rPr>
          <w:rFonts w:ascii="Book Antiqua" w:hAnsi="Book Antiqua"/>
          <w:lang w:val="es-PR"/>
        </w:rPr>
        <w:t>que,</w:t>
      </w:r>
      <w:r w:rsidRPr="00771E62">
        <w:rPr>
          <w:rFonts w:ascii="Book Antiqua" w:hAnsi="Book Antiqua"/>
          <w:lang w:val="es-PR"/>
        </w:rPr>
        <w:t xml:space="preserve"> al momento de presentar la prueba, el ministerio público pasa por alto prueba sobre el aprecio que la víctima pudiera tener sobre los bienes dañados por el agresor. Esto, muy probablemente por el hecho de que la tipificación del delito de daños, exógeno a la Ley 54, no requiere prueba alguna de que el bien dañado sea apreciado por la víctima. No hay razón alguna para requerir, en los casos de violencia doméstica, que el bien dañado </w:t>
      </w:r>
      <w:r w:rsidR="008504BC" w:rsidRPr="00771E62">
        <w:rPr>
          <w:rFonts w:ascii="Book Antiqua" w:hAnsi="Book Antiqua"/>
          <w:lang w:val="es-PR"/>
        </w:rPr>
        <w:t>con la</w:t>
      </w:r>
      <w:r w:rsidRPr="00771E62">
        <w:rPr>
          <w:rFonts w:ascii="Book Antiqua" w:hAnsi="Book Antiqua"/>
          <w:lang w:val="es-PR"/>
        </w:rPr>
        <w:t xml:space="preserve"> intención de maltratar a la víctima, sea apreciado por ésta. Sostener tal elemento en la tipificación del delito tiene el efecto de desnaturalizarlo, pues el foco de la protección debe centrarse en el acto de violencia y control ejercido por la persona agresora, quien utiliza el daño a bienes como mecanismo de intimidación, coerción o castigo.</w:t>
      </w:r>
    </w:p>
    <w:p w14:paraId="0AC058DD" w14:textId="77777777" w:rsidR="008504BC" w:rsidRPr="00771E62" w:rsidRDefault="008504BC" w:rsidP="00771E62">
      <w:pPr>
        <w:ind w:firstLine="720"/>
        <w:jc w:val="both"/>
        <w:rPr>
          <w:rFonts w:ascii="Book Antiqua" w:hAnsi="Book Antiqua"/>
          <w:lang w:val="es-PR"/>
        </w:rPr>
      </w:pPr>
    </w:p>
    <w:p w14:paraId="06CE66DC" w14:textId="77777777" w:rsidR="00771E62" w:rsidRDefault="00771E62" w:rsidP="00771E62">
      <w:pPr>
        <w:ind w:firstLine="720"/>
        <w:jc w:val="both"/>
        <w:rPr>
          <w:rFonts w:ascii="Book Antiqua" w:hAnsi="Book Antiqua"/>
          <w:lang w:val="es-PR"/>
        </w:rPr>
      </w:pPr>
      <w:r w:rsidRPr="00771E62">
        <w:rPr>
          <w:rFonts w:ascii="Book Antiqua" w:hAnsi="Book Antiqua"/>
          <w:lang w:val="es-PR"/>
        </w:rPr>
        <w:t>Eliminar el requisito de aprecio del bien permitiría que la protección de la Ley 54 se enfoque en la conducta y en el impacto sobre la víctima.</w:t>
      </w:r>
    </w:p>
    <w:p w14:paraId="63A97A4D" w14:textId="77777777" w:rsidR="008504BC" w:rsidRPr="00771E62" w:rsidRDefault="008504BC" w:rsidP="00771E62">
      <w:pPr>
        <w:ind w:firstLine="720"/>
        <w:jc w:val="both"/>
        <w:rPr>
          <w:rFonts w:ascii="Book Antiqua" w:hAnsi="Book Antiqua"/>
          <w:lang w:val="es-PR"/>
        </w:rPr>
      </w:pPr>
    </w:p>
    <w:p w14:paraId="374CB008" w14:textId="77777777" w:rsidR="00771E62" w:rsidRDefault="00771E62" w:rsidP="00771E62">
      <w:pPr>
        <w:ind w:firstLine="720"/>
        <w:jc w:val="both"/>
        <w:rPr>
          <w:rFonts w:ascii="Book Antiqua" w:hAnsi="Book Antiqua"/>
          <w:lang w:val="es-PR"/>
        </w:rPr>
      </w:pPr>
      <w:r w:rsidRPr="00771E62">
        <w:rPr>
          <w:rFonts w:ascii="Book Antiqua" w:hAnsi="Book Antiqua"/>
          <w:lang w:val="es-PR"/>
        </w:rPr>
        <w:t>Otro aspecto que urge revisar es la especificidad en cuanto a la titularidad de los bienes dañados. Resulta indispensable que la ley establezca, como elemento del delito, que los bienes dañados pertenezcan a la víctima o a la sociedad de bienes gananciales de la que forme parte.</w:t>
      </w:r>
    </w:p>
    <w:p w14:paraId="4082C7C2" w14:textId="77777777" w:rsidR="008504BC" w:rsidRPr="00771E62" w:rsidRDefault="008504BC" w:rsidP="00771E62">
      <w:pPr>
        <w:ind w:firstLine="720"/>
        <w:jc w:val="both"/>
        <w:rPr>
          <w:rFonts w:ascii="Book Antiqua" w:hAnsi="Book Antiqua"/>
          <w:lang w:val="es-PR"/>
        </w:rPr>
      </w:pPr>
    </w:p>
    <w:p w14:paraId="1409FFE5" w14:textId="77777777" w:rsidR="00771E62" w:rsidRDefault="00771E62" w:rsidP="00771E62">
      <w:pPr>
        <w:ind w:firstLine="720"/>
        <w:jc w:val="both"/>
        <w:rPr>
          <w:rFonts w:ascii="Book Antiqua" w:hAnsi="Book Antiqua"/>
          <w:lang w:val="es-PR"/>
        </w:rPr>
      </w:pPr>
      <w:r w:rsidRPr="00771E62">
        <w:rPr>
          <w:rFonts w:ascii="Book Antiqua" w:hAnsi="Book Antiqua"/>
          <w:lang w:val="es-PR"/>
        </w:rPr>
        <w:t>El daño a bienes suele ser una táctica de violencia económica, orientada a debilitar la independencia y seguridad de la persona afectada. Al precisar que el bien debe pertenecer a la víctima o a la sociedad de gananciales, se protege directamente el núcleo patrimonial de quien sufre la agresión. Asimismo, en contextos de convivencia, muchos bienes son compartidos y forman parte de la sociedad de gananciales. Reconocer esto en la ley impide que la persona agresora se refugie en tecnicismos de titularidad para evadir responsabilidad.</w:t>
      </w:r>
    </w:p>
    <w:p w14:paraId="7483D105" w14:textId="77777777" w:rsidR="008504BC" w:rsidRPr="00771E62" w:rsidRDefault="008504BC" w:rsidP="00771E62">
      <w:pPr>
        <w:ind w:firstLine="720"/>
        <w:jc w:val="both"/>
        <w:rPr>
          <w:rFonts w:ascii="Book Antiqua" w:hAnsi="Book Antiqua"/>
          <w:lang w:val="es-PR"/>
        </w:rPr>
      </w:pPr>
    </w:p>
    <w:p w14:paraId="5EAAB7A0" w14:textId="77777777" w:rsidR="00771E62" w:rsidRDefault="00771E62" w:rsidP="00771E62">
      <w:pPr>
        <w:ind w:firstLine="720"/>
        <w:jc w:val="both"/>
        <w:rPr>
          <w:rFonts w:ascii="Book Antiqua" w:hAnsi="Book Antiqua"/>
          <w:lang w:val="es-PR"/>
        </w:rPr>
      </w:pPr>
      <w:r w:rsidRPr="00771E62">
        <w:rPr>
          <w:rFonts w:ascii="Book Antiqua" w:hAnsi="Book Antiqua"/>
          <w:lang w:val="es-PR"/>
        </w:rPr>
        <w:t>La enmienda propuesta a la Ley Núm. 54 responde a la necesidad de adaptar nuestra legislación a las realidades sociales y a los retos que enfrentan las personas en situaciones de violencia doméstica. Eliminar el requisito de aprecio sobre los bienes dañados permitirá superar obstáculos probatorios y centrar la protección en la dignidad y seguridad de la víctima. Además, agregar como elemento esencial la titularidad de los bienes a la víctima o a la sociedad de bienes gananciales asegura una protección justa y específica, a tono con los principios de la ley y con la realidad de las relaciones de pareja.</w:t>
      </w:r>
    </w:p>
    <w:p w14:paraId="56E76464" w14:textId="77777777" w:rsidR="008504BC" w:rsidRPr="00771E62" w:rsidRDefault="008504BC" w:rsidP="00771E62">
      <w:pPr>
        <w:ind w:firstLine="720"/>
        <w:jc w:val="both"/>
        <w:rPr>
          <w:rFonts w:ascii="Book Antiqua" w:hAnsi="Book Antiqua"/>
          <w:lang w:val="es-PR"/>
        </w:rPr>
      </w:pPr>
    </w:p>
    <w:p w14:paraId="1E5914D6" w14:textId="1268E366" w:rsidR="00A10B1E" w:rsidRDefault="00771E62" w:rsidP="008504BC">
      <w:pPr>
        <w:ind w:firstLine="720"/>
        <w:jc w:val="both"/>
        <w:rPr>
          <w:rFonts w:ascii="Book Antiqua" w:hAnsi="Book Antiqua"/>
          <w:lang w:val="es-PR"/>
        </w:rPr>
      </w:pPr>
      <w:r w:rsidRPr="00771E62">
        <w:rPr>
          <w:rFonts w:ascii="Book Antiqua" w:hAnsi="Book Antiqua"/>
          <w:lang w:val="es-PR"/>
        </w:rPr>
        <w:t>En suma, estas modificaciones fortalecerán el marco legal en defensa de la integridad, autonomía y patrimonio de las personas sobrevivientes de violencia doméstica, consolidando una respuesta más ágil y efectiva ante conductas que buscan perpetuar el control y la intimidación.</w:t>
      </w:r>
    </w:p>
    <w:p w14:paraId="456F4C1E" w14:textId="77777777" w:rsidR="004E7A37" w:rsidRPr="004F6F8E" w:rsidRDefault="004E7A37" w:rsidP="004E7A37">
      <w:pPr>
        <w:ind w:firstLine="720"/>
        <w:jc w:val="both"/>
        <w:rPr>
          <w:rFonts w:ascii="Book Antiqua" w:hAnsi="Book Antiqua"/>
          <w:lang w:val="es-PR"/>
        </w:rPr>
      </w:pPr>
    </w:p>
    <w:p w14:paraId="06A5472A" w14:textId="77777777" w:rsidR="00F46268" w:rsidRDefault="00F46268" w:rsidP="004E7A37">
      <w:pPr>
        <w:rPr>
          <w:rFonts w:ascii="Book Antiqua" w:hAnsi="Book Antiqua"/>
          <w:i/>
          <w:lang w:val="es-ES_tradnl"/>
        </w:rPr>
      </w:pPr>
    </w:p>
    <w:p w14:paraId="77779409" w14:textId="77777777" w:rsidR="00F46268" w:rsidRDefault="00F46268" w:rsidP="004E7A37">
      <w:pPr>
        <w:rPr>
          <w:rFonts w:ascii="Book Antiqua" w:hAnsi="Book Antiqua"/>
          <w:i/>
          <w:lang w:val="es-ES_tradnl"/>
        </w:rPr>
      </w:pPr>
    </w:p>
    <w:p w14:paraId="130E7859" w14:textId="77777777" w:rsidR="00F46268" w:rsidRDefault="00F46268" w:rsidP="004E7A37">
      <w:pPr>
        <w:rPr>
          <w:rFonts w:ascii="Book Antiqua" w:hAnsi="Book Antiqua"/>
          <w:i/>
          <w:lang w:val="es-ES_tradnl"/>
        </w:rPr>
      </w:pPr>
    </w:p>
    <w:p w14:paraId="7674B2AD" w14:textId="12A9B196" w:rsidR="00F13533" w:rsidRPr="004F6F8E" w:rsidRDefault="00F13533" w:rsidP="004E7A37">
      <w:pPr>
        <w:rPr>
          <w:rFonts w:ascii="Book Antiqua" w:hAnsi="Book Antiqua"/>
          <w:i/>
          <w:lang w:val="es-ES_tradnl"/>
        </w:rPr>
      </w:pPr>
      <w:r w:rsidRPr="004F6F8E">
        <w:rPr>
          <w:rFonts w:ascii="Book Antiqua" w:hAnsi="Book Antiqua"/>
          <w:i/>
          <w:lang w:val="es-ES_tradnl"/>
        </w:rPr>
        <w:lastRenderedPageBreak/>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13221B12" w14:textId="6586143B" w:rsidR="00F94EB6" w:rsidRPr="00F94EB6" w:rsidRDefault="00CA19E2" w:rsidP="004E7A37">
      <w:pPr>
        <w:spacing w:line="480" w:lineRule="auto"/>
        <w:ind w:firstLine="720"/>
        <w:jc w:val="both"/>
        <w:rPr>
          <w:rFonts w:ascii="Book Antiqua" w:hAnsi="Book Antiqua"/>
          <w:lang w:val="es-PR"/>
        </w:rPr>
      </w:pPr>
      <w:r>
        <w:rPr>
          <w:rFonts w:ascii="Book Antiqua" w:hAnsi="Book Antiqua"/>
          <w:lang w:val="es-PR"/>
        </w:rPr>
        <w:t>Sección</w:t>
      </w:r>
      <w:r w:rsidR="00F94EB6" w:rsidRPr="00F94EB6">
        <w:rPr>
          <w:rFonts w:ascii="Book Antiqua" w:hAnsi="Book Antiqua"/>
          <w:lang w:val="es-PR"/>
        </w:rPr>
        <w:t xml:space="preserve"> 1</w:t>
      </w:r>
      <w:r>
        <w:rPr>
          <w:rFonts w:ascii="Book Antiqua" w:hAnsi="Book Antiqua"/>
          <w:lang w:val="es-PR"/>
        </w:rPr>
        <w:t xml:space="preserve">.- Se enmienda el Artículo 3.1 de la Ley Núm. </w:t>
      </w:r>
      <w:r w:rsidRPr="00CA19E2">
        <w:rPr>
          <w:rFonts w:ascii="Book Antiqua" w:hAnsi="Book Antiqua"/>
          <w:lang w:val="es-PR"/>
        </w:rPr>
        <w:t>54 de 15 de agosto de 1989, según enmendada, conocida como “Ley para la Prevención e Intervención con la Violencia Doméstica”</w:t>
      </w:r>
      <w:r w:rsidR="007C7D36">
        <w:rPr>
          <w:rFonts w:ascii="Book Antiqua" w:hAnsi="Book Antiqua"/>
          <w:lang w:val="es-PR"/>
        </w:rPr>
        <w:t>, para que disponga como sigue:</w:t>
      </w:r>
    </w:p>
    <w:p w14:paraId="7E3EAE81" w14:textId="1ECF647D" w:rsidR="007C7D36" w:rsidRPr="007C7D36" w:rsidRDefault="007C7D36" w:rsidP="008504BC">
      <w:pPr>
        <w:spacing w:line="480" w:lineRule="auto"/>
        <w:ind w:firstLine="720"/>
        <w:jc w:val="both"/>
        <w:rPr>
          <w:rFonts w:ascii="Book Antiqua" w:hAnsi="Book Antiqua"/>
          <w:lang w:val="es-PR"/>
        </w:rPr>
      </w:pPr>
      <w:r>
        <w:rPr>
          <w:rFonts w:ascii="Book Antiqua" w:hAnsi="Book Antiqua"/>
          <w:lang w:val="es-PR"/>
        </w:rPr>
        <w:t>“</w:t>
      </w:r>
      <w:r w:rsidRPr="007C7D36">
        <w:rPr>
          <w:rFonts w:ascii="Book Antiqua" w:hAnsi="Book Antiqua"/>
          <w:lang w:val="es-PR"/>
        </w:rPr>
        <w:t xml:space="preserve">Artículo 3.1 — Maltrato. </w:t>
      </w:r>
    </w:p>
    <w:p w14:paraId="1E752C40" w14:textId="727AC2A3" w:rsidR="00F94EB6" w:rsidRDefault="007C7D36" w:rsidP="007C7D36">
      <w:pPr>
        <w:spacing w:line="480" w:lineRule="auto"/>
        <w:ind w:firstLine="720"/>
        <w:jc w:val="both"/>
        <w:rPr>
          <w:rFonts w:ascii="Book Antiqua" w:hAnsi="Book Antiqua"/>
          <w:lang w:val="es-PR"/>
        </w:rPr>
      </w:pPr>
      <w:r w:rsidRPr="007C7D36">
        <w:rPr>
          <w:rFonts w:ascii="Book Antiqua" w:hAnsi="Book Antiqua"/>
          <w:lang w:val="es-PR"/>
        </w:rPr>
        <w:t xml:space="preserve">Toda persona que empleare fuerza física o violencia psicológica, intimidación o persecución en la persona de su cónyuge, ex cónyuge, o la persona con quien cohabita o haya cohabitado, o la persona con quien sostuviere o haya sostenido una relación consensual, o la persona con quien haya procreado un hijo o hija, independientemente del sexo, estado civil, orientación sexual, identidad de género o estatus migratorio de cualquiera de las personas involucradas en la relación, para causarle daño físico a su persona, a los bienes </w:t>
      </w:r>
      <w:r w:rsidRPr="007C7D36">
        <w:rPr>
          <w:rFonts w:ascii="Book Antiqua" w:hAnsi="Book Antiqua"/>
          <w:b/>
          <w:bCs/>
          <w:lang w:val="es-PR"/>
        </w:rPr>
        <w:t>[apreciados por]</w:t>
      </w:r>
      <w:r w:rsidRPr="007C7D36">
        <w:rPr>
          <w:rFonts w:ascii="Book Antiqua" w:hAnsi="Book Antiqua"/>
          <w:lang w:val="es-PR"/>
        </w:rPr>
        <w:t xml:space="preserve"> </w:t>
      </w:r>
      <w:r w:rsidRPr="007C7D36">
        <w:rPr>
          <w:rFonts w:ascii="Book Antiqua" w:hAnsi="Book Antiqua"/>
          <w:i/>
          <w:iCs/>
          <w:lang w:val="es-PR"/>
        </w:rPr>
        <w:t xml:space="preserve">pertenecientes a </w:t>
      </w:r>
      <w:r w:rsidRPr="007C7D36">
        <w:rPr>
          <w:rFonts w:ascii="Book Antiqua" w:hAnsi="Book Antiqua"/>
          <w:lang w:val="es-PR"/>
        </w:rPr>
        <w:t xml:space="preserve">ésta </w:t>
      </w:r>
      <w:r w:rsidRPr="007C7D36">
        <w:rPr>
          <w:rFonts w:ascii="Book Antiqua" w:hAnsi="Book Antiqua"/>
          <w:i/>
          <w:iCs/>
          <w:lang w:val="es-PR"/>
        </w:rPr>
        <w:t>o a la sociedad de bienes gananciales de la que forme parte</w:t>
      </w:r>
      <w:r w:rsidRPr="007C7D36">
        <w:rPr>
          <w:rFonts w:ascii="Book Antiqua" w:hAnsi="Book Antiqua"/>
          <w:lang w:val="es-PR"/>
        </w:rPr>
        <w:t>, excepto aquéllos que pertenecen privativamente al ofensor, o a la persona de otro o para causarle grave daño emocional, incurrirá en delito grave de cuarto grado en su mitad superior. El tribunal podrá imponer la pena de restitución, además de la pena de reclusión establecida.</w:t>
      </w:r>
      <w:r>
        <w:rPr>
          <w:rFonts w:ascii="Book Antiqua" w:hAnsi="Book Antiqua"/>
          <w:lang w:val="es-PR"/>
        </w:rPr>
        <w:t>”</w:t>
      </w:r>
    </w:p>
    <w:p w14:paraId="5B7BCDA6" w14:textId="0D0EA3F9" w:rsidR="00F94EB6" w:rsidRPr="007C7D36" w:rsidRDefault="007C7D36" w:rsidP="007C7D36">
      <w:pPr>
        <w:spacing w:line="480" w:lineRule="auto"/>
        <w:ind w:firstLine="720"/>
        <w:jc w:val="both"/>
        <w:rPr>
          <w:rFonts w:ascii="Book Antiqua" w:hAnsi="Book Antiqua"/>
          <w:lang w:val="es-ES"/>
        </w:rPr>
      </w:pPr>
      <w:r>
        <w:rPr>
          <w:rFonts w:ascii="Book Antiqua" w:hAnsi="Book Antiqua"/>
          <w:lang w:val="es-ES"/>
        </w:rPr>
        <w:t xml:space="preserve">Sección 2.- </w:t>
      </w:r>
      <w:r w:rsidRPr="00D436BC">
        <w:rPr>
          <w:rFonts w:ascii="Book Antiqua" w:hAnsi="Book Antiqua"/>
          <w:lang w:val="es-ES"/>
        </w:rPr>
        <w:t>Cláusula</w:t>
      </w:r>
      <w:r w:rsidR="00F94EB6" w:rsidRPr="00F94EB6">
        <w:rPr>
          <w:rFonts w:ascii="Book Antiqua" w:hAnsi="Book Antiqua"/>
          <w:lang w:val="es-PR"/>
        </w:rPr>
        <w:t xml:space="preserve"> de </w:t>
      </w:r>
      <w:r>
        <w:rPr>
          <w:rFonts w:ascii="Book Antiqua" w:hAnsi="Book Antiqua"/>
          <w:lang w:val="es-PR"/>
        </w:rPr>
        <w:t>s</w:t>
      </w:r>
      <w:r w:rsidR="00F94EB6" w:rsidRPr="00F94EB6">
        <w:rPr>
          <w:rFonts w:ascii="Book Antiqua" w:hAnsi="Book Antiqua"/>
          <w:lang w:val="es-PR"/>
        </w:rPr>
        <w:t>eparabilidad.</w:t>
      </w:r>
    </w:p>
    <w:p w14:paraId="378D44E7" w14:textId="6222FB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Si cualquier cláusula, párrafo, subpárrafo, oración, palabra, letra, artículo, disposición, sección, subsección, título, capítulo, subcapítulo, acápite o parte de esta </w:t>
      </w:r>
      <w:r w:rsidR="007C7D36">
        <w:rPr>
          <w:rFonts w:ascii="Book Antiqua" w:hAnsi="Book Antiqua"/>
          <w:lang w:val="es-PR"/>
        </w:rPr>
        <w:t>l</w:t>
      </w:r>
      <w:r w:rsidRPr="00F94EB6">
        <w:rPr>
          <w:rFonts w:ascii="Book Antiqua" w:hAnsi="Book Antiqua"/>
          <w:lang w:val="es-PR"/>
        </w:rPr>
        <w:t xml:space="preserve">ey fuera anulada o declarada inconstitucional, la resolución, dictamen o sentencia a tal efecto dictada no afectará, perjudicará, ni invalidará el remanente de esta </w:t>
      </w:r>
      <w:r w:rsidR="007C7D36">
        <w:rPr>
          <w:rFonts w:ascii="Book Antiqua" w:hAnsi="Book Antiqua"/>
          <w:lang w:val="es-PR"/>
        </w:rPr>
        <w:t>l</w:t>
      </w:r>
      <w:r w:rsidRPr="00F94EB6">
        <w:rPr>
          <w:rFonts w:ascii="Book Antiqua" w:hAnsi="Book Antiqua"/>
          <w:lang w:val="es-PR"/>
        </w:rPr>
        <w:t xml:space="preserve">ey.  El efecto de dicha sentencia quedará limitado a la cláusula, párrafo, subpárrafo, oración, palabra, letra, </w:t>
      </w:r>
      <w:r w:rsidRPr="00F94EB6">
        <w:rPr>
          <w:rFonts w:ascii="Book Antiqua" w:hAnsi="Book Antiqua"/>
          <w:lang w:val="es-PR"/>
        </w:rPr>
        <w:lastRenderedPageBreak/>
        <w:t xml:space="preserve">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w:t>
      </w:r>
      <w:r w:rsidR="007C7D36">
        <w:rPr>
          <w:rFonts w:ascii="Book Antiqua" w:hAnsi="Book Antiqua"/>
          <w:lang w:val="es-PR"/>
        </w:rPr>
        <w:t>a</w:t>
      </w:r>
      <w:r w:rsidRPr="00F94EB6">
        <w:rPr>
          <w:rFonts w:ascii="Book Antiqua" w:hAnsi="Book Antiqua"/>
          <w:lang w:val="es-PR"/>
        </w:rPr>
        <w:t xml:space="preserve">rtículo, disposición, sección, subsección, título, capítulo, subcapítulo, acápite o parte de esta </w:t>
      </w:r>
      <w:r w:rsidR="007C7D36">
        <w:rPr>
          <w:rFonts w:ascii="Book Antiqua" w:hAnsi="Book Antiqua"/>
          <w:lang w:val="es-PR"/>
        </w:rPr>
        <w:t>l</w:t>
      </w:r>
      <w:r w:rsidRPr="00F94EB6">
        <w:rPr>
          <w:rFonts w:ascii="Book Antiqua" w:hAnsi="Book Antiqua"/>
          <w:lang w:val="es-PR"/>
        </w:rPr>
        <w:t xml:space="preserve">ey fuera invalidada o declarada inconstitucional, la resolución, dictamen o sentencia a tal efecto dictada no afectará ni invalidará la aplicación del remanente de esta </w:t>
      </w:r>
      <w:r w:rsidR="007C7D36">
        <w:rPr>
          <w:rFonts w:ascii="Book Antiqua" w:hAnsi="Book Antiqua"/>
          <w:lang w:val="es-PR"/>
        </w:rPr>
        <w:t>l</w:t>
      </w:r>
      <w:r w:rsidRPr="00F94EB6">
        <w:rPr>
          <w:rFonts w:ascii="Book Antiqua" w:hAnsi="Book Antiqua"/>
          <w:lang w:val="es-PR"/>
        </w:rPr>
        <w:t xml:space="preserve">ey a aquellas personas o circunstancias en que se pueda aplicar válidamente. </w:t>
      </w:r>
    </w:p>
    <w:p w14:paraId="41992577" w14:textId="16DE613B"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Es la voluntad expresa e inequívoca de esta Asamblea Legislativa que los tribunales hagan cumplir las disposiciones y la aplicación de esta </w:t>
      </w:r>
      <w:r w:rsidR="007C7D36">
        <w:rPr>
          <w:rFonts w:ascii="Book Antiqua" w:hAnsi="Book Antiqua"/>
          <w:lang w:val="es-PR"/>
        </w:rPr>
        <w:t>l</w:t>
      </w:r>
      <w:r w:rsidRPr="00F94EB6">
        <w:rPr>
          <w:rFonts w:ascii="Book Antiqua" w:hAnsi="Book Antiqua"/>
          <w:lang w:val="es-PR"/>
        </w:rPr>
        <w:t>ey en la mayor medida posible, aunque se deje sin efecto, anule, invalide, perjudique o declare inconstitucional</w:t>
      </w:r>
      <w:r>
        <w:rPr>
          <w:rFonts w:ascii="Book Antiqua" w:hAnsi="Book Antiqua"/>
          <w:lang w:val="es-PR"/>
        </w:rPr>
        <w:t xml:space="preserve"> </w:t>
      </w:r>
      <w:r w:rsidRPr="00F94EB6">
        <w:rPr>
          <w:rFonts w:ascii="Book Antiqua" w:hAnsi="Book Antiqua"/>
          <w:lang w:val="es-PR"/>
        </w:rPr>
        <w:t>alguna de sus partes, o, aunque se deje sin efecto, invalide o declare inconstitucional su aplicación a alguna persona o circunstancia.</w:t>
      </w:r>
    </w:p>
    <w:p w14:paraId="2B3F0E03" w14:textId="4A6E0493" w:rsidR="00F94EB6" w:rsidRPr="00F94EB6" w:rsidRDefault="007C7D36" w:rsidP="004E7A37">
      <w:pPr>
        <w:spacing w:line="480" w:lineRule="auto"/>
        <w:ind w:firstLine="720"/>
        <w:jc w:val="both"/>
        <w:rPr>
          <w:rFonts w:ascii="Book Antiqua" w:hAnsi="Book Antiqua"/>
          <w:lang w:val="es-PR"/>
        </w:rPr>
      </w:pPr>
      <w:r>
        <w:rPr>
          <w:rFonts w:ascii="Book Antiqua" w:hAnsi="Book Antiqua"/>
          <w:lang w:val="es-PR"/>
        </w:rPr>
        <w:t>Sección 3.-</w:t>
      </w:r>
      <w:r w:rsidR="00F94EB6" w:rsidRPr="00F94EB6">
        <w:rPr>
          <w:rFonts w:ascii="Book Antiqua" w:hAnsi="Book Antiqua"/>
          <w:lang w:val="es-PR"/>
        </w:rPr>
        <w:t xml:space="preserve"> Cláusula de </w:t>
      </w:r>
      <w:r>
        <w:rPr>
          <w:rFonts w:ascii="Book Antiqua" w:hAnsi="Book Antiqua"/>
          <w:lang w:val="es-PR"/>
        </w:rPr>
        <w:t>s</w:t>
      </w:r>
      <w:r w:rsidR="00F94EB6" w:rsidRPr="00F94EB6">
        <w:rPr>
          <w:rFonts w:ascii="Book Antiqua" w:hAnsi="Book Antiqua"/>
          <w:lang w:val="es-PR"/>
        </w:rPr>
        <w:t>upremacía.</w:t>
      </w:r>
    </w:p>
    <w:p w14:paraId="2D096361" w14:textId="10C74844"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En caso de que las disposiciones de esta </w:t>
      </w:r>
      <w:r w:rsidR="007C7D36">
        <w:rPr>
          <w:rFonts w:ascii="Book Antiqua" w:hAnsi="Book Antiqua"/>
          <w:lang w:val="es-PR"/>
        </w:rPr>
        <w:t>l</w:t>
      </w:r>
      <w:r w:rsidRPr="00F94EB6">
        <w:rPr>
          <w:rFonts w:ascii="Book Antiqua" w:hAnsi="Book Antiqua"/>
          <w:lang w:val="es-PR"/>
        </w:rPr>
        <w:t xml:space="preserve">ey estén en conflicto con las disposiciones de cualquier otra, las disposiciones de </w:t>
      </w:r>
      <w:r w:rsidR="007C7D36">
        <w:rPr>
          <w:rFonts w:ascii="Book Antiqua" w:hAnsi="Book Antiqua"/>
          <w:lang w:val="es-PR"/>
        </w:rPr>
        <w:t>ésta</w:t>
      </w:r>
      <w:r w:rsidRPr="00F94EB6">
        <w:rPr>
          <w:rFonts w:ascii="Book Antiqua" w:hAnsi="Book Antiqua"/>
          <w:lang w:val="es-PR"/>
        </w:rPr>
        <w:t xml:space="preserve"> prevalecerán.</w:t>
      </w:r>
    </w:p>
    <w:p w14:paraId="5C36555B" w14:textId="5526D0F4" w:rsidR="00F94EB6" w:rsidRPr="00F94EB6" w:rsidRDefault="007C7D36" w:rsidP="004E7A37">
      <w:pPr>
        <w:spacing w:line="480" w:lineRule="auto"/>
        <w:ind w:firstLine="720"/>
        <w:jc w:val="both"/>
        <w:rPr>
          <w:rFonts w:ascii="Book Antiqua" w:hAnsi="Book Antiqua"/>
          <w:lang w:val="es-PR"/>
        </w:rPr>
      </w:pPr>
      <w:r>
        <w:rPr>
          <w:rFonts w:ascii="Book Antiqua" w:hAnsi="Book Antiqua"/>
          <w:lang w:val="es-PR"/>
        </w:rPr>
        <w:t>Sección 4.-</w:t>
      </w:r>
      <w:r w:rsidR="00F94EB6" w:rsidRPr="00F94EB6">
        <w:rPr>
          <w:rFonts w:ascii="Book Antiqua" w:hAnsi="Book Antiqua"/>
          <w:lang w:val="es-PR"/>
        </w:rPr>
        <w:t xml:space="preserve"> Vigencia.</w:t>
      </w:r>
    </w:p>
    <w:p w14:paraId="35A2525C" w14:textId="6052DDC0" w:rsidR="00F13533" w:rsidRPr="004F6F8E" w:rsidRDefault="00F94EB6" w:rsidP="004E7A37">
      <w:pPr>
        <w:spacing w:line="480" w:lineRule="auto"/>
        <w:ind w:firstLine="720"/>
        <w:jc w:val="both"/>
        <w:rPr>
          <w:rFonts w:ascii="Book Antiqua" w:hAnsi="Book Antiqua"/>
          <w:lang w:val="es-ES"/>
        </w:rPr>
      </w:pPr>
      <w:r w:rsidRPr="00F94EB6">
        <w:rPr>
          <w:rFonts w:ascii="Book Antiqua" w:hAnsi="Book Antiqua"/>
          <w:lang w:val="es-PR"/>
        </w:rPr>
        <w:t xml:space="preserve">Esta </w:t>
      </w:r>
      <w:r w:rsidR="007C7D36">
        <w:rPr>
          <w:rFonts w:ascii="Book Antiqua" w:hAnsi="Book Antiqua"/>
          <w:lang w:val="es-PR"/>
        </w:rPr>
        <w:t>l</w:t>
      </w:r>
      <w:r w:rsidRPr="00F94EB6">
        <w:rPr>
          <w:rFonts w:ascii="Book Antiqua" w:hAnsi="Book Antiqua"/>
          <w:lang w:val="es-PR"/>
        </w:rPr>
        <w:t xml:space="preserve">ey entrará en vigor inmediatamente después de su aprobación. </w:t>
      </w:r>
    </w:p>
    <w:sectPr w:rsidR="00F13533" w:rsidRPr="004F6F8E"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0"/>
  </w:num>
  <w:num w:numId="3" w16cid:durableId="1132467">
    <w:abstractNumId w:val="6"/>
  </w:num>
  <w:num w:numId="4" w16cid:durableId="702096654">
    <w:abstractNumId w:val="8"/>
  </w:num>
  <w:num w:numId="5" w16cid:durableId="496698076">
    <w:abstractNumId w:val="9"/>
  </w:num>
  <w:num w:numId="6" w16cid:durableId="1469207924">
    <w:abstractNumId w:val="3"/>
  </w:num>
  <w:num w:numId="7" w16cid:durableId="355935514">
    <w:abstractNumId w:val="4"/>
  </w:num>
  <w:num w:numId="8" w16cid:durableId="259021808">
    <w:abstractNumId w:val="2"/>
  </w:num>
  <w:num w:numId="9" w16cid:durableId="957763560">
    <w:abstractNumId w:val="11"/>
  </w:num>
  <w:num w:numId="10" w16cid:durableId="1126197041">
    <w:abstractNumId w:val="5"/>
  </w:num>
  <w:num w:numId="11" w16cid:durableId="1098481574">
    <w:abstractNumId w:val="1"/>
  </w:num>
  <w:num w:numId="12" w16cid:durableId="17188950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C006D"/>
    <w:rsid w:val="001F4CA3"/>
    <w:rsid w:val="001F612A"/>
    <w:rsid w:val="00211396"/>
    <w:rsid w:val="002205E2"/>
    <w:rsid w:val="00226AE6"/>
    <w:rsid w:val="00245B34"/>
    <w:rsid w:val="00251962"/>
    <w:rsid w:val="00263355"/>
    <w:rsid w:val="00273792"/>
    <w:rsid w:val="002D4AC8"/>
    <w:rsid w:val="002F0A85"/>
    <w:rsid w:val="003069A5"/>
    <w:rsid w:val="00312328"/>
    <w:rsid w:val="00320D78"/>
    <w:rsid w:val="003262FE"/>
    <w:rsid w:val="0034244A"/>
    <w:rsid w:val="00353BCD"/>
    <w:rsid w:val="00380FE5"/>
    <w:rsid w:val="003924DD"/>
    <w:rsid w:val="00394FCB"/>
    <w:rsid w:val="003963F4"/>
    <w:rsid w:val="003B5254"/>
    <w:rsid w:val="003B75A6"/>
    <w:rsid w:val="003E1DFE"/>
    <w:rsid w:val="00405E33"/>
    <w:rsid w:val="004061CA"/>
    <w:rsid w:val="00407F1C"/>
    <w:rsid w:val="00415689"/>
    <w:rsid w:val="004440CB"/>
    <w:rsid w:val="004548EA"/>
    <w:rsid w:val="004713D2"/>
    <w:rsid w:val="004748F8"/>
    <w:rsid w:val="00475278"/>
    <w:rsid w:val="004A311A"/>
    <w:rsid w:val="004B7C8D"/>
    <w:rsid w:val="004E014B"/>
    <w:rsid w:val="004E7A37"/>
    <w:rsid w:val="004F6F8E"/>
    <w:rsid w:val="00515E15"/>
    <w:rsid w:val="0051629D"/>
    <w:rsid w:val="00521639"/>
    <w:rsid w:val="0052618B"/>
    <w:rsid w:val="00532BB7"/>
    <w:rsid w:val="005332E4"/>
    <w:rsid w:val="0053550C"/>
    <w:rsid w:val="00555018"/>
    <w:rsid w:val="005723DC"/>
    <w:rsid w:val="00587B0A"/>
    <w:rsid w:val="005D6A78"/>
    <w:rsid w:val="006104EC"/>
    <w:rsid w:val="006210DC"/>
    <w:rsid w:val="0064349D"/>
    <w:rsid w:val="00651FF1"/>
    <w:rsid w:val="00653EED"/>
    <w:rsid w:val="00685549"/>
    <w:rsid w:val="006A23E8"/>
    <w:rsid w:val="006B640E"/>
    <w:rsid w:val="006B7365"/>
    <w:rsid w:val="006C1B30"/>
    <w:rsid w:val="006C214B"/>
    <w:rsid w:val="006C2D81"/>
    <w:rsid w:val="006C7DF8"/>
    <w:rsid w:val="0073562E"/>
    <w:rsid w:val="00750FC8"/>
    <w:rsid w:val="007533D0"/>
    <w:rsid w:val="00755069"/>
    <w:rsid w:val="0076721E"/>
    <w:rsid w:val="00771E62"/>
    <w:rsid w:val="00772304"/>
    <w:rsid w:val="007B0660"/>
    <w:rsid w:val="007C7D36"/>
    <w:rsid w:val="007D6C27"/>
    <w:rsid w:val="007E3868"/>
    <w:rsid w:val="007F1746"/>
    <w:rsid w:val="00820C41"/>
    <w:rsid w:val="00844617"/>
    <w:rsid w:val="00850256"/>
    <w:rsid w:val="008504BC"/>
    <w:rsid w:val="008531DA"/>
    <w:rsid w:val="00860ADC"/>
    <w:rsid w:val="0088408D"/>
    <w:rsid w:val="00890DFB"/>
    <w:rsid w:val="008A0ACC"/>
    <w:rsid w:val="008D2C7D"/>
    <w:rsid w:val="008D44C5"/>
    <w:rsid w:val="009035B9"/>
    <w:rsid w:val="00924DCC"/>
    <w:rsid w:val="0093686F"/>
    <w:rsid w:val="00942FD4"/>
    <w:rsid w:val="00951997"/>
    <w:rsid w:val="009639AC"/>
    <w:rsid w:val="00990352"/>
    <w:rsid w:val="009F35CF"/>
    <w:rsid w:val="00A03405"/>
    <w:rsid w:val="00A10B1E"/>
    <w:rsid w:val="00A12BB9"/>
    <w:rsid w:val="00A1528A"/>
    <w:rsid w:val="00A26ED1"/>
    <w:rsid w:val="00A33918"/>
    <w:rsid w:val="00A37A2A"/>
    <w:rsid w:val="00A63AA7"/>
    <w:rsid w:val="00A7629F"/>
    <w:rsid w:val="00AA54D8"/>
    <w:rsid w:val="00AB248D"/>
    <w:rsid w:val="00AB6F75"/>
    <w:rsid w:val="00AD2305"/>
    <w:rsid w:val="00AE36A9"/>
    <w:rsid w:val="00AF0CEE"/>
    <w:rsid w:val="00B2475B"/>
    <w:rsid w:val="00B335B4"/>
    <w:rsid w:val="00B667AD"/>
    <w:rsid w:val="00B833A0"/>
    <w:rsid w:val="00B834FC"/>
    <w:rsid w:val="00B84C38"/>
    <w:rsid w:val="00B86C00"/>
    <w:rsid w:val="00B947F6"/>
    <w:rsid w:val="00BF10EF"/>
    <w:rsid w:val="00BF16AA"/>
    <w:rsid w:val="00C21312"/>
    <w:rsid w:val="00C24BB0"/>
    <w:rsid w:val="00C27EA0"/>
    <w:rsid w:val="00C354B8"/>
    <w:rsid w:val="00C37B5E"/>
    <w:rsid w:val="00C452FA"/>
    <w:rsid w:val="00C52517"/>
    <w:rsid w:val="00C60921"/>
    <w:rsid w:val="00C6282C"/>
    <w:rsid w:val="00C62936"/>
    <w:rsid w:val="00C653F2"/>
    <w:rsid w:val="00C679E6"/>
    <w:rsid w:val="00C768A8"/>
    <w:rsid w:val="00C908F9"/>
    <w:rsid w:val="00CA0917"/>
    <w:rsid w:val="00CA1099"/>
    <w:rsid w:val="00CA19E2"/>
    <w:rsid w:val="00CC0F45"/>
    <w:rsid w:val="00CC1C08"/>
    <w:rsid w:val="00CC49B0"/>
    <w:rsid w:val="00CD5D2B"/>
    <w:rsid w:val="00CF2B35"/>
    <w:rsid w:val="00D046E5"/>
    <w:rsid w:val="00D1295E"/>
    <w:rsid w:val="00D40CD7"/>
    <w:rsid w:val="00D417C2"/>
    <w:rsid w:val="00D429C3"/>
    <w:rsid w:val="00D436BC"/>
    <w:rsid w:val="00D60936"/>
    <w:rsid w:val="00D6297F"/>
    <w:rsid w:val="00D672A6"/>
    <w:rsid w:val="00D709EB"/>
    <w:rsid w:val="00D74714"/>
    <w:rsid w:val="00D77AA6"/>
    <w:rsid w:val="00D82F3F"/>
    <w:rsid w:val="00D84426"/>
    <w:rsid w:val="00D921C6"/>
    <w:rsid w:val="00D958C2"/>
    <w:rsid w:val="00DC321C"/>
    <w:rsid w:val="00DE2C63"/>
    <w:rsid w:val="00DE56DE"/>
    <w:rsid w:val="00DE7377"/>
    <w:rsid w:val="00E04AB5"/>
    <w:rsid w:val="00E22631"/>
    <w:rsid w:val="00E50EEA"/>
    <w:rsid w:val="00E52F58"/>
    <w:rsid w:val="00EC26AA"/>
    <w:rsid w:val="00EC37FA"/>
    <w:rsid w:val="00EC5DD6"/>
    <w:rsid w:val="00ED7A53"/>
    <w:rsid w:val="00EE0647"/>
    <w:rsid w:val="00EE4273"/>
    <w:rsid w:val="00EF6CE9"/>
    <w:rsid w:val="00F02004"/>
    <w:rsid w:val="00F042CB"/>
    <w:rsid w:val="00F1263F"/>
    <w:rsid w:val="00F13533"/>
    <w:rsid w:val="00F24D4C"/>
    <w:rsid w:val="00F46268"/>
    <w:rsid w:val="00F60A20"/>
    <w:rsid w:val="00F94EB6"/>
    <w:rsid w:val="00FA4B65"/>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F94EB6"/>
    <w:pPr>
      <w:keepNext/>
      <w:keepLines/>
      <w:spacing w:before="360" w:after="80"/>
      <w:outlineLvl w:val="1"/>
    </w:pPr>
    <w:rPr>
      <w:b/>
      <w:sz w:val="36"/>
      <w:szCs w:val="36"/>
      <w:lang w:val="es-PR"/>
    </w:rPr>
  </w:style>
  <w:style w:type="paragraph" w:styleId="Heading3">
    <w:name w:val="heading 3"/>
    <w:basedOn w:val="Normal"/>
    <w:next w:val="Normal"/>
    <w:link w:val="Heading3Char"/>
    <w:uiPriority w:val="9"/>
    <w:semiHidden/>
    <w:unhideWhenUsed/>
    <w:qFormat/>
    <w:rsid w:val="00F94EB6"/>
    <w:pPr>
      <w:keepNext/>
      <w:keepLines/>
      <w:spacing w:before="280" w:after="80"/>
      <w:outlineLvl w:val="2"/>
    </w:pPr>
    <w:rPr>
      <w:b/>
      <w:sz w:val="28"/>
      <w:szCs w:val="28"/>
      <w:lang w:val="es-PR"/>
    </w:rPr>
  </w:style>
  <w:style w:type="paragraph" w:styleId="Heading4">
    <w:name w:val="heading 4"/>
    <w:basedOn w:val="Normal"/>
    <w:next w:val="Normal"/>
    <w:link w:val="Heading4Char"/>
    <w:uiPriority w:val="9"/>
    <w:semiHidden/>
    <w:unhideWhenUsed/>
    <w:qFormat/>
    <w:rsid w:val="00F94EB6"/>
    <w:pPr>
      <w:keepNext/>
      <w:keepLines/>
      <w:spacing w:before="240" w:after="40"/>
      <w:outlineLvl w:val="3"/>
    </w:pPr>
    <w:rPr>
      <w:b/>
      <w:szCs w:val="24"/>
      <w:lang w:val="es-PR"/>
    </w:rPr>
  </w:style>
  <w:style w:type="paragraph" w:styleId="Heading5">
    <w:name w:val="heading 5"/>
    <w:basedOn w:val="Normal"/>
    <w:next w:val="Normal"/>
    <w:link w:val="Heading5Char"/>
    <w:uiPriority w:val="9"/>
    <w:semiHidden/>
    <w:unhideWhenUsed/>
    <w:qFormat/>
    <w:rsid w:val="00F94EB6"/>
    <w:pPr>
      <w:keepNext/>
      <w:keepLines/>
      <w:spacing w:before="220" w:after="40"/>
      <w:outlineLvl w:val="4"/>
    </w:pPr>
    <w:rPr>
      <w:b/>
      <w:sz w:val="22"/>
      <w:szCs w:val="22"/>
      <w:lang w:val="es-PR"/>
    </w:rPr>
  </w:style>
  <w:style w:type="paragraph" w:styleId="Heading6">
    <w:name w:val="heading 6"/>
    <w:basedOn w:val="Normal"/>
    <w:next w:val="Normal"/>
    <w:link w:val="Heading6Char"/>
    <w:uiPriority w:val="9"/>
    <w:semiHidden/>
    <w:unhideWhenUsed/>
    <w:qFormat/>
    <w:rsid w:val="00F94EB6"/>
    <w:pPr>
      <w:keepNext/>
      <w:keepLines/>
      <w:spacing w:before="200" w:after="40"/>
      <w:outlineLvl w:val="5"/>
    </w:pPr>
    <w:rPr>
      <w:b/>
      <w:sz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unhideWhenUsed/>
    <w:rsid w:val="00EE0647"/>
    <w:rPr>
      <w:sz w:val="20"/>
    </w:rPr>
  </w:style>
  <w:style w:type="character" w:customStyle="1" w:styleId="CommentTextChar">
    <w:name w:val="Comment Text Char"/>
    <w:basedOn w:val="DefaultParagraphFont"/>
    <w:link w:val="CommentText"/>
    <w:uiPriority w:val="99"/>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character" w:customStyle="1" w:styleId="Heading2Char">
    <w:name w:val="Heading 2 Char"/>
    <w:basedOn w:val="DefaultParagraphFont"/>
    <w:link w:val="Heading2"/>
    <w:uiPriority w:val="9"/>
    <w:semiHidden/>
    <w:rsid w:val="00F94EB6"/>
    <w:rPr>
      <w:b/>
      <w:sz w:val="36"/>
      <w:szCs w:val="36"/>
      <w:lang w:val="es-PR"/>
    </w:rPr>
  </w:style>
  <w:style w:type="character" w:customStyle="1" w:styleId="Heading3Char">
    <w:name w:val="Heading 3 Char"/>
    <w:basedOn w:val="DefaultParagraphFont"/>
    <w:link w:val="Heading3"/>
    <w:uiPriority w:val="9"/>
    <w:semiHidden/>
    <w:rsid w:val="00F94EB6"/>
    <w:rPr>
      <w:b/>
      <w:sz w:val="28"/>
      <w:szCs w:val="28"/>
      <w:lang w:val="es-PR"/>
    </w:rPr>
  </w:style>
  <w:style w:type="character" w:customStyle="1" w:styleId="Heading4Char">
    <w:name w:val="Heading 4 Char"/>
    <w:basedOn w:val="DefaultParagraphFont"/>
    <w:link w:val="Heading4"/>
    <w:uiPriority w:val="9"/>
    <w:semiHidden/>
    <w:rsid w:val="00F94EB6"/>
    <w:rPr>
      <w:b/>
      <w:sz w:val="24"/>
      <w:szCs w:val="24"/>
      <w:lang w:val="es-PR"/>
    </w:rPr>
  </w:style>
  <w:style w:type="character" w:customStyle="1" w:styleId="Heading5Char">
    <w:name w:val="Heading 5 Char"/>
    <w:basedOn w:val="DefaultParagraphFont"/>
    <w:link w:val="Heading5"/>
    <w:uiPriority w:val="9"/>
    <w:semiHidden/>
    <w:rsid w:val="00F94EB6"/>
    <w:rPr>
      <w:b/>
      <w:sz w:val="22"/>
      <w:szCs w:val="22"/>
      <w:lang w:val="es-PR"/>
    </w:rPr>
  </w:style>
  <w:style w:type="character" w:customStyle="1" w:styleId="Heading6Char">
    <w:name w:val="Heading 6 Char"/>
    <w:basedOn w:val="DefaultParagraphFont"/>
    <w:link w:val="Heading6"/>
    <w:uiPriority w:val="9"/>
    <w:semiHidden/>
    <w:rsid w:val="00F94EB6"/>
    <w:rPr>
      <w:b/>
      <w:lang w:val="es-PR"/>
    </w:rPr>
  </w:style>
  <w:style w:type="character" w:customStyle="1" w:styleId="Heading1Char">
    <w:name w:val="Heading 1 Char"/>
    <w:basedOn w:val="DefaultParagraphFont"/>
    <w:link w:val="Heading1"/>
    <w:uiPriority w:val="9"/>
    <w:rsid w:val="00F94EB6"/>
    <w:rPr>
      <w:rFonts w:ascii="Arial" w:hAnsi="Arial"/>
      <w:b/>
      <w:kern w:val="28"/>
      <w:sz w:val="28"/>
    </w:rPr>
  </w:style>
  <w:style w:type="paragraph" w:styleId="Title">
    <w:name w:val="Title"/>
    <w:basedOn w:val="Normal"/>
    <w:next w:val="Normal"/>
    <w:link w:val="TitleChar"/>
    <w:uiPriority w:val="10"/>
    <w:qFormat/>
    <w:rsid w:val="00F94EB6"/>
    <w:pPr>
      <w:keepNext/>
      <w:keepLines/>
      <w:spacing w:before="480" w:after="120"/>
    </w:pPr>
    <w:rPr>
      <w:b/>
      <w:sz w:val="72"/>
      <w:szCs w:val="72"/>
      <w:lang w:val="es-PR"/>
    </w:rPr>
  </w:style>
  <w:style w:type="character" w:customStyle="1" w:styleId="TitleChar">
    <w:name w:val="Title Char"/>
    <w:basedOn w:val="DefaultParagraphFont"/>
    <w:link w:val="Title"/>
    <w:uiPriority w:val="10"/>
    <w:rsid w:val="00F94EB6"/>
    <w:rPr>
      <w:b/>
      <w:sz w:val="72"/>
      <w:szCs w:val="72"/>
      <w:lang w:val="es-PR"/>
    </w:rPr>
  </w:style>
  <w:style w:type="character" w:customStyle="1" w:styleId="HeaderChar">
    <w:name w:val="Header Char"/>
    <w:basedOn w:val="DefaultParagraphFont"/>
    <w:link w:val="Header"/>
    <w:rsid w:val="00F94EB6"/>
    <w:rPr>
      <w:sz w:val="24"/>
    </w:rPr>
  </w:style>
  <w:style w:type="character" w:customStyle="1" w:styleId="FooterChar">
    <w:name w:val="Footer Char"/>
    <w:basedOn w:val="DefaultParagraphFont"/>
    <w:link w:val="Footer"/>
    <w:uiPriority w:val="99"/>
    <w:rsid w:val="00F94EB6"/>
    <w:rPr>
      <w:sz w:val="24"/>
    </w:rPr>
  </w:style>
  <w:style w:type="paragraph" w:styleId="Subtitle">
    <w:name w:val="Subtitle"/>
    <w:basedOn w:val="Normal"/>
    <w:next w:val="Normal"/>
    <w:link w:val="SubtitleCh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itleChar">
    <w:name w:val="Subtitle Char"/>
    <w:basedOn w:val="DefaultParagraphFont"/>
    <w:link w:val="Subtitle"/>
    <w:uiPriority w:val="11"/>
    <w:rsid w:val="00F94EB6"/>
    <w:rPr>
      <w:rFonts w:ascii="Georgia" w:eastAsia="Georgia" w:hAnsi="Georgia" w:cs="Georgia"/>
      <w:i/>
      <w:color w:val="666666"/>
      <w:sz w:val="48"/>
      <w:szCs w:val="48"/>
      <w:lang w:val="es-PR"/>
    </w:rPr>
  </w:style>
  <w:style w:type="character" w:styleId="UnresolvedMention">
    <w:name w:val="Unresolved Mention"/>
    <w:basedOn w:val="DefaultParagraphFont"/>
    <w:uiPriority w:val="99"/>
    <w:semiHidden/>
    <w:unhideWhenUsed/>
    <w:rsid w:val="00F94EB6"/>
    <w:rPr>
      <w:color w:val="605E5C"/>
      <w:shd w:val="clear" w:color="auto" w:fill="E1DFDD"/>
    </w:rPr>
  </w:style>
  <w:style w:type="character" w:styleId="FollowedHyperlink">
    <w:name w:val="FollowedHyperlink"/>
    <w:basedOn w:val="DefaultParagraphFont"/>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1184</Words>
  <Characters>6322</Characters>
  <Application>Microsoft Office Word</Application>
  <DocSecurity>0</DocSecurity>
  <Lines>52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2025-08-19T15:40:00Z</cp:lastPrinted>
  <dcterms:created xsi:type="dcterms:W3CDTF">2025-08-19T15:09:00Z</dcterms:created>
  <dcterms:modified xsi:type="dcterms:W3CDTF">2025-08-19T20:38:00Z</dcterms:modified>
</cp:coreProperties>
</file>