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453B4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453B4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453B4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453B4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5453B4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453B4">
        <w:rPr>
          <w:rFonts w:ascii="Book Antiqua" w:hAnsi="Book Antiqua"/>
          <w:szCs w:val="24"/>
          <w:lang w:val="es-ES_tradnl"/>
        </w:rPr>
        <w:t>20m</w:t>
      </w:r>
      <w:r w:rsidR="002670C1" w:rsidRPr="005453B4">
        <w:rPr>
          <w:rFonts w:ascii="Book Antiqua" w:hAnsi="Book Antiqua"/>
          <w:szCs w:val="24"/>
          <w:lang w:val="es-ES_tradnl"/>
        </w:rPr>
        <w:t>a. Asamblea</w:t>
      </w:r>
      <w:r w:rsidR="002670C1" w:rsidRPr="005453B4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453B4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453B4">
        <w:rPr>
          <w:rFonts w:ascii="Book Antiqua" w:hAnsi="Book Antiqua"/>
          <w:szCs w:val="24"/>
          <w:lang w:val="es-ES_tradnl"/>
        </w:rPr>
        <w:t xml:space="preserve">  </w:t>
      </w:r>
      <w:r w:rsidR="003D1498" w:rsidRPr="005453B4">
        <w:rPr>
          <w:rFonts w:ascii="Book Antiqua" w:hAnsi="Book Antiqua"/>
          <w:szCs w:val="24"/>
          <w:lang w:val="es-ES_tradnl"/>
        </w:rPr>
        <w:t>2d</w:t>
      </w:r>
      <w:r w:rsidR="002670C1" w:rsidRPr="005453B4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453B4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453B4">
        <w:rPr>
          <w:rFonts w:ascii="Book Antiqua" w:hAnsi="Book Antiqua"/>
          <w:szCs w:val="24"/>
          <w:lang w:val="es-ES_tradnl"/>
        </w:rPr>
        <w:tab/>
        <w:t>Legislativa</w:t>
      </w:r>
      <w:r w:rsidRPr="005453B4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453B4">
        <w:rPr>
          <w:rFonts w:ascii="Book Antiqua" w:hAnsi="Book Antiqua"/>
          <w:szCs w:val="24"/>
          <w:lang w:val="es-ES_tradnl"/>
        </w:rPr>
        <w:t xml:space="preserve">       </w:t>
      </w:r>
      <w:r w:rsidRPr="005453B4">
        <w:rPr>
          <w:rFonts w:ascii="Book Antiqua" w:hAnsi="Book Antiqua"/>
          <w:szCs w:val="24"/>
          <w:lang w:val="es-ES_tradnl"/>
        </w:rPr>
        <w:t xml:space="preserve"> </w:t>
      </w:r>
      <w:r w:rsidR="00632DBA" w:rsidRPr="005453B4">
        <w:rPr>
          <w:rFonts w:ascii="Book Antiqua" w:hAnsi="Book Antiqua"/>
          <w:szCs w:val="24"/>
          <w:lang w:val="es-ES_tradnl"/>
        </w:rPr>
        <w:t xml:space="preserve"> </w:t>
      </w:r>
      <w:r w:rsidRPr="005453B4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453B4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453B4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453B4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453B4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453B4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6C2031EF" w:rsidR="002670C1" w:rsidRPr="005453B4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453B4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9D54C1" w:rsidRPr="005453B4">
        <w:rPr>
          <w:rFonts w:ascii="Book Antiqua" w:hAnsi="Book Antiqua" w:cs="Tahoma"/>
          <w:b/>
          <w:sz w:val="52"/>
          <w:szCs w:val="52"/>
          <w:lang w:val="es-ES_tradnl"/>
        </w:rPr>
        <w:t>403</w:t>
      </w:r>
    </w:p>
    <w:p w14:paraId="2AB71EBC" w14:textId="77777777" w:rsidR="001A14B6" w:rsidRPr="005453B4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453B4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453B4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453B4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453B4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5C5C8BF7" w:rsidR="002670C1" w:rsidRPr="005453B4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5453B4">
        <w:rPr>
          <w:rFonts w:ascii="Book Antiqua" w:hAnsi="Book Antiqua" w:cs="Tahoma"/>
          <w:lang w:val="es-ES_tradnl"/>
        </w:rPr>
        <w:t xml:space="preserve"> </w:t>
      </w:r>
      <w:r w:rsidR="00B70801">
        <w:rPr>
          <w:rFonts w:ascii="Book Antiqua" w:hAnsi="Book Antiqua" w:cs="Tahoma"/>
          <w:lang w:val="es-ES_tradnl"/>
        </w:rPr>
        <w:t>6</w:t>
      </w:r>
      <w:r w:rsidRPr="005453B4">
        <w:rPr>
          <w:rFonts w:ascii="Book Antiqua" w:hAnsi="Book Antiqua" w:cs="Tahoma"/>
          <w:lang w:val="es-ES_tradnl"/>
        </w:rPr>
        <w:t xml:space="preserve"> de </w:t>
      </w:r>
      <w:r w:rsidR="00B70801">
        <w:rPr>
          <w:rFonts w:ascii="Book Antiqua" w:hAnsi="Book Antiqua" w:cs="Tahoma"/>
          <w:lang w:val="es-ES_tradnl"/>
        </w:rPr>
        <w:t>noviembre</w:t>
      </w:r>
      <w:r w:rsidRPr="005453B4">
        <w:rPr>
          <w:rFonts w:ascii="Book Antiqua" w:hAnsi="Book Antiqua" w:cs="Tahoma"/>
          <w:lang w:val="es-ES_tradnl"/>
        </w:rPr>
        <w:t xml:space="preserve"> de </w:t>
      </w:r>
      <w:r w:rsidR="00333864" w:rsidRPr="005453B4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5453B4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453B4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453B4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453B4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453B4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65092093" w:rsidR="00682883" w:rsidRPr="005453B4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453B4">
        <w:rPr>
          <w:rFonts w:ascii="Book Antiqua" w:hAnsi="Book Antiqua" w:cs="Tahoma"/>
          <w:lang w:val="es-ES_tradnl"/>
        </w:rPr>
        <w:tab/>
      </w:r>
      <w:r w:rsidR="008A4022" w:rsidRPr="005453B4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5453B4">
        <w:rPr>
          <w:rFonts w:ascii="Book Antiqua" w:hAnsi="Book Antiqua" w:cs="Tahoma"/>
          <w:lang w:val="es-ES_tradnl"/>
        </w:rPr>
        <w:t>sideración de la R. de la C.</w:t>
      </w:r>
      <w:r w:rsidR="009D54C1" w:rsidRPr="005453B4">
        <w:rPr>
          <w:rFonts w:ascii="Book Antiqua" w:hAnsi="Book Antiqua" w:cs="Tahoma"/>
          <w:lang w:val="es-ES_tradnl"/>
        </w:rPr>
        <w:t xml:space="preserve"> 403</w:t>
      </w:r>
      <w:r w:rsidR="00FA5F29" w:rsidRPr="005453B4">
        <w:rPr>
          <w:rFonts w:ascii="Book Antiqua" w:hAnsi="Book Antiqua" w:cs="Tahoma"/>
          <w:lang w:val="es-ES_tradnl"/>
        </w:rPr>
        <w:t xml:space="preserve">, </w:t>
      </w:r>
      <w:r w:rsidR="00682883" w:rsidRPr="005453B4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5453B4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4176736C" w:rsidR="008D4A0A" w:rsidRPr="005453B4" w:rsidRDefault="00BC1CB2" w:rsidP="009D54C1">
      <w:pPr>
        <w:ind w:left="567" w:hanging="567"/>
        <w:jc w:val="both"/>
        <w:rPr>
          <w:rFonts w:ascii="Book Antiqua" w:hAnsi="Book Antiqua"/>
          <w:lang w:val="es-ES_tradnl"/>
        </w:rPr>
      </w:pPr>
      <w:r w:rsidRPr="005453B4">
        <w:rPr>
          <w:rFonts w:ascii="Book Antiqua" w:hAnsi="Book Antiqua" w:cs="Tahoma"/>
          <w:lang w:val="es-ES_tradnl"/>
        </w:rPr>
        <w:t xml:space="preserve"> </w:t>
      </w:r>
      <w:r w:rsidR="00E86FF9" w:rsidRPr="005453B4">
        <w:rPr>
          <w:rFonts w:ascii="Book Antiqua" w:hAnsi="Book Antiqua" w:cs="Tahoma"/>
          <w:lang w:val="es-ES_tradnl"/>
        </w:rPr>
        <w:t>“</w:t>
      </w:r>
      <w:r w:rsidR="00E86FF9" w:rsidRPr="005453B4">
        <w:rPr>
          <w:rFonts w:ascii="Book Antiqua" w:hAnsi="Book Antiqua"/>
          <w:lang w:val="es-ES_tradnl"/>
        </w:rPr>
        <w:t>Para</w:t>
      </w:r>
      <w:r w:rsidR="00E86FF9" w:rsidRPr="005453B4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5453B4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5453B4">
        <w:rPr>
          <w:rFonts w:ascii="Book Antiqua" w:hAnsi="Book Antiqua"/>
          <w:lang w:val="es-ES_tradnl"/>
        </w:rPr>
        <w:t xml:space="preserve">a la Comisión </w:t>
      </w:r>
      <w:r w:rsidR="00C321E8" w:rsidRPr="005453B4">
        <w:rPr>
          <w:rFonts w:ascii="Book Antiqua" w:hAnsi="Book Antiqua"/>
          <w:lang w:val="es-ES_tradnl"/>
        </w:rPr>
        <w:t>de</w:t>
      </w:r>
      <w:r w:rsidR="00DF3E6F" w:rsidRPr="005453B4">
        <w:rPr>
          <w:rFonts w:ascii="Book Antiqua" w:hAnsi="Book Antiqua"/>
          <w:lang w:val="es-ES_tradnl"/>
        </w:rPr>
        <w:t xml:space="preserve"> </w:t>
      </w:r>
      <w:bookmarkEnd w:id="0"/>
      <w:bookmarkEnd w:id="3"/>
      <w:bookmarkEnd w:id="1"/>
      <w:bookmarkEnd w:id="2"/>
      <w:r w:rsidR="009D54C1" w:rsidRPr="005453B4">
        <w:rPr>
          <w:rFonts w:ascii="Book Antiqua" w:hAnsi="Book Antiqua"/>
          <w:lang w:val="es-ES_tradnl"/>
        </w:rPr>
        <w:t>Educación de la Cámara de Representantes de Puerto Rico, realizar una investigación exhaustiva sobre la estructura, coordinación y desempeño de los organismos públicos encargados del desarrollo, promoción y fomento de las artes, la cultura y las industrias creativas en Puerto Rico; y para otros fines relacionados.</w:t>
      </w:r>
      <w:r w:rsidR="00FA5F29" w:rsidRPr="005453B4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5453B4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5453B4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453B4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5453B4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BFE7C6C" w14:textId="19D69BBD" w:rsidR="005453B4" w:rsidRPr="005453B4" w:rsidRDefault="00CC4336" w:rsidP="005453B4">
      <w:pPr>
        <w:jc w:val="both"/>
        <w:rPr>
          <w:rFonts w:ascii="Book Antiqua" w:hAnsi="Book Antiqua"/>
          <w:lang w:val="es-ES_tradnl"/>
        </w:rPr>
      </w:pPr>
      <w:r w:rsidRPr="005453B4">
        <w:rPr>
          <w:rFonts w:ascii="Book Antiqua" w:eastAsiaTheme="minorHAnsi" w:hAnsi="Book Antiqua"/>
          <w:lang w:val="es-ES_tradnl"/>
        </w:rPr>
        <w:t xml:space="preserve">     </w:t>
      </w:r>
      <w:r w:rsidR="00DE02EB" w:rsidRPr="005453B4">
        <w:rPr>
          <w:rFonts w:ascii="Book Antiqua" w:hAnsi="Book Antiqua"/>
          <w:lang w:val="es-ES_tradnl"/>
        </w:rPr>
        <w:t>La</w:t>
      </w:r>
      <w:r w:rsidR="00194744" w:rsidRPr="005453B4">
        <w:rPr>
          <w:rFonts w:ascii="Book Antiqua" w:hAnsi="Book Antiqua"/>
          <w:lang w:val="es-ES_tradnl"/>
        </w:rPr>
        <w:t xml:space="preserve"> Resolución de la Cámara Núm.</w:t>
      </w:r>
      <w:r w:rsidR="000F1167" w:rsidRPr="005453B4">
        <w:rPr>
          <w:rFonts w:ascii="Book Antiqua" w:hAnsi="Book Antiqua"/>
          <w:lang w:val="es-ES_tradnl"/>
        </w:rPr>
        <w:t xml:space="preserve"> </w:t>
      </w:r>
      <w:r w:rsidR="009D54C1" w:rsidRPr="005453B4">
        <w:rPr>
          <w:rFonts w:ascii="Book Antiqua" w:hAnsi="Book Antiqua"/>
          <w:lang w:val="es-ES_tradnl"/>
        </w:rPr>
        <w:t xml:space="preserve">403 </w:t>
      </w:r>
      <w:r w:rsidR="00DF3E6F" w:rsidRPr="005453B4">
        <w:rPr>
          <w:rFonts w:ascii="Book Antiqua" w:hAnsi="Book Antiqua"/>
          <w:lang w:val="es-ES_tradnl"/>
        </w:rPr>
        <w:t>tiene el propósito de realizar una</w:t>
      </w:r>
      <w:r w:rsidR="005453B4" w:rsidRPr="005453B4">
        <w:rPr>
          <w:rFonts w:ascii="Book Antiqua" w:hAnsi="Book Antiqua"/>
          <w:lang w:val="es-ES_tradnl"/>
        </w:rPr>
        <w:t xml:space="preserve"> investigación exhaustiva sobre el funcionamiento de los organismos públicos responsables del desarrollo y la promoción de las artes y la cultura en Puerto Rico.</w:t>
      </w:r>
    </w:p>
    <w:p w14:paraId="5921597B" w14:textId="77777777" w:rsidR="005453B4" w:rsidRPr="005453B4" w:rsidRDefault="005453B4" w:rsidP="005453B4">
      <w:pPr>
        <w:jc w:val="both"/>
        <w:rPr>
          <w:rFonts w:ascii="Book Antiqua" w:hAnsi="Book Antiqua"/>
          <w:lang w:val="es-ES_tradnl"/>
        </w:rPr>
      </w:pPr>
    </w:p>
    <w:p w14:paraId="4C1F908B" w14:textId="77777777" w:rsidR="005453B4" w:rsidRPr="005453B4" w:rsidRDefault="005453B4" w:rsidP="005453B4">
      <w:pPr>
        <w:jc w:val="both"/>
        <w:rPr>
          <w:rFonts w:ascii="Book Antiqua" w:hAnsi="Book Antiqua"/>
          <w:lang w:val="es-ES_tradnl"/>
        </w:rPr>
      </w:pPr>
      <w:r w:rsidRPr="005453B4">
        <w:rPr>
          <w:rFonts w:ascii="Book Antiqua" w:hAnsi="Book Antiqua"/>
          <w:lang w:val="es-ES_tradnl"/>
        </w:rPr>
        <w:t xml:space="preserve">     La medida reconoce la multiplicidad de entidades que, desde diversas perspectivas, impulsan la gestión cultural y artística del país, tales como el </w:t>
      </w:r>
      <w:r w:rsidRPr="005453B4">
        <w:rPr>
          <w:rFonts w:ascii="Book Antiqua" w:hAnsi="Book Antiqua"/>
          <w:bCs/>
          <w:lang w:val="es-ES_tradnl"/>
        </w:rPr>
        <w:t>Instituto de Cultura Puertorriqueña</w:t>
      </w:r>
      <w:r w:rsidRPr="005453B4">
        <w:rPr>
          <w:rFonts w:ascii="Book Antiqua" w:hAnsi="Book Antiqua"/>
          <w:lang w:val="es-ES_tradnl"/>
        </w:rPr>
        <w:t xml:space="preserve">, la </w:t>
      </w:r>
      <w:r w:rsidRPr="005453B4">
        <w:rPr>
          <w:rFonts w:ascii="Book Antiqua" w:hAnsi="Book Antiqua"/>
          <w:bCs/>
          <w:lang w:val="es-ES_tradnl"/>
        </w:rPr>
        <w:t>Corporación del Centro de Bellas Artes Luis A. Ferré</w:t>
      </w:r>
      <w:r w:rsidRPr="005453B4">
        <w:rPr>
          <w:rFonts w:ascii="Book Antiqua" w:hAnsi="Book Antiqua"/>
          <w:lang w:val="es-ES_tradnl"/>
        </w:rPr>
        <w:t xml:space="preserve">, el </w:t>
      </w:r>
      <w:r w:rsidRPr="005453B4">
        <w:rPr>
          <w:rFonts w:ascii="Book Antiqua" w:hAnsi="Book Antiqua"/>
          <w:bCs/>
          <w:lang w:val="es-ES_tradnl"/>
        </w:rPr>
        <w:t>Conservatorio de Música de Puerto Rico</w:t>
      </w:r>
      <w:r w:rsidRPr="005453B4">
        <w:rPr>
          <w:rFonts w:ascii="Book Antiqua" w:hAnsi="Book Antiqua"/>
          <w:lang w:val="es-ES_tradnl"/>
        </w:rPr>
        <w:t xml:space="preserve">, la </w:t>
      </w:r>
      <w:r w:rsidRPr="005453B4">
        <w:rPr>
          <w:rFonts w:ascii="Book Antiqua" w:hAnsi="Book Antiqua"/>
          <w:bCs/>
          <w:lang w:val="es-ES_tradnl"/>
        </w:rPr>
        <w:t>Corporación de las Artes Musicales</w:t>
      </w:r>
      <w:r w:rsidRPr="005453B4">
        <w:rPr>
          <w:rFonts w:ascii="Book Antiqua" w:hAnsi="Book Antiqua"/>
          <w:lang w:val="es-ES_tradnl"/>
        </w:rPr>
        <w:t xml:space="preserve">, la </w:t>
      </w:r>
      <w:r w:rsidRPr="005453B4">
        <w:rPr>
          <w:rFonts w:ascii="Book Antiqua" w:hAnsi="Book Antiqua"/>
          <w:bCs/>
          <w:lang w:val="es-ES_tradnl"/>
        </w:rPr>
        <w:t>Corporación de Puerto Rico para la Difusión Pública</w:t>
      </w:r>
      <w:r w:rsidRPr="005453B4">
        <w:rPr>
          <w:rFonts w:ascii="Book Antiqua" w:hAnsi="Book Antiqua"/>
          <w:lang w:val="es-ES_tradnl"/>
        </w:rPr>
        <w:t xml:space="preserve">, el </w:t>
      </w:r>
      <w:r w:rsidRPr="005453B4">
        <w:rPr>
          <w:rFonts w:ascii="Book Antiqua" w:hAnsi="Book Antiqua"/>
          <w:bCs/>
          <w:lang w:val="es-ES_tradnl"/>
        </w:rPr>
        <w:t>Museo de Arte de Puerto Rico</w:t>
      </w:r>
      <w:r w:rsidRPr="005453B4">
        <w:rPr>
          <w:rFonts w:ascii="Book Antiqua" w:hAnsi="Book Antiqua"/>
          <w:lang w:val="es-ES_tradnl"/>
        </w:rPr>
        <w:t xml:space="preserve"> y el </w:t>
      </w:r>
      <w:r w:rsidRPr="005453B4">
        <w:rPr>
          <w:rFonts w:ascii="Book Antiqua" w:hAnsi="Book Antiqua"/>
          <w:bCs/>
          <w:lang w:val="es-ES_tradnl"/>
        </w:rPr>
        <w:t>Programa para el Desarrollo de la Industria Cinematográfica</w:t>
      </w:r>
      <w:r w:rsidRPr="005453B4">
        <w:rPr>
          <w:rFonts w:ascii="Book Antiqua" w:hAnsi="Book Antiqua"/>
          <w:lang w:val="es-ES_tradnl"/>
        </w:rPr>
        <w:t>, entre otros.</w:t>
      </w:r>
    </w:p>
    <w:p w14:paraId="7A6FA1D2" w14:textId="77777777" w:rsidR="005453B4" w:rsidRPr="005453B4" w:rsidRDefault="005453B4" w:rsidP="005453B4">
      <w:pPr>
        <w:jc w:val="both"/>
        <w:rPr>
          <w:rFonts w:ascii="Book Antiqua" w:hAnsi="Book Antiqua"/>
          <w:lang w:val="es-ES_tradnl"/>
        </w:rPr>
      </w:pPr>
    </w:p>
    <w:p w14:paraId="41704C8D" w14:textId="279FFB30" w:rsidR="005453B4" w:rsidRPr="005453B4" w:rsidRDefault="005453B4" w:rsidP="005453B4">
      <w:pPr>
        <w:jc w:val="both"/>
        <w:rPr>
          <w:rFonts w:ascii="Book Antiqua" w:hAnsi="Book Antiqua"/>
          <w:lang w:val="es-ES_tradnl"/>
        </w:rPr>
      </w:pPr>
      <w:r w:rsidRPr="005453B4">
        <w:rPr>
          <w:rFonts w:ascii="Book Antiqua" w:hAnsi="Book Antiqua"/>
          <w:lang w:val="es-ES_tradnl"/>
        </w:rPr>
        <w:lastRenderedPageBreak/>
        <w:t xml:space="preserve">     No obstante, la autora de la medida plantea la necesidad de examinar si dichas entidades responden a una política pública cultural coherente, si cuentan con los recursos presupuestarios necesarios y si su labor se encuentra debidamente coordinada para maximizar la efectividad de los fondos asignados.</w:t>
      </w:r>
    </w:p>
    <w:p w14:paraId="6696A25D" w14:textId="77777777" w:rsidR="005453B4" w:rsidRPr="005453B4" w:rsidRDefault="005453B4" w:rsidP="005453B4">
      <w:pPr>
        <w:jc w:val="both"/>
        <w:rPr>
          <w:rFonts w:ascii="Book Antiqua" w:hAnsi="Book Antiqua"/>
          <w:lang w:val="es-ES_tradnl"/>
        </w:rPr>
      </w:pPr>
    </w:p>
    <w:p w14:paraId="0C35A5AD" w14:textId="77839D20" w:rsidR="005453B4" w:rsidRPr="005453B4" w:rsidRDefault="005453B4" w:rsidP="005453B4">
      <w:pPr>
        <w:jc w:val="both"/>
        <w:rPr>
          <w:rFonts w:ascii="Book Antiqua" w:hAnsi="Book Antiqua"/>
          <w:lang w:val="es-ES_tradnl"/>
        </w:rPr>
      </w:pPr>
      <w:r w:rsidRPr="005453B4">
        <w:rPr>
          <w:rFonts w:ascii="Book Antiqua" w:hAnsi="Book Antiqua"/>
          <w:lang w:val="es-ES_tradnl"/>
        </w:rPr>
        <w:t xml:space="preserve">     La Exposición de Motivos de la Resolución enfatiza que el Gobierno invierte sumas millonarias en programas culturales, pero no existe una evaluación sistemática sobre la distribución y uso de los recursos. Asimismo, se resalta que, en ocasiones, existe desproporción entre los gastos operacionales de las agencias y los fondos destinados directamente a artistas, creadores y proyectos culturales.</w:t>
      </w:r>
    </w:p>
    <w:p w14:paraId="381325A0" w14:textId="77777777" w:rsidR="005453B4" w:rsidRPr="005453B4" w:rsidRDefault="005453B4" w:rsidP="005453B4">
      <w:pPr>
        <w:jc w:val="both"/>
        <w:rPr>
          <w:rFonts w:ascii="Book Antiqua" w:hAnsi="Book Antiqua"/>
          <w:lang w:val="es-ES_tradnl"/>
        </w:rPr>
      </w:pPr>
    </w:p>
    <w:p w14:paraId="05E78832" w14:textId="31431607" w:rsidR="00DF3E6F" w:rsidRPr="005453B4" w:rsidRDefault="005453B4" w:rsidP="00DF3E6F">
      <w:pPr>
        <w:jc w:val="both"/>
        <w:rPr>
          <w:rFonts w:ascii="Book Antiqua" w:hAnsi="Book Antiqua"/>
          <w:lang w:val="es-ES_tradnl"/>
        </w:rPr>
      </w:pPr>
      <w:r w:rsidRPr="005453B4">
        <w:rPr>
          <w:rFonts w:ascii="Book Antiqua" w:hAnsi="Book Antiqua"/>
          <w:lang w:val="es-ES_tradnl"/>
        </w:rPr>
        <w:t xml:space="preserve">     La investigación propuesta permitirá identificar duplicidades de funciones, deficiencias en la coordinación interagencial y oportunidades de mejora en el diseño de política pública cultural. Además, podrá contribuir a fortalecer el ecosistema de las industrias creativas y el acceso de la ciudadanía a los recursos culturales del Estado.</w:t>
      </w:r>
    </w:p>
    <w:p w14:paraId="7645A4CC" w14:textId="77777777" w:rsidR="006150BB" w:rsidRPr="005453B4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453B4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15FCDD19" w:rsidR="001A02E8" w:rsidRPr="005453B4" w:rsidRDefault="001A02E8" w:rsidP="005453B4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5453B4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8B1E7C" w:rsidRPr="005453B4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persigue un fin apremiante y cumple con los requisitos necesarios para su aprobación. Por tal razón, se recomienda la aprobación d</w:t>
      </w:r>
      <w:r w:rsidRPr="005453B4">
        <w:rPr>
          <w:rFonts w:ascii="Book Antiqua" w:hAnsi="Book Antiqua"/>
          <w:sz w:val="24"/>
          <w:szCs w:val="24"/>
          <w:lang w:val="es-ES_tradnl"/>
        </w:rPr>
        <w:t>e l</w:t>
      </w:r>
      <w:r w:rsidR="005453B4" w:rsidRPr="005453B4">
        <w:rPr>
          <w:rFonts w:ascii="Book Antiqua" w:hAnsi="Book Antiqua"/>
          <w:sz w:val="24"/>
          <w:szCs w:val="24"/>
          <w:lang w:val="es-ES_tradnl"/>
        </w:rPr>
        <w:t>a Resolución de la Cámara 403</w:t>
      </w:r>
      <w:r w:rsidR="008B1E7C" w:rsidRPr="005453B4">
        <w:rPr>
          <w:rFonts w:ascii="Book Antiqua" w:hAnsi="Book Antiqua"/>
          <w:sz w:val="24"/>
          <w:szCs w:val="24"/>
          <w:lang w:val="es-ES_tradnl"/>
        </w:rPr>
        <w:t>, con las enmiendas contenidas en el entirillado electrónico que acompaña este informe.</w:t>
      </w:r>
    </w:p>
    <w:p w14:paraId="50FFCE58" w14:textId="77777777" w:rsidR="006150BB" w:rsidRPr="005453B4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5453B4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5453B4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5453B4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5453B4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5453B4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5453B4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5453B4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7DC33FC3" w14:textId="4F4319C4" w:rsidR="00307416" w:rsidRPr="005453B4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453B4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453B4">
        <w:rPr>
          <w:rFonts w:ascii="Book Antiqua" w:hAnsi="Book Antiqua" w:cs="Tahoma"/>
          <w:lang w:val="es-ES_tradnl"/>
        </w:rPr>
        <w:br/>
        <w:t>Presidente</w:t>
      </w:r>
      <w:r w:rsidRPr="005453B4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453B4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443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0285449">
    <w:abstractNumId w:val="6"/>
  </w:num>
  <w:num w:numId="2" w16cid:durableId="912861472">
    <w:abstractNumId w:val="12"/>
  </w:num>
  <w:num w:numId="3" w16cid:durableId="1009066930">
    <w:abstractNumId w:val="3"/>
  </w:num>
  <w:num w:numId="4" w16cid:durableId="636492236">
    <w:abstractNumId w:val="1"/>
  </w:num>
  <w:num w:numId="5" w16cid:durableId="1630670461">
    <w:abstractNumId w:val="7"/>
  </w:num>
  <w:num w:numId="6" w16cid:durableId="1848211495">
    <w:abstractNumId w:val="4"/>
  </w:num>
  <w:num w:numId="7" w16cid:durableId="1888639620">
    <w:abstractNumId w:val="5"/>
  </w:num>
  <w:num w:numId="8" w16cid:durableId="527371449">
    <w:abstractNumId w:val="8"/>
  </w:num>
  <w:num w:numId="9" w16cid:durableId="649090940">
    <w:abstractNumId w:val="9"/>
  </w:num>
  <w:num w:numId="10" w16cid:durableId="1770270460">
    <w:abstractNumId w:val="0"/>
  </w:num>
  <w:num w:numId="11" w16cid:durableId="1841119947">
    <w:abstractNumId w:val="2"/>
  </w:num>
  <w:num w:numId="12" w16cid:durableId="990183511">
    <w:abstractNumId w:val="11"/>
  </w:num>
  <w:num w:numId="13" w16cid:durableId="6810561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24433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05302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453B4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0F7D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D54C1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2739B"/>
    <w:rsid w:val="00B30114"/>
    <w:rsid w:val="00B330A4"/>
    <w:rsid w:val="00B34E25"/>
    <w:rsid w:val="00B475D2"/>
    <w:rsid w:val="00B557DA"/>
    <w:rsid w:val="00B65C62"/>
    <w:rsid w:val="00B70801"/>
    <w:rsid w:val="00B71C7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6C183CFC-B289-4803-9DCD-327A9F8F2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3</cp:revision>
  <cp:lastPrinted>2025-02-17T12:55:00Z</cp:lastPrinted>
  <dcterms:created xsi:type="dcterms:W3CDTF">2025-10-31T13:42:00Z</dcterms:created>
  <dcterms:modified xsi:type="dcterms:W3CDTF">2025-11-06T19:38:00Z</dcterms:modified>
</cp:coreProperties>
</file>