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19E876B3"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7E6F6E">
        <w:rPr>
          <w:rFonts w:ascii="Book Antiqua" w:eastAsia="Book Antiqua" w:hAnsi="Book Antiqua" w:cs="Book Antiqua"/>
        </w:rPr>
        <w:t>3</w:t>
      </w:r>
      <w:r w:rsidR="007E6F6E">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29258F7C" w:rsidR="003867AC" w:rsidRPr="00700566" w:rsidRDefault="0037066A">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747FD2">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85373F" w:rsidRPr="00700566">
        <w:rPr>
          <w:rFonts w:ascii="Book Antiqua" w:eastAsia="Book Antiqua" w:hAnsi="Book Antiqua" w:cs="Book Antiqua"/>
          <w:b/>
          <w:sz w:val="52"/>
          <w:szCs w:val="52"/>
        </w:rPr>
        <w:t>de la</w:t>
      </w:r>
      <w:r w:rsidR="004A35A7">
        <w:rPr>
          <w:rFonts w:ascii="Book Antiqua" w:eastAsia="Book Antiqua" w:hAnsi="Book Antiqua" w:cs="Book Antiqua"/>
          <w:b/>
          <w:sz w:val="52"/>
          <w:szCs w:val="52"/>
        </w:rPr>
        <w:t xml:space="preserve"> C</w:t>
      </w:r>
      <w:r w:rsidR="0085373F"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175</w:t>
      </w:r>
    </w:p>
    <w:p w14:paraId="00000008" w14:textId="0CCE079F"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3649BC">
        <w:rPr>
          <w:rFonts w:ascii="Book Antiqua" w:eastAsia="Book Antiqua" w:hAnsi="Book Antiqua" w:cs="Book Antiqua"/>
          <w:b/>
          <w:sz w:val="28"/>
          <w:szCs w:val="28"/>
        </w:rPr>
        <w:t>NEGATIVO</w:t>
      </w:r>
    </w:p>
    <w:p w14:paraId="00000009" w14:textId="71DD6894" w:rsidR="003867AC" w:rsidRPr="00700566" w:rsidRDefault="00B70105">
      <w:pPr>
        <w:spacing w:line="360" w:lineRule="auto"/>
        <w:jc w:val="center"/>
        <w:rPr>
          <w:rFonts w:ascii="Book Antiqua" w:eastAsia="Book Antiqua" w:hAnsi="Book Antiqua" w:cs="Book Antiqua"/>
          <w:b/>
        </w:rPr>
      </w:pPr>
      <w:r>
        <w:rPr>
          <w:rFonts w:ascii="Book Antiqua" w:eastAsia="Book Antiqua" w:hAnsi="Book Antiqua" w:cs="Book Antiqua"/>
        </w:rPr>
        <w:t>22</w:t>
      </w:r>
      <w:r w:rsidR="0085373F" w:rsidRPr="00700566">
        <w:rPr>
          <w:rFonts w:ascii="Book Antiqua" w:eastAsia="Book Antiqua" w:hAnsi="Book Antiqua" w:cs="Book Antiqua"/>
        </w:rPr>
        <w:t xml:space="preserve"> de </w:t>
      </w:r>
      <w:r w:rsidR="007E6F6E">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0D87C903"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37066A">
        <w:rPr>
          <w:rFonts w:ascii="Book Antiqua" w:eastAsia="Book Antiqua" w:hAnsi="Book Antiqua" w:cs="Book Antiqua"/>
        </w:rPr>
        <w:t>R</w:t>
      </w:r>
      <w:r w:rsidR="00747FD2">
        <w:rPr>
          <w:rFonts w:ascii="Book Antiqua" w:eastAsia="Book Antiqua" w:hAnsi="Book Antiqua" w:cs="Book Antiqua"/>
        </w:rPr>
        <w:t>.</w:t>
      </w:r>
      <w:r w:rsidRPr="00700566">
        <w:rPr>
          <w:rFonts w:ascii="Book Antiqua" w:eastAsia="Book Antiqua" w:hAnsi="Book Antiqua" w:cs="Book Antiqua"/>
        </w:rPr>
        <w:t xml:space="preserve"> </w:t>
      </w:r>
      <w:r w:rsidR="0037066A">
        <w:rPr>
          <w:rFonts w:ascii="Book Antiqua" w:eastAsia="Book Antiqua" w:hAnsi="Book Antiqua" w:cs="Book Antiqua"/>
        </w:rPr>
        <w:t xml:space="preserve">C. </w:t>
      </w:r>
      <w:r w:rsidRPr="00700566">
        <w:rPr>
          <w:rFonts w:ascii="Book Antiqua" w:eastAsia="Book Antiqua" w:hAnsi="Book Antiqua" w:cs="Book Antiqua"/>
        </w:rPr>
        <w:t xml:space="preserve">de la </w:t>
      </w:r>
      <w:r w:rsidR="004A35A7">
        <w:rPr>
          <w:rFonts w:ascii="Book Antiqua" w:eastAsia="Book Antiqua" w:hAnsi="Book Antiqua" w:cs="Book Antiqua"/>
        </w:rPr>
        <w:t>C</w:t>
      </w:r>
      <w:r w:rsidRPr="00700566">
        <w:rPr>
          <w:rFonts w:ascii="Book Antiqua" w:eastAsia="Book Antiqua" w:hAnsi="Book Antiqua" w:cs="Book Antiqua"/>
        </w:rPr>
        <w:t xml:space="preserve">. </w:t>
      </w:r>
      <w:r w:rsidR="0037066A">
        <w:rPr>
          <w:rFonts w:ascii="Book Antiqua" w:eastAsia="Book Antiqua" w:hAnsi="Book Antiqua" w:cs="Book Antiqua"/>
        </w:rPr>
        <w:t>175</w:t>
      </w:r>
      <w:r w:rsidRPr="00700566">
        <w:rPr>
          <w:rFonts w:ascii="Book Antiqua" w:eastAsia="Book Antiqua" w:hAnsi="Book Antiqua" w:cs="Book Antiqua"/>
        </w:rPr>
        <w:t>,</w:t>
      </w:r>
      <w:r w:rsidR="00747FD2">
        <w:rPr>
          <w:rFonts w:ascii="Book Antiqua" w:eastAsia="Book Antiqua" w:hAnsi="Book Antiqua" w:cs="Book Antiqua"/>
        </w:rPr>
        <w:t xml:space="preserve"> </w:t>
      </w:r>
      <w:r w:rsidRPr="00700566">
        <w:rPr>
          <w:rFonts w:ascii="Book Antiqua" w:eastAsia="Book Antiqua" w:hAnsi="Book Antiqua" w:cs="Book Antiqua"/>
        </w:rPr>
        <w:t xml:space="preserve">tiene a bien </w:t>
      </w:r>
      <w:r w:rsidR="003649BC">
        <w:rPr>
          <w:rFonts w:ascii="Book Antiqua" w:eastAsia="Book Antiqua" w:hAnsi="Book Antiqua" w:cs="Book Antiqua"/>
        </w:rPr>
        <w:t>someter</w:t>
      </w:r>
      <w:r w:rsidRPr="00700566">
        <w:rPr>
          <w:rFonts w:ascii="Book Antiqua" w:eastAsia="Book Antiqua" w:hAnsi="Book Antiqua" w:cs="Book Antiqua"/>
        </w:rPr>
        <w:t xml:space="preserve"> a este Alto Cuerpo </w:t>
      </w:r>
      <w:r w:rsidR="003649BC">
        <w:rPr>
          <w:rFonts w:ascii="Book Antiqua" w:eastAsia="Book Antiqua" w:hAnsi="Book Antiqua" w:cs="Book Antiqua"/>
        </w:rPr>
        <w:t xml:space="preserve">su </w:t>
      </w:r>
      <w:r w:rsidR="00F240E2">
        <w:rPr>
          <w:rFonts w:ascii="Book Antiqua" w:eastAsia="Book Antiqua" w:hAnsi="Book Antiqua" w:cs="Book Antiqua"/>
        </w:rPr>
        <w:t>I</w:t>
      </w:r>
      <w:r w:rsidR="003649BC">
        <w:rPr>
          <w:rFonts w:ascii="Book Antiqua" w:eastAsia="Book Antiqua" w:hAnsi="Book Antiqua" w:cs="Book Antiqua"/>
        </w:rPr>
        <w:t xml:space="preserve">nforme </w:t>
      </w:r>
      <w:r w:rsidR="00F240E2">
        <w:rPr>
          <w:rFonts w:ascii="Book Antiqua" w:eastAsia="Book Antiqua" w:hAnsi="Book Antiqua" w:cs="Book Antiqua"/>
        </w:rPr>
        <w:t>N</w:t>
      </w:r>
      <w:r w:rsidR="003649BC">
        <w:rPr>
          <w:rFonts w:ascii="Book Antiqua" w:eastAsia="Book Antiqua" w:hAnsi="Book Antiqua" w:cs="Book Antiqua"/>
        </w:rPr>
        <w:t>egativo de la medida</w:t>
      </w:r>
      <w:r w:rsidRPr="00700566">
        <w:rPr>
          <w:rFonts w:ascii="Book Antiqua" w:eastAsia="Book Antiqua" w:hAnsi="Book Antiqua" w:cs="Book Antiqua"/>
        </w:rPr>
        <w:t xml:space="preserve">. </w:t>
      </w:r>
    </w:p>
    <w:p w14:paraId="14FC0AB7" w14:textId="77777777" w:rsidR="000B7BCA" w:rsidRPr="00700566" w:rsidRDefault="000B7BCA">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4898D2F9" w14:textId="77777777" w:rsidR="00BD6366" w:rsidRPr="00BD6366" w:rsidRDefault="00BD6366" w:rsidP="00BD6366">
      <w:pPr>
        <w:ind w:firstLine="720"/>
        <w:jc w:val="both"/>
        <w:rPr>
          <w:rFonts w:ascii="Book Antiqua" w:eastAsia="Book Antiqua" w:hAnsi="Book Antiqua" w:cs="Book Antiqua"/>
          <w:bCs/>
          <w:lang w:val="es-PR"/>
        </w:rPr>
      </w:pPr>
      <w:bookmarkStart w:id="0" w:name="_heading=h.gjdgxs" w:colFirst="0" w:colLast="0"/>
      <w:bookmarkEnd w:id="0"/>
      <w:r w:rsidRPr="00BD6366">
        <w:rPr>
          <w:rFonts w:ascii="Book Antiqua" w:eastAsia="Book Antiqua" w:hAnsi="Book Antiqua" w:cs="Book Antiqua"/>
          <w:bCs/>
          <w:lang w:val="es-PR"/>
        </w:rPr>
        <w:t xml:space="preserve">La R. C. de la C. 175 propone ordenar a la Autoridad de Transporte Integrado (ATI) ofrecer tres nuevas paradas de autobús en la Ruta E30 de </w:t>
      </w:r>
      <w:proofErr w:type="spellStart"/>
      <w:r w:rsidRPr="00BD6366">
        <w:rPr>
          <w:rFonts w:ascii="Book Antiqua" w:eastAsia="Book Antiqua" w:hAnsi="Book Antiqua" w:cs="Book Antiqua"/>
          <w:bCs/>
          <w:lang w:val="es-PR"/>
        </w:rPr>
        <w:t>MetroUrbano</w:t>
      </w:r>
      <w:proofErr w:type="spellEnd"/>
      <w:r w:rsidRPr="00BD6366">
        <w:rPr>
          <w:rFonts w:ascii="Book Antiqua" w:eastAsia="Book Antiqua" w:hAnsi="Book Antiqua" w:cs="Book Antiqua"/>
          <w:bCs/>
          <w:lang w:val="es-PR"/>
        </w:rPr>
        <w:t xml:space="preserve"> en el Municipio de Caguas. Las paradas propuestas serían en los sectores Villa Blanca/Plaza del Mercado, frente al Edificio Gatsby y Plaza del Mercado/Escuela Vecinal, con el propósito de ampliar la cobertura del servicio, mejorar la accesibilidad peatonal y fortalecer la conectividad entre diversas comunidades del casco urbano de Caguas.</w:t>
      </w:r>
    </w:p>
    <w:p w14:paraId="1A8487EB" w14:textId="77777777" w:rsidR="00BD6366" w:rsidRDefault="00BD6366" w:rsidP="00BD6366">
      <w:pPr>
        <w:jc w:val="both"/>
        <w:rPr>
          <w:rFonts w:ascii="Book Antiqua" w:eastAsia="Book Antiqua" w:hAnsi="Book Antiqua" w:cs="Book Antiqua"/>
          <w:bCs/>
          <w:lang w:val="es-PR"/>
        </w:rPr>
      </w:pPr>
    </w:p>
    <w:p w14:paraId="29E27939" w14:textId="09F1C0F7" w:rsidR="00BD6366" w:rsidRPr="00BD6366" w:rsidRDefault="00BD6366" w:rsidP="00BD6366">
      <w:pPr>
        <w:ind w:firstLine="720"/>
        <w:jc w:val="both"/>
        <w:rPr>
          <w:rFonts w:ascii="Book Antiqua" w:eastAsia="Book Antiqua" w:hAnsi="Book Antiqua" w:cs="Book Antiqua"/>
          <w:bCs/>
          <w:lang w:val="es-PR"/>
        </w:rPr>
      </w:pPr>
      <w:r w:rsidRPr="00BD6366">
        <w:rPr>
          <w:rFonts w:ascii="Book Antiqua" w:eastAsia="Book Antiqua" w:hAnsi="Book Antiqua" w:cs="Book Antiqua"/>
          <w:bCs/>
          <w:lang w:val="es-PR"/>
        </w:rPr>
        <w:t>La medida sostiene que la creación de estas nuevas paradas permitiría atender áreas con cobertura limitada dentro del casco urbano, reducir las distancias recorridas por los usuarios para acceder al sistema de transporte colectivo y fortalecer el acceso a servicios esenciales y actividades comerciales.</w:t>
      </w:r>
    </w:p>
    <w:p w14:paraId="68C6C555" w14:textId="77777777" w:rsidR="00744008" w:rsidRPr="00BD6366" w:rsidRDefault="00744008" w:rsidP="00744008">
      <w:pPr>
        <w:jc w:val="center"/>
        <w:rPr>
          <w:rFonts w:ascii="Book Antiqua" w:eastAsia="Book Antiqua" w:hAnsi="Book Antiqua" w:cs="Book Antiqua"/>
          <w:b/>
          <w:lang w:val="es-PR"/>
        </w:rPr>
      </w:pPr>
    </w:p>
    <w:p w14:paraId="2E4823CB" w14:textId="6ED47CDB" w:rsidR="00744008" w:rsidRPr="00744008" w:rsidRDefault="0085373F" w:rsidP="00744008">
      <w:pPr>
        <w:jc w:val="center"/>
        <w:rPr>
          <w:rFonts w:ascii="Book Antiqua" w:eastAsia="Book Antiqua" w:hAnsi="Book Antiqua" w:cs="Book Antiqua"/>
          <w:b/>
        </w:rPr>
      </w:pPr>
      <w:r w:rsidRPr="00744008">
        <w:rPr>
          <w:rFonts w:ascii="Book Antiqua" w:eastAsia="Book Antiqua" w:hAnsi="Book Antiqua" w:cs="Book Antiqua"/>
          <w:b/>
        </w:rPr>
        <w:t>ANÁLISIS DE LA MEDIDA</w:t>
      </w:r>
    </w:p>
    <w:p w14:paraId="3E124807" w14:textId="77777777" w:rsidR="001D424E" w:rsidRPr="00744008" w:rsidRDefault="001D424E" w:rsidP="002E62AC">
      <w:pPr>
        <w:jc w:val="both"/>
        <w:rPr>
          <w:rFonts w:ascii="Book Antiqua" w:eastAsia="Helvetica Neue" w:hAnsi="Book Antiqua" w:cs="Helvetica Neue"/>
          <w:b/>
          <w:bCs/>
          <w:lang w:val="es-419"/>
        </w:rPr>
      </w:pPr>
    </w:p>
    <w:p w14:paraId="0587888E" w14:textId="44896523" w:rsidR="00476C71" w:rsidRPr="007D7928" w:rsidRDefault="00F0021F" w:rsidP="007D7928">
      <w:pPr>
        <w:ind w:firstLine="720"/>
        <w:jc w:val="both"/>
        <w:rPr>
          <w:rFonts w:ascii="Book Antiqua" w:eastAsia="Helvetica Neue" w:hAnsi="Book Antiqua" w:cs="Helvetica Neue"/>
          <w:lang w:val="es-PR"/>
        </w:rPr>
      </w:pPr>
      <w:r w:rsidRPr="00F0021F">
        <w:rPr>
          <w:rFonts w:ascii="Book Antiqua" w:eastAsia="Helvetica Neue" w:hAnsi="Book Antiqua" w:cs="Helvetica Neue"/>
        </w:rPr>
        <w:t>Como parte del proceso de evaluación de la medida, esta Comisión solicitó comentarios a la Autoridad de Transporte Integrado (ATI), entidad responsable de la planificación, administración y operación de los servicios de transporte colectivo bajo su jurisdicción.</w:t>
      </w:r>
    </w:p>
    <w:p w14:paraId="02661E64" w14:textId="74F9C29B" w:rsidR="001F5AA3" w:rsidRPr="001F5AA3" w:rsidRDefault="001F5AA3" w:rsidP="007E4B43">
      <w:pPr>
        <w:ind w:firstLine="720"/>
        <w:jc w:val="both"/>
        <w:rPr>
          <w:rFonts w:ascii="Book Antiqua" w:eastAsia="Helvetica Neue" w:hAnsi="Book Antiqua" w:cs="Helvetica Neue"/>
          <w:lang w:val="es-PR"/>
        </w:rPr>
      </w:pPr>
      <w:r w:rsidRPr="001F5AA3">
        <w:rPr>
          <w:rFonts w:ascii="Book Antiqua" w:eastAsia="Helvetica Neue" w:hAnsi="Book Antiqua" w:cs="Helvetica Neue"/>
          <w:lang w:val="es-PR"/>
        </w:rPr>
        <w:lastRenderedPageBreak/>
        <w:t>La Autoridad de Transporte Integrado (ATI) compareció mediante memorial explicativo en el que expresó su oposición a la medida.</w:t>
      </w:r>
      <w:r>
        <w:rPr>
          <w:rFonts w:ascii="Book Antiqua" w:eastAsia="Helvetica Neue" w:hAnsi="Book Antiqua" w:cs="Helvetica Neue"/>
          <w:lang w:val="es-PR"/>
        </w:rPr>
        <w:t xml:space="preserve"> </w:t>
      </w:r>
      <w:r w:rsidRPr="001F5AA3">
        <w:rPr>
          <w:rFonts w:ascii="Book Antiqua" w:eastAsia="Helvetica Neue" w:hAnsi="Book Antiqua" w:cs="Helvetica Neue"/>
          <w:lang w:val="es-PR"/>
        </w:rPr>
        <w:t>ATI explicó que la Ruta E30 fue diseñada como un servicio expreso interregional entre Caguas y el Área Metropolitana de San Juan, con un número limitado de paradas estratégicamente ubicadas para garantizar tiempos de viaje competitivos y una operación eficiente. Indicó que la ruta utiliza los carriles dinámicos de las autopistas PR-18 y PR-52 y tiene como objetivo principal conectar directamente el sistema de transporte colectivo regional de Caguas con el sistema metropolitano.</w:t>
      </w:r>
    </w:p>
    <w:p w14:paraId="532A4C79" w14:textId="77777777" w:rsidR="001F5AA3" w:rsidRDefault="001F5AA3" w:rsidP="001F5AA3">
      <w:pPr>
        <w:jc w:val="both"/>
        <w:rPr>
          <w:rFonts w:ascii="Book Antiqua" w:eastAsia="Helvetica Neue" w:hAnsi="Book Antiqua" w:cs="Helvetica Neue"/>
          <w:lang w:val="es-PR"/>
        </w:rPr>
      </w:pPr>
    </w:p>
    <w:p w14:paraId="367CA90C" w14:textId="44B87A36" w:rsidR="001F5AA3" w:rsidRPr="001F5AA3" w:rsidRDefault="001F5AA3" w:rsidP="00D63A6D">
      <w:pPr>
        <w:ind w:firstLine="720"/>
        <w:jc w:val="both"/>
        <w:rPr>
          <w:rFonts w:ascii="Book Antiqua" w:eastAsia="Helvetica Neue" w:hAnsi="Book Antiqua" w:cs="Helvetica Neue"/>
          <w:lang w:val="es-PR"/>
        </w:rPr>
      </w:pPr>
      <w:r w:rsidRPr="001F5AA3">
        <w:rPr>
          <w:rFonts w:ascii="Book Antiqua" w:eastAsia="Helvetica Neue" w:hAnsi="Book Antiqua" w:cs="Helvetica Neue"/>
          <w:lang w:val="es-PR"/>
        </w:rPr>
        <w:t>La Autoridad señaló que, desde su inauguración en el año 2022, la ruta ha experimentado un crecimiento sostenido en su utilización. No obstante, los estudios de patronaje realizados durante el año 2025 reflejan que la gran mayoría de los pasajeros realizan viajes completos entre los terminales de Caguas y Cupey, mientras que el número de pasajeros que aborda o desembarca en las paradas intermedias es significativamente menor.</w:t>
      </w:r>
      <w:r w:rsidR="00D63A6D">
        <w:rPr>
          <w:rFonts w:ascii="Book Antiqua" w:eastAsia="Helvetica Neue" w:hAnsi="Book Antiqua" w:cs="Helvetica Neue"/>
          <w:lang w:val="es-PR"/>
        </w:rPr>
        <w:t xml:space="preserve"> </w:t>
      </w:r>
      <w:r w:rsidRPr="001F5AA3">
        <w:rPr>
          <w:rFonts w:ascii="Book Antiqua" w:eastAsia="Helvetica Neue" w:hAnsi="Book Antiqua" w:cs="Helvetica Neue"/>
          <w:lang w:val="es-PR"/>
        </w:rPr>
        <w:t>Asimismo, ATI indicó que dos paradas adicionales incorporadas durante el año 2025 para atender el área del Centro Judicial de Caguas registraron niveles bajos de utilización, lo que reafirma la necesidad de preservar el carácter expreso de la ruta y evitar aumentos innecesarios en el tiempo de recorrido.</w:t>
      </w:r>
    </w:p>
    <w:p w14:paraId="00E3C90A" w14:textId="77777777" w:rsidR="007E4B43" w:rsidRDefault="007E4B43" w:rsidP="001F5AA3">
      <w:pPr>
        <w:jc w:val="both"/>
        <w:rPr>
          <w:rFonts w:ascii="Book Antiqua" w:eastAsia="Helvetica Neue" w:hAnsi="Book Antiqua" w:cs="Helvetica Neue"/>
          <w:lang w:val="es-PR"/>
        </w:rPr>
      </w:pPr>
    </w:p>
    <w:p w14:paraId="676E1084" w14:textId="08ECD63E" w:rsidR="001F5AA3" w:rsidRPr="001F5AA3" w:rsidRDefault="001F5AA3" w:rsidP="007E4B43">
      <w:pPr>
        <w:ind w:firstLine="720"/>
        <w:jc w:val="both"/>
        <w:rPr>
          <w:rFonts w:ascii="Book Antiqua" w:eastAsia="Helvetica Neue" w:hAnsi="Book Antiqua" w:cs="Helvetica Neue"/>
          <w:lang w:val="es-PR"/>
        </w:rPr>
      </w:pPr>
      <w:r w:rsidRPr="001F5AA3">
        <w:rPr>
          <w:rFonts w:ascii="Book Antiqua" w:eastAsia="Helvetica Neue" w:hAnsi="Book Antiqua" w:cs="Helvetica Neue"/>
          <w:lang w:val="es-PR"/>
        </w:rPr>
        <w:t>La Autoridad también destacó que las tres paradas propuestas mediante la medida se encuentran dentro del área de influencia de las rutas municipales existentes y que el Municipio Autónomo de Caguas cuenta actualmente con diez rutas alimentadoras con conexión directa al Terminal Pancho Pereira. Según ATI, estas rutas ya proveen acceso adecuado a la Ruta E30 sin afectar su puntualidad ni eficiencia operacional.</w:t>
      </w:r>
    </w:p>
    <w:p w14:paraId="624B21D9" w14:textId="77777777" w:rsidR="007E4B43" w:rsidRDefault="007E4B43" w:rsidP="001F5AA3">
      <w:pPr>
        <w:jc w:val="both"/>
        <w:rPr>
          <w:rFonts w:ascii="Book Antiqua" w:eastAsia="Helvetica Neue" w:hAnsi="Book Antiqua" w:cs="Helvetica Neue"/>
          <w:lang w:val="es-PR"/>
        </w:rPr>
      </w:pPr>
    </w:p>
    <w:p w14:paraId="047C8C05" w14:textId="3DA4472B" w:rsidR="001F5AA3" w:rsidRPr="001F5AA3" w:rsidRDefault="001F5AA3" w:rsidP="007E4B43">
      <w:pPr>
        <w:ind w:firstLine="720"/>
        <w:jc w:val="both"/>
        <w:rPr>
          <w:rFonts w:ascii="Book Antiqua" w:eastAsia="Helvetica Neue" w:hAnsi="Book Antiqua" w:cs="Helvetica Neue"/>
          <w:lang w:val="es-PR"/>
        </w:rPr>
      </w:pPr>
      <w:r w:rsidRPr="001F5AA3">
        <w:rPr>
          <w:rFonts w:ascii="Book Antiqua" w:eastAsia="Helvetica Neue" w:hAnsi="Book Antiqua" w:cs="Helvetica Neue"/>
          <w:lang w:val="es-PR"/>
        </w:rPr>
        <w:t xml:space="preserve">Finalmente, ATI concluyó que la implantación de las tres paradas propuestas sería redundante, no generaría un beneficio significativo para los usuarios y podría afectar el diseño operacional de la ruta. Por tal razón, </w:t>
      </w:r>
      <w:r w:rsidRPr="00D63A6D">
        <w:rPr>
          <w:rFonts w:ascii="Book Antiqua" w:eastAsia="Helvetica Neue" w:hAnsi="Book Antiqua" w:cs="Helvetica Neue"/>
          <w:b/>
          <w:bCs/>
          <w:lang w:val="es-PR"/>
        </w:rPr>
        <w:t>recomendó que la medida no fuera aprobada</w:t>
      </w:r>
      <w:r w:rsidRPr="001F5AA3">
        <w:rPr>
          <w:rFonts w:ascii="Book Antiqua" w:eastAsia="Helvetica Neue" w:hAnsi="Book Antiqua" w:cs="Helvetica Neue"/>
          <w:lang w:val="es-PR"/>
        </w:rPr>
        <w:t>.</w:t>
      </w:r>
    </w:p>
    <w:p w14:paraId="26AEC88B" w14:textId="77777777" w:rsidR="000B7BCA" w:rsidRPr="001F5AA3" w:rsidRDefault="000B7BCA" w:rsidP="004277D8">
      <w:pPr>
        <w:jc w:val="both"/>
        <w:rPr>
          <w:rFonts w:ascii="Book Antiqua" w:eastAsia="Helvetica Neue" w:hAnsi="Book Antiqua" w:cs="Helvetica Neue"/>
          <w:lang w:val="es-PR"/>
        </w:rPr>
      </w:pPr>
    </w:p>
    <w:p w14:paraId="00000021" w14:textId="37252FEA" w:rsidR="003867AC" w:rsidRPr="00744008" w:rsidRDefault="002A15A8">
      <w:pPr>
        <w:jc w:val="center"/>
        <w:rPr>
          <w:rFonts w:ascii="Book Antiqua" w:eastAsia="Book Antiqua" w:hAnsi="Book Antiqua" w:cs="Book Antiqua"/>
          <w:b/>
        </w:rPr>
      </w:pPr>
      <w:r w:rsidRPr="00744008">
        <w:rPr>
          <w:rFonts w:ascii="Book Antiqua" w:eastAsia="Book Antiqua" w:hAnsi="Book Antiqua" w:cs="Book Antiqua"/>
          <w:b/>
        </w:rPr>
        <w:t xml:space="preserve"> </w:t>
      </w:r>
      <w:r w:rsidR="0085373F" w:rsidRPr="00744008">
        <w:rPr>
          <w:rFonts w:ascii="Book Antiqua" w:eastAsia="Book Antiqua" w:hAnsi="Book Antiqua" w:cs="Book Antiqua"/>
          <w:b/>
        </w:rPr>
        <w:t>CONCLUSIÓN</w:t>
      </w:r>
    </w:p>
    <w:p w14:paraId="00000022" w14:textId="77777777" w:rsidR="003867AC" w:rsidRPr="00744008" w:rsidRDefault="003867AC">
      <w:pPr>
        <w:jc w:val="both"/>
        <w:rPr>
          <w:rFonts w:ascii="Book Antiqua" w:eastAsia="Book Antiqua" w:hAnsi="Book Antiqua" w:cs="Book Antiqua"/>
        </w:rPr>
      </w:pPr>
    </w:p>
    <w:p w14:paraId="3033B6B6" w14:textId="77777777" w:rsidR="00FB02C5" w:rsidRPr="00FB02C5" w:rsidRDefault="00FB02C5" w:rsidP="00FB02C5">
      <w:pPr>
        <w:ind w:firstLine="720"/>
        <w:jc w:val="both"/>
        <w:rPr>
          <w:rFonts w:ascii="Book Antiqua" w:eastAsia="Book Antiqua" w:hAnsi="Book Antiqua" w:cs="Book Antiqua"/>
          <w:lang w:val="es-PR"/>
        </w:rPr>
      </w:pPr>
      <w:r w:rsidRPr="00FB02C5">
        <w:rPr>
          <w:rFonts w:ascii="Book Antiqua" w:eastAsia="Book Antiqua" w:hAnsi="Book Antiqua" w:cs="Book Antiqua"/>
          <w:lang w:val="es-PR"/>
        </w:rPr>
        <w:t>Luego de evaluar la medida y considerar el memorial presentado por la Autoridad de Transporte Integrado, esta Comisión concluye que la propuesta legislativa no demuestra la existencia de una necesidad operacional que justifique alterar el diseño actual de la Ruta E30.</w:t>
      </w:r>
    </w:p>
    <w:p w14:paraId="2D0EA081" w14:textId="77777777" w:rsidR="00FB02C5" w:rsidRDefault="00FB02C5" w:rsidP="00FB02C5">
      <w:pPr>
        <w:ind w:firstLine="720"/>
        <w:jc w:val="both"/>
        <w:rPr>
          <w:rFonts w:ascii="Book Antiqua" w:eastAsia="Book Antiqua" w:hAnsi="Book Antiqua" w:cs="Book Antiqua"/>
          <w:lang w:val="es-PR"/>
        </w:rPr>
      </w:pPr>
    </w:p>
    <w:p w14:paraId="5A7926EC" w14:textId="56508A43" w:rsidR="003649BC" w:rsidRPr="00FB02C5" w:rsidRDefault="00FB02C5" w:rsidP="00FB02C5">
      <w:pPr>
        <w:ind w:firstLine="720"/>
        <w:jc w:val="both"/>
        <w:rPr>
          <w:rFonts w:ascii="Book Antiqua" w:eastAsia="Book Antiqua" w:hAnsi="Book Antiqua" w:cs="Book Antiqua"/>
          <w:lang w:val="es-PR"/>
        </w:rPr>
      </w:pPr>
      <w:r w:rsidRPr="00FB02C5">
        <w:rPr>
          <w:rFonts w:ascii="Book Antiqua" w:eastAsia="Book Antiqua" w:hAnsi="Book Antiqua" w:cs="Book Antiqua"/>
          <w:lang w:val="es-PR"/>
        </w:rPr>
        <w:t>La evidencia presentada por ATI refleja que la ruta fue concebida y opera como un servicio expreso con paradas limitadas estratégicamente ubicadas para maximizar la eficiencia del servicio y reducir los tiempos de viaje entre Caguas y el Área Metropolitana. Del mismo modo, los datos de utilización presentados evidencian que el mayor volumen de pasajeros utiliza los terminales principales, mientras que las paradas intermedias registran una demanda considerablemente menor.</w:t>
      </w:r>
    </w:p>
    <w:p w14:paraId="602A3500" w14:textId="13066972" w:rsidR="000B7BCA" w:rsidRDefault="00A11D0B" w:rsidP="00693F46">
      <w:pPr>
        <w:ind w:firstLine="720"/>
        <w:jc w:val="both"/>
        <w:rPr>
          <w:rFonts w:ascii="Book Antiqua" w:eastAsia="Book Antiqua" w:hAnsi="Book Antiqua" w:cs="Book Antiqua"/>
        </w:rPr>
      </w:pPr>
      <w:r w:rsidRPr="00744008">
        <w:rPr>
          <w:rFonts w:ascii="Book Antiqua" w:eastAsia="Book Antiqua" w:hAnsi="Book Antiqua" w:cs="Book Antiqua"/>
        </w:rPr>
        <w:lastRenderedPageBreak/>
        <w:t xml:space="preserve">Por los fundamentos antes expuestos, la Comisión de Transportación e Infraestructura, somete el presente Informe </w:t>
      </w:r>
      <w:r w:rsidR="003649BC" w:rsidRPr="00744008">
        <w:rPr>
          <w:rFonts w:ascii="Book Antiqua" w:eastAsia="Book Antiqua" w:hAnsi="Book Antiqua" w:cs="Book Antiqua"/>
        </w:rPr>
        <w:t>Negativo</w:t>
      </w:r>
      <w:r w:rsidR="004277D8" w:rsidRPr="00744008">
        <w:rPr>
          <w:rFonts w:ascii="Book Antiqua" w:eastAsia="Book Antiqua" w:hAnsi="Book Antiqua" w:cs="Book Antiqua"/>
        </w:rPr>
        <w:t xml:space="preserve"> de</w:t>
      </w:r>
      <w:r w:rsidR="003B6FC7">
        <w:rPr>
          <w:rFonts w:ascii="Book Antiqua" w:eastAsia="Book Antiqua" w:hAnsi="Book Antiqua" w:cs="Book Antiqua"/>
        </w:rPr>
        <w:t xml:space="preserve"> </w:t>
      </w:r>
      <w:r w:rsidR="004F5778">
        <w:rPr>
          <w:rFonts w:ascii="Book Antiqua" w:eastAsia="Book Antiqua" w:hAnsi="Book Antiqua" w:cs="Book Antiqua"/>
        </w:rPr>
        <w:t>l</w:t>
      </w:r>
      <w:r w:rsidR="003B6FC7">
        <w:rPr>
          <w:rFonts w:ascii="Book Antiqua" w:eastAsia="Book Antiqua" w:hAnsi="Book Antiqua" w:cs="Book Antiqua"/>
        </w:rPr>
        <w:t>a</w:t>
      </w:r>
      <w:r w:rsidR="004F5778">
        <w:rPr>
          <w:rFonts w:ascii="Book Antiqua" w:eastAsia="Book Antiqua" w:hAnsi="Book Antiqua" w:cs="Book Antiqua"/>
        </w:rPr>
        <w:t xml:space="preserve"> </w:t>
      </w:r>
      <w:r w:rsidR="00E04459">
        <w:rPr>
          <w:rFonts w:ascii="Book Antiqua" w:eastAsia="Book Antiqua" w:hAnsi="Book Antiqua" w:cs="Book Antiqua"/>
        </w:rPr>
        <w:t>Resolución</w:t>
      </w:r>
      <w:r w:rsidR="003B6FC7">
        <w:rPr>
          <w:rFonts w:ascii="Book Antiqua" w:eastAsia="Book Antiqua" w:hAnsi="Book Antiqua" w:cs="Book Antiqua"/>
        </w:rPr>
        <w:t xml:space="preserve"> Conjunta</w:t>
      </w:r>
      <w:r w:rsidR="00E82BA6" w:rsidRPr="00744008">
        <w:rPr>
          <w:rFonts w:ascii="Book Antiqua" w:eastAsia="Book Antiqua" w:hAnsi="Book Antiqua" w:cs="Book Antiqua"/>
        </w:rPr>
        <w:t xml:space="preserve"> </w:t>
      </w:r>
      <w:r w:rsidR="004277D8" w:rsidRPr="00744008">
        <w:rPr>
          <w:rFonts w:ascii="Book Antiqua" w:eastAsia="Book Antiqua" w:hAnsi="Book Antiqua" w:cs="Book Antiqua"/>
        </w:rPr>
        <w:t xml:space="preserve">de la </w:t>
      </w:r>
      <w:r w:rsidR="004F5778" w:rsidRPr="00744008">
        <w:rPr>
          <w:rFonts w:ascii="Book Antiqua" w:eastAsia="Book Antiqua" w:hAnsi="Book Antiqua" w:cs="Book Antiqua"/>
        </w:rPr>
        <w:t>C</w:t>
      </w:r>
      <w:r w:rsidR="004F5778">
        <w:rPr>
          <w:rFonts w:ascii="Book Antiqua" w:eastAsia="Book Antiqua" w:hAnsi="Book Antiqua" w:cs="Book Antiqua"/>
        </w:rPr>
        <w:t>ámara</w:t>
      </w:r>
      <w:r w:rsidR="004277D8" w:rsidRPr="00744008">
        <w:rPr>
          <w:rFonts w:ascii="Book Antiqua" w:eastAsia="Book Antiqua" w:hAnsi="Book Antiqua" w:cs="Book Antiqua"/>
        </w:rPr>
        <w:t xml:space="preserve"> </w:t>
      </w:r>
      <w:r w:rsidR="00E04459">
        <w:rPr>
          <w:rFonts w:ascii="Book Antiqua" w:eastAsia="Book Antiqua" w:hAnsi="Book Antiqua" w:cs="Book Antiqua"/>
        </w:rPr>
        <w:t>175</w:t>
      </w:r>
      <w:r w:rsidR="003649BC" w:rsidRPr="00744008">
        <w:rPr>
          <w:rFonts w:ascii="Book Antiqua" w:eastAsia="Book Antiqua" w:hAnsi="Book Antiqua" w:cs="Book Antiqua"/>
        </w:rPr>
        <w:t xml:space="preserve">. </w:t>
      </w:r>
    </w:p>
    <w:p w14:paraId="5003B105" w14:textId="77777777" w:rsidR="0054096A" w:rsidRPr="00744008" w:rsidRDefault="0054096A">
      <w:pPr>
        <w:jc w:val="both"/>
        <w:rPr>
          <w:rFonts w:ascii="Book Antiqua" w:eastAsia="Book Antiqua" w:hAnsi="Book Antiqua" w:cs="Book Antiqua"/>
        </w:rPr>
      </w:pPr>
    </w:p>
    <w:p w14:paraId="00000028"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Respetuosamente sometido,</w:t>
      </w:r>
    </w:p>
    <w:p w14:paraId="5FBE0891" w14:textId="77777777" w:rsidR="0054096A" w:rsidRDefault="0054096A">
      <w:pPr>
        <w:jc w:val="both"/>
        <w:rPr>
          <w:rFonts w:ascii="Book Antiqua" w:eastAsia="Book Antiqua" w:hAnsi="Book Antiqua" w:cs="Book Antiqua"/>
        </w:rPr>
      </w:pPr>
    </w:p>
    <w:p w14:paraId="4D1C1A14" w14:textId="77777777" w:rsidR="0054096A" w:rsidRDefault="0054096A">
      <w:pPr>
        <w:jc w:val="both"/>
        <w:rPr>
          <w:rFonts w:ascii="Book Antiqua" w:eastAsia="Book Antiqua" w:hAnsi="Book Antiqua" w:cs="Book Antiqua"/>
        </w:rPr>
      </w:pPr>
    </w:p>
    <w:p w14:paraId="3FBDA2E2" w14:textId="77777777" w:rsidR="001178EF" w:rsidRPr="00744008" w:rsidRDefault="001178EF">
      <w:pPr>
        <w:jc w:val="both"/>
        <w:rPr>
          <w:rFonts w:ascii="Book Antiqua" w:eastAsia="Book Antiqua" w:hAnsi="Book Antiqua" w:cs="Book Antiqua"/>
        </w:rPr>
      </w:pPr>
    </w:p>
    <w:p w14:paraId="0000002D" w14:textId="0B2172A5"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José </w:t>
      </w:r>
      <w:r w:rsidR="00A11D0B" w:rsidRPr="00744008">
        <w:rPr>
          <w:rFonts w:ascii="Book Antiqua" w:eastAsia="Book Antiqua" w:hAnsi="Book Antiqua" w:cs="Book Antiqua"/>
        </w:rPr>
        <w:t xml:space="preserve">A. </w:t>
      </w:r>
      <w:r w:rsidRPr="00744008">
        <w:rPr>
          <w:rFonts w:ascii="Book Antiqua" w:eastAsia="Book Antiqua" w:hAnsi="Book Antiqua" w:cs="Book Antiqua"/>
        </w:rPr>
        <w:t xml:space="preserve">Hernández Concepción </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t xml:space="preserve"> </w:t>
      </w:r>
    </w:p>
    <w:p w14:paraId="0000002E"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Presidente</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p>
    <w:p w14:paraId="0000002F"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BAEEA" w14:textId="77777777" w:rsidR="001655C0" w:rsidRDefault="001655C0">
      <w:r>
        <w:separator/>
      </w:r>
    </w:p>
  </w:endnote>
  <w:endnote w:type="continuationSeparator" w:id="0">
    <w:p w14:paraId="3AC6E417" w14:textId="77777777" w:rsidR="001655C0" w:rsidRDefault="00165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03AD95-5395-4439-9BDE-FEC6BF87444B}"/>
  </w:font>
  <w:font w:name="Helvetica">
    <w:panose1 w:val="020B0604020202020204"/>
    <w:charset w:val="00"/>
    <w:family w:val="swiss"/>
    <w:pitch w:val="variable"/>
    <w:sig w:usb0="E0002EFF" w:usb1="C000785B" w:usb2="00000009" w:usb3="00000000" w:csb0="000001FF" w:csb1="00000000"/>
    <w:embedRegular r:id="rId2" w:fontKey="{8270237A-06D4-40D1-AD18-457F378C6B11}"/>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8A37BE3B-08A3-4D67-A13F-B97DEBDE2B53}"/>
  </w:font>
  <w:font w:name="Georgia">
    <w:panose1 w:val="02040502050405020303"/>
    <w:charset w:val="00"/>
    <w:family w:val="roman"/>
    <w:pitch w:val="variable"/>
    <w:sig w:usb0="00000287" w:usb1="00000000" w:usb2="00000000" w:usb3="00000000" w:csb0="0000009F" w:csb1="00000000"/>
    <w:embedRegular r:id="rId4" w:fontKey="{EE273A9E-E6AE-405F-BE9D-72A69366C118}"/>
    <w:embedItalic r:id="rId5" w:fontKey="{AB678612-B7B2-47DE-ABF1-F36558268807}"/>
  </w:font>
  <w:font w:name="Book Antiqua">
    <w:panose1 w:val="02040602050305030304"/>
    <w:charset w:val="00"/>
    <w:family w:val="roman"/>
    <w:pitch w:val="variable"/>
    <w:sig w:usb0="00000287" w:usb1="00000000" w:usb2="00000000" w:usb3="00000000" w:csb0="0000009F" w:csb1="00000000"/>
    <w:embedRegular r:id="rId6" w:fontKey="{42441B34-4BF6-4CBB-8D52-777862B91D05}"/>
    <w:embedBold r:id="rId7" w:fontKey="{BF47FC0B-1B72-4D59-86DB-592E7AD23C42}"/>
  </w:font>
  <w:font w:name="Helvetica Neue">
    <w:charset w:val="00"/>
    <w:family w:val="auto"/>
    <w:pitch w:val="default"/>
    <w:embedRegular r:id="rId8" w:fontKey="{36E10302-4D3E-4372-906F-7B59A6E11DAE}"/>
    <w:embedBold r:id="rId9" w:fontKey="{4879F816-FC01-4F34-AF45-E62B407302A0}"/>
  </w:font>
  <w:font w:name="Lustria">
    <w:altName w:val="Calibri"/>
    <w:charset w:val="00"/>
    <w:family w:val="auto"/>
    <w:pitch w:val="default"/>
    <w:embedRegular r:id="rId10" w:fontKey="{02F9B711-E064-4D6C-BBD9-22C8335C541B}"/>
    <w:embedBoldItalic r:id="rId11" w:fontKey="{05599C54-71C1-4303-9453-162DE9663A5F}"/>
  </w:font>
  <w:font w:name="Cambria">
    <w:panose1 w:val="02040503050406030204"/>
    <w:charset w:val="00"/>
    <w:family w:val="roman"/>
    <w:pitch w:val="variable"/>
    <w:sig w:usb0="E00006FF" w:usb1="420024FF" w:usb2="02000000" w:usb3="00000000" w:csb0="0000019F" w:csb1="00000000"/>
    <w:embedRegular r:id="rId12" w:fontKey="{775604FF-0DA2-4EC4-957F-B11EB3C8C6C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3693A" w14:textId="77777777" w:rsidR="001655C0" w:rsidRDefault="001655C0">
      <w:r>
        <w:separator/>
      </w:r>
    </w:p>
  </w:footnote>
  <w:footnote w:type="continuationSeparator" w:id="0">
    <w:p w14:paraId="78E42308" w14:textId="77777777" w:rsidR="001655C0" w:rsidRDefault="00165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1B26B7B"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3649BC">
      <w:rPr>
        <w:rFonts w:ascii="Lustria" w:eastAsia="Lustria" w:hAnsi="Lustria" w:cs="Lustria"/>
        <w:b/>
        <w:i/>
        <w:sz w:val="22"/>
        <w:szCs w:val="22"/>
      </w:rPr>
      <w:t xml:space="preserve"> Negativo</w:t>
    </w:r>
    <w:r>
      <w:rPr>
        <w:rFonts w:ascii="Lustria" w:eastAsia="Lustria" w:hAnsi="Lustria" w:cs="Lustria"/>
        <w:b/>
        <w:i/>
        <w:sz w:val="22"/>
        <w:szCs w:val="22"/>
      </w:rPr>
      <w:t xml:space="preserve"> sobre el </w:t>
    </w:r>
    <w:r w:rsidR="00E04459">
      <w:rPr>
        <w:rFonts w:ascii="Lustria" w:eastAsia="Lustria" w:hAnsi="Lustria" w:cs="Lustria"/>
        <w:b/>
        <w:i/>
        <w:sz w:val="22"/>
        <w:szCs w:val="22"/>
      </w:rPr>
      <w:t>R. C.</w:t>
    </w:r>
    <w:r w:rsidR="00E82BA6">
      <w:rPr>
        <w:rFonts w:ascii="Lustria" w:eastAsia="Lustria" w:hAnsi="Lustria" w:cs="Lustria"/>
        <w:b/>
        <w:i/>
        <w:sz w:val="22"/>
        <w:szCs w:val="22"/>
      </w:rPr>
      <w:t xml:space="preserve"> </w:t>
    </w:r>
    <w:r>
      <w:rPr>
        <w:rFonts w:ascii="Lustria" w:eastAsia="Lustria" w:hAnsi="Lustria" w:cs="Lustria"/>
        <w:b/>
        <w:i/>
        <w:sz w:val="22"/>
        <w:szCs w:val="22"/>
      </w:rPr>
      <w:t xml:space="preserve">de la </w:t>
    </w:r>
    <w:r w:rsidR="004A35A7">
      <w:rPr>
        <w:rFonts w:ascii="Lustria" w:eastAsia="Lustria" w:hAnsi="Lustria" w:cs="Lustria"/>
        <w:b/>
        <w:i/>
        <w:sz w:val="22"/>
        <w:szCs w:val="22"/>
      </w:rPr>
      <w:t>C</w:t>
    </w:r>
    <w:r>
      <w:rPr>
        <w:rFonts w:ascii="Lustria" w:eastAsia="Lustria" w:hAnsi="Lustria" w:cs="Lustria"/>
        <w:b/>
        <w:i/>
        <w:sz w:val="22"/>
        <w:szCs w:val="22"/>
      </w:rPr>
      <w:t xml:space="preserve">. </w:t>
    </w:r>
    <w:r w:rsidR="00E04459">
      <w:rPr>
        <w:rFonts w:ascii="Lustria" w:eastAsia="Lustria" w:hAnsi="Lustria" w:cs="Lustria"/>
        <w:b/>
        <w:i/>
        <w:sz w:val="22"/>
        <w:szCs w:val="22"/>
      </w:rPr>
      <w:t>175</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825C8"/>
    <w:rsid w:val="000A0BC8"/>
    <w:rsid w:val="000A23A1"/>
    <w:rsid w:val="000A752D"/>
    <w:rsid w:val="000B7BCA"/>
    <w:rsid w:val="000C098A"/>
    <w:rsid w:val="000E1BA5"/>
    <w:rsid w:val="000F7A24"/>
    <w:rsid w:val="00101FB4"/>
    <w:rsid w:val="001178EF"/>
    <w:rsid w:val="0012417C"/>
    <w:rsid w:val="00147B7C"/>
    <w:rsid w:val="00156ED3"/>
    <w:rsid w:val="00160C1F"/>
    <w:rsid w:val="001619B2"/>
    <w:rsid w:val="001655C0"/>
    <w:rsid w:val="00166443"/>
    <w:rsid w:val="001714C4"/>
    <w:rsid w:val="00191185"/>
    <w:rsid w:val="001A3E93"/>
    <w:rsid w:val="001D424E"/>
    <w:rsid w:val="001E16CE"/>
    <w:rsid w:val="001E2EB4"/>
    <w:rsid w:val="001E6E24"/>
    <w:rsid w:val="001F5AA3"/>
    <w:rsid w:val="00202B9F"/>
    <w:rsid w:val="00204C67"/>
    <w:rsid w:val="00220975"/>
    <w:rsid w:val="00222393"/>
    <w:rsid w:val="00235829"/>
    <w:rsid w:val="00266B2F"/>
    <w:rsid w:val="00274850"/>
    <w:rsid w:val="00280CAA"/>
    <w:rsid w:val="002927A8"/>
    <w:rsid w:val="002A15A8"/>
    <w:rsid w:val="002D4DC3"/>
    <w:rsid w:val="002E110C"/>
    <w:rsid w:val="002E1FA6"/>
    <w:rsid w:val="002E2622"/>
    <w:rsid w:val="002E62AC"/>
    <w:rsid w:val="002E69C5"/>
    <w:rsid w:val="002E6DD3"/>
    <w:rsid w:val="00316C67"/>
    <w:rsid w:val="00316E29"/>
    <w:rsid w:val="0032546D"/>
    <w:rsid w:val="003277C8"/>
    <w:rsid w:val="00333FB4"/>
    <w:rsid w:val="003448B4"/>
    <w:rsid w:val="0035050C"/>
    <w:rsid w:val="0035616B"/>
    <w:rsid w:val="003649BC"/>
    <w:rsid w:val="0037066A"/>
    <w:rsid w:val="0037197C"/>
    <w:rsid w:val="00373E49"/>
    <w:rsid w:val="00382780"/>
    <w:rsid w:val="00383D79"/>
    <w:rsid w:val="003867AC"/>
    <w:rsid w:val="0039352E"/>
    <w:rsid w:val="0039437F"/>
    <w:rsid w:val="003A0F94"/>
    <w:rsid w:val="003B1A27"/>
    <w:rsid w:val="003B6FC7"/>
    <w:rsid w:val="003C3F3A"/>
    <w:rsid w:val="003E479C"/>
    <w:rsid w:val="00400B99"/>
    <w:rsid w:val="004277D8"/>
    <w:rsid w:val="00431557"/>
    <w:rsid w:val="004673DA"/>
    <w:rsid w:val="0047119B"/>
    <w:rsid w:val="00471A39"/>
    <w:rsid w:val="00472C8D"/>
    <w:rsid w:val="004730E0"/>
    <w:rsid w:val="00473D39"/>
    <w:rsid w:val="00475814"/>
    <w:rsid w:val="00476C71"/>
    <w:rsid w:val="0049326F"/>
    <w:rsid w:val="004A35A7"/>
    <w:rsid w:val="004A3859"/>
    <w:rsid w:val="004A6565"/>
    <w:rsid w:val="004D3D36"/>
    <w:rsid w:val="004E219C"/>
    <w:rsid w:val="004E28E4"/>
    <w:rsid w:val="004F5778"/>
    <w:rsid w:val="00501798"/>
    <w:rsid w:val="00505653"/>
    <w:rsid w:val="005059B4"/>
    <w:rsid w:val="0050681B"/>
    <w:rsid w:val="00506A3D"/>
    <w:rsid w:val="005227C0"/>
    <w:rsid w:val="0054096A"/>
    <w:rsid w:val="005456F5"/>
    <w:rsid w:val="00550313"/>
    <w:rsid w:val="00557604"/>
    <w:rsid w:val="00565CDF"/>
    <w:rsid w:val="005858EA"/>
    <w:rsid w:val="005871B4"/>
    <w:rsid w:val="00596F5B"/>
    <w:rsid w:val="005A1843"/>
    <w:rsid w:val="005E4A2F"/>
    <w:rsid w:val="00605CE1"/>
    <w:rsid w:val="0060692B"/>
    <w:rsid w:val="006354F3"/>
    <w:rsid w:val="00642646"/>
    <w:rsid w:val="00653262"/>
    <w:rsid w:val="00662B84"/>
    <w:rsid w:val="00677312"/>
    <w:rsid w:val="00677380"/>
    <w:rsid w:val="006908FA"/>
    <w:rsid w:val="00691E06"/>
    <w:rsid w:val="00693F46"/>
    <w:rsid w:val="006A552A"/>
    <w:rsid w:val="006A7E5E"/>
    <w:rsid w:val="006B26BD"/>
    <w:rsid w:val="006D297F"/>
    <w:rsid w:val="006E029C"/>
    <w:rsid w:val="006F71C7"/>
    <w:rsid w:val="00700566"/>
    <w:rsid w:val="0071797E"/>
    <w:rsid w:val="00735C8F"/>
    <w:rsid w:val="00744008"/>
    <w:rsid w:val="00747FD2"/>
    <w:rsid w:val="00766B8B"/>
    <w:rsid w:val="00772095"/>
    <w:rsid w:val="00775172"/>
    <w:rsid w:val="00784A5C"/>
    <w:rsid w:val="00785FCE"/>
    <w:rsid w:val="0079045F"/>
    <w:rsid w:val="00790497"/>
    <w:rsid w:val="007923B1"/>
    <w:rsid w:val="00797E58"/>
    <w:rsid w:val="00797FCC"/>
    <w:rsid w:val="007A023B"/>
    <w:rsid w:val="007C31AB"/>
    <w:rsid w:val="007C3C34"/>
    <w:rsid w:val="007C6404"/>
    <w:rsid w:val="007D7928"/>
    <w:rsid w:val="007E4B43"/>
    <w:rsid w:val="007E4F82"/>
    <w:rsid w:val="007E6F6E"/>
    <w:rsid w:val="007F05CC"/>
    <w:rsid w:val="007F0CDC"/>
    <w:rsid w:val="00817784"/>
    <w:rsid w:val="00830D73"/>
    <w:rsid w:val="0083404D"/>
    <w:rsid w:val="008355F8"/>
    <w:rsid w:val="00835F7B"/>
    <w:rsid w:val="00842EBD"/>
    <w:rsid w:val="0085373F"/>
    <w:rsid w:val="0085568D"/>
    <w:rsid w:val="00875CE7"/>
    <w:rsid w:val="00880662"/>
    <w:rsid w:val="008871C5"/>
    <w:rsid w:val="008A645B"/>
    <w:rsid w:val="008A65F0"/>
    <w:rsid w:val="008A7B90"/>
    <w:rsid w:val="008B1D55"/>
    <w:rsid w:val="008B5454"/>
    <w:rsid w:val="008C6705"/>
    <w:rsid w:val="008D3F5B"/>
    <w:rsid w:val="008E7719"/>
    <w:rsid w:val="008F04C1"/>
    <w:rsid w:val="008F30F0"/>
    <w:rsid w:val="008F4C1B"/>
    <w:rsid w:val="00903883"/>
    <w:rsid w:val="009048A3"/>
    <w:rsid w:val="0091544D"/>
    <w:rsid w:val="00940A79"/>
    <w:rsid w:val="009742B0"/>
    <w:rsid w:val="009821D1"/>
    <w:rsid w:val="009D4F0D"/>
    <w:rsid w:val="009E0BE7"/>
    <w:rsid w:val="009E738E"/>
    <w:rsid w:val="009E7555"/>
    <w:rsid w:val="00A11D0B"/>
    <w:rsid w:val="00A16802"/>
    <w:rsid w:val="00A24012"/>
    <w:rsid w:val="00A27CCB"/>
    <w:rsid w:val="00A43849"/>
    <w:rsid w:val="00A57E02"/>
    <w:rsid w:val="00A62FD8"/>
    <w:rsid w:val="00A95142"/>
    <w:rsid w:val="00AB0EE4"/>
    <w:rsid w:val="00AB45BB"/>
    <w:rsid w:val="00AC7FD7"/>
    <w:rsid w:val="00AD05EA"/>
    <w:rsid w:val="00AD242C"/>
    <w:rsid w:val="00AE1C17"/>
    <w:rsid w:val="00AE1FD3"/>
    <w:rsid w:val="00AE44CF"/>
    <w:rsid w:val="00B43BBC"/>
    <w:rsid w:val="00B457FD"/>
    <w:rsid w:val="00B45C76"/>
    <w:rsid w:val="00B46ABC"/>
    <w:rsid w:val="00B52476"/>
    <w:rsid w:val="00B5291E"/>
    <w:rsid w:val="00B57A56"/>
    <w:rsid w:val="00B70105"/>
    <w:rsid w:val="00B816C5"/>
    <w:rsid w:val="00BA4DF7"/>
    <w:rsid w:val="00BC7E43"/>
    <w:rsid w:val="00BD6366"/>
    <w:rsid w:val="00C023B0"/>
    <w:rsid w:val="00C13D9D"/>
    <w:rsid w:val="00C1423C"/>
    <w:rsid w:val="00C41F71"/>
    <w:rsid w:val="00C54554"/>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44616"/>
    <w:rsid w:val="00D5029F"/>
    <w:rsid w:val="00D60BBD"/>
    <w:rsid w:val="00D63A6D"/>
    <w:rsid w:val="00D64D19"/>
    <w:rsid w:val="00D82337"/>
    <w:rsid w:val="00D83118"/>
    <w:rsid w:val="00DB02F9"/>
    <w:rsid w:val="00DB46A4"/>
    <w:rsid w:val="00DC3142"/>
    <w:rsid w:val="00DD6D1E"/>
    <w:rsid w:val="00DE6658"/>
    <w:rsid w:val="00E04459"/>
    <w:rsid w:val="00E15339"/>
    <w:rsid w:val="00E16D68"/>
    <w:rsid w:val="00E24AC1"/>
    <w:rsid w:val="00E27B7F"/>
    <w:rsid w:val="00E3056E"/>
    <w:rsid w:val="00E374AE"/>
    <w:rsid w:val="00E62D96"/>
    <w:rsid w:val="00E776D5"/>
    <w:rsid w:val="00E82BA6"/>
    <w:rsid w:val="00E8576C"/>
    <w:rsid w:val="00E86FC9"/>
    <w:rsid w:val="00E94557"/>
    <w:rsid w:val="00EA26A1"/>
    <w:rsid w:val="00EB340F"/>
    <w:rsid w:val="00EE495C"/>
    <w:rsid w:val="00EE5B6A"/>
    <w:rsid w:val="00F0021F"/>
    <w:rsid w:val="00F01A45"/>
    <w:rsid w:val="00F01B4D"/>
    <w:rsid w:val="00F0263C"/>
    <w:rsid w:val="00F032FA"/>
    <w:rsid w:val="00F05EFF"/>
    <w:rsid w:val="00F0620F"/>
    <w:rsid w:val="00F104E1"/>
    <w:rsid w:val="00F240E2"/>
    <w:rsid w:val="00F26D5A"/>
    <w:rsid w:val="00F366B9"/>
    <w:rsid w:val="00F64D5F"/>
    <w:rsid w:val="00F84592"/>
    <w:rsid w:val="00F84D5C"/>
    <w:rsid w:val="00FA71C8"/>
    <w:rsid w:val="00FA747A"/>
    <w:rsid w:val="00FB02C5"/>
    <w:rsid w:val="00FB1972"/>
    <w:rsid w:val="00FB2FCA"/>
    <w:rsid w:val="00FD0780"/>
    <w:rsid w:val="00FD2347"/>
    <w:rsid w:val="00FE33BD"/>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1780">
      <w:bodyDiv w:val="1"/>
      <w:marLeft w:val="0"/>
      <w:marRight w:val="0"/>
      <w:marTop w:val="0"/>
      <w:marBottom w:val="0"/>
      <w:divBdr>
        <w:top w:val="none" w:sz="0" w:space="0" w:color="auto"/>
        <w:left w:val="none" w:sz="0" w:space="0" w:color="auto"/>
        <w:bottom w:val="none" w:sz="0" w:space="0" w:color="auto"/>
        <w:right w:val="none" w:sz="0" w:space="0" w:color="auto"/>
      </w:divBdr>
    </w:div>
    <w:div w:id="364255584">
      <w:bodyDiv w:val="1"/>
      <w:marLeft w:val="0"/>
      <w:marRight w:val="0"/>
      <w:marTop w:val="0"/>
      <w:marBottom w:val="0"/>
      <w:divBdr>
        <w:top w:val="none" w:sz="0" w:space="0" w:color="auto"/>
        <w:left w:val="none" w:sz="0" w:space="0" w:color="auto"/>
        <w:bottom w:val="none" w:sz="0" w:space="0" w:color="auto"/>
        <w:right w:val="none" w:sz="0" w:space="0" w:color="auto"/>
      </w:divBdr>
    </w:div>
    <w:div w:id="587932887">
      <w:bodyDiv w:val="1"/>
      <w:marLeft w:val="0"/>
      <w:marRight w:val="0"/>
      <w:marTop w:val="0"/>
      <w:marBottom w:val="0"/>
      <w:divBdr>
        <w:top w:val="none" w:sz="0" w:space="0" w:color="auto"/>
        <w:left w:val="none" w:sz="0" w:space="0" w:color="auto"/>
        <w:bottom w:val="none" w:sz="0" w:space="0" w:color="auto"/>
        <w:right w:val="none" w:sz="0" w:space="0" w:color="auto"/>
      </w:divBdr>
    </w:div>
    <w:div w:id="608856417">
      <w:bodyDiv w:val="1"/>
      <w:marLeft w:val="0"/>
      <w:marRight w:val="0"/>
      <w:marTop w:val="0"/>
      <w:marBottom w:val="0"/>
      <w:divBdr>
        <w:top w:val="none" w:sz="0" w:space="0" w:color="auto"/>
        <w:left w:val="none" w:sz="0" w:space="0" w:color="auto"/>
        <w:bottom w:val="none" w:sz="0" w:space="0" w:color="auto"/>
        <w:right w:val="none" w:sz="0" w:space="0" w:color="auto"/>
      </w:divBdr>
    </w:div>
    <w:div w:id="649096755">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09845261">
      <w:bodyDiv w:val="1"/>
      <w:marLeft w:val="0"/>
      <w:marRight w:val="0"/>
      <w:marTop w:val="0"/>
      <w:marBottom w:val="0"/>
      <w:divBdr>
        <w:top w:val="none" w:sz="0" w:space="0" w:color="auto"/>
        <w:left w:val="none" w:sz="0" w:space="0" w:color="auto"/>
        <w:bottom w:val="none" w:sz="0" w:space="0" w:color="auto"/>
        <w:right w:val="none" w:sz="0" w:space="0" w:color="auto"/>
      </w:divBdr>
    </w:div>
    <w:div w:id="959649130">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97631117">
      <w:bodyDiv w:val="1"/>
      <w:marLeft w:val="0"/>
      <w:marRight w:val="0"/>
      <w:marTop w:val="0"/>
      <w:marBottom w:val="0"/>
      <w:divBdr>
        <w:top w:val="none" w:sz="0" w:space="0" w:color="auto"/>
        <w:left w:val="none" w:sz="0" w:space="0" w:color="auto"/>
        <w:bottom w:val="none" w:sz="0" w:space="0" w:color="auto"/>
        <w:right w:val="none" w:sz="0" w:space="0" w:color="auto"/>
      </w:divBdr>
    </w:div>
    <w:div w:id="1929073374">
      <w:bodyDiv w:val="1"/>
      <w:marLeft w:val="0"/>
      <w:marRight w:val="0"/>
      <w:marTop w:val="0"/>
      <w:marBottom w:val="0"/>
      <w:divBdr>
        <w:top w:val="none" w:sz="0" w:space="0" w:color="auto"/>
        <w:left w:val="none" w:sz="0" w:space="0" w:color="auto"/>
        <w:bottom w:val="none" w:sz="0" w:space="0" w:color="auto"/>
        <w:right w:val="none" w:sz="0" w:space="0" w:color="auto"/>
      </w:divBdr>
      <w:divsChild>
        <w:div w:id="199517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3945</Characters>
  <Application>Microsoft Office Word</Application>
  <DocSecurity>4</DocSecurity>
  <Lines>32</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2025-09-15T20:01:00Z</cp:lastPrinted>
  <dcterms:created xsi:type="dcterms:W3CDTF">2026-06-22T21:44:00Z</dcterms:created>
  <dcterms:modified xsi:type="dcterms:W3CDTF">2026-06-22T21:44:00Z</dcterms:modified>
</cp:coreProperties>
</file>