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4A49E8">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4A49E8">
      <w:pPr>
        <w:jc w:val="center"/>
        <w:rPr>
          <w:rFonts w:ascii="Book Antiqua" w:hAnsi="Book Antiqua"/>
          <w:sz w:val="28"/>
          <w:lang w:val="es-ES_tradnl"/>
        </w:rPr>
      </w:pPr>
    </w:p>
    <w:p w14:paraId="6AE3905C" w14:textId="10F9F10A" w:rsidR="00F13533" w:rsidRPr="004F6F8E" w:rsidRDefault="00F13533" w:rsidP="004A49E8">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F70D3E">
        <w:rPr>
          <w:rFonts w:ascii="Book Antiqua" w:hAnsi="Book Antiqua"/>
          <w:lang w:val="es-ES_tradnl"/>
        </w:rPr>
        <w:t>2</w:t>
      </w:r>
      <w:r w:rsidR="00DE7377" w:rsidRPr="004F6F8E">
        <w:rPr>
          <w:rFonts w:ascii="Book Antiqua" w:hAnsi="Book Antiqua"/>
          <w:lang w:val="es-ES_tradnl"/>
        </w:rPr>
        <w:t xml:space="preserve"> </w:t>
      </w:r>
      <w:r w:rsidR="00F70D3E">
        <w:rPr>
          <w:rFonts w:ascii="Book Antiqua" w:hAnsi="Book Antiqua"/>
          <w:vertAlign w:val="superscript"/>
          <w:lang w:val="es-ES_tradnl"/>
        </w:rPr>
        <w:t>d</w:t>
      </w:r>
      <w:r w:rsidR="00DE7377" w:rsidRPr="004F6F8E">
        <w:rPr>
          <w:rFonts w:ascii="Book Antiqua" w:hAnsi="Book Antiqua"/>
          <w:vertAlign w:val="superscript"/>
          <w:lang w:val="es-ES_tradnl"/>
        </w:rPr>
        <w:t>a</w:t>
      </w:r>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4A49E8">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4A49E8">
      <w:pPr>
        <w:rPr>
          <w:rFonts w:ascii="Book Antiqua" w:hAnsi="Book Antiqua"/>
          <w:lang w:val="es-ES_tradnl"/>
        </w:rPr>
      </w:pPr>
    </w:p>
    <w:p w14:paraId="2BEF326C" w14:textId="77777777" w:rsidR="00F13533" w:rsidRDefault="00F13533" w:rsidP="004A49E8">
      <w:pPr>
        <w:jc w:val="center"/>
        <w:rPr>
          <w:rFonts w:ascii="Book Antiqua" w:hAnsi="Book Antiqua"/>
          <w:b/>
          <w:sz w:val="36"/>
          <w:lang w:val="es-ES_tradnl"/>
        </w:rPr>
      </w:pPr>
      <w:r w:rsidRPr="004F6F8E">
        <w:rPr>
          <w:rFonts w:ascii="Book Antiqua" w:hAnsi="Book Antiqua"/>
          <w:b/>
          <w:sz w:val="36"/>
          <w:lang w:val="es-ES_tradnl"/>
        </w:rPr>
        <w:t>CÁMARA DE REPRESENTANTES</w:t>
      </w:r>
    </w:p>
    <w:p w14:paraId="2DC872E9" w14:textId="77777777" w:rsidR="004A49E8" w:rsidRPr="004A49E8" w:rsidRDefault="004A49E8" w:rsidP="004A49E8">
      <w:pPr>
        <w:jc w:val="center"/>
        <w:rPr>
          <w:rFonts w:ascii="Book Antiqua" w:hAnsi="Book Antiqua"/>
          <w:b/>
          <w:szCs w:val="24"/>
          <w:lang w:val="es-ES_tradnl"/>
        </w:rPr>
      </w:pPr>
    </w:p>
    <w:p w14:paraId="279BFDBC" w14:textId="4B841D42" w:rsidR="00F13533" w:rsidRDefault="00F13533" w:rsidP="004A49E8">
      <w:pPr>
        <w:jc w:val="center"/>
        <w:rPr>
          <w:rFonts w:ascii="Book Antiqua" w:hAnsi="Book Antiqua"/>
          <w:b/>
          <w:sz w:val="52"/>
          <w:lang w:val="es-ES_tradnl"/>
        </w:rPr>
      </w:pPr>
      <w:r w:rsidRPr="004F6F8E">
        <w:rPr>
          <w:rFonts w:ascii="Book Antiqua" w:hAnsi="Book Antiqua"/>
          <w:b/>
          <w:sz w:val="52"/>
          <w:lang w:val="es-ES_tradnl"/>
        </w:rPr>
        <w:t xml:space="preserve">P. de la C. </w:t>
      </w:r>
      <w:r w:rsidR="00BB7D06">
        <w:rPr>
          <w:rFonts w:ascii="Book Antiqua" w:hAnsi="Book Antiqua"/>
          <w:b/>
          <w:sz w:val="52"/>
          <w:lang w:val="es-ES_tradnl"/>
        </w:rPr>
        <w:t>798</w:t>
      </w:r>
    </w:p>
    <w:p w14:paraId="0F341BB0" w14:textId="77777777" w:rsidR="004A49E8" w:rsidRPr="004A49E8" w:rsidRDefault="004A49E8" w:rsidP="004A49E8">
      <w:pPr>
        <w:jc w:val="center"/>
        <w:rPr>
          <w:rFonts w:ascii="Book Antiqua" w:hAnsi="Book Antiqua"/>
          <w:b/>
          <w:szCs w:val="24"/>
          <w:lang w:val="es-ES_tradnl"/>
        </w:rPr>
      </w:pPr>
    </w:p>
    <w:p w14:paraId="2661CC12" w14:textId="41167411" w:rsidR="00F13533" w:rsidRDefault="00E51C2D" w:rsidP="004A49E8">
      <w:pPr>
        <w:jc w:val="center"/>
        <w:rPr>
          <w:rFonts w:ascii="Book Antiqua" w:hAnsi="Book Antiqua"/>
          <w:lang w:val="es-ES_tradnl"/>
        </w:rPr>
      </w:pPr>
      <w:r>
        <w:rPr>
          <w:rFonts w:ascii="Book Antiqua" w:hAnsi="Book Antiqua"/>
          <w:lang w:val="es-ES_tradnl"/>
        </w:rPr>
        <w:t>19</w:t>
      </w:r>
      <w:r w:rsidR="00F13533" w:rsidRPr="004F6F8E">
        <w:rPr>
          <w:rFonts w:ascii="Book Antiqua" w:hAnsi="Book Antiqua"/>
          <w:lang w:val="es-ES_tradnl"/>
        </w:rPr>
        <w:t xml:space="preserve"> DE </w:t>
      </w:r>
      <w:r w:rsidR="00C27293">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4A49E8">
      <w:pPr>
        <w:jc w:val="center"/>
        <w:rPr>
          <w:rFonts w:ascii="Book Antiqua" w:hAnsi="Book Antiqua"/>
          <w:lang w:val="es-ES_tradnl"/>
        </w:rPr>
      </w:pPr>
    </w:p>
    <w:p w14:paraId="7574DCF0" w14:textId="77777777" w:rsidR="004A49E8" w:rsidRPr="004A49E8" w:rsidRDefault="004A49E8" w:rsidP="004A49E8">
      <w:pPr>
        <w:jc w:val="center"/>
        <w:rPr>
          <w:rFonts w:ascii="Book Antiqua" w:hAnsi="Book Antiqua"/>
          <w:i/>
          <w:iCs/>
          <w:lang w:val="es-ES"/>
        </w:rPr>
      </w:pPr>
      <w:r w:rsidRPr="004A49E8">
        <w:rPr>
          <w:rFonts w:ascii="Book Antiqua" w:hAnsi="Book Antiqua"/>
          <w:lang w:val="es-ES"/>
        </w:rPr>
        <w:t xml:space="preserve">Presentado por el representante </w:t>
      </w:r>
      <w:r w:rsidRPr="004A49E8">
        <w:rPr>
          <w:rFonts w:ascii="Book Antiqua" w:hAnsi="Book Antiqua"/>
          <w:i/>
          <w:iCs/>
          <w:lang w:val="es-ES"/>
        </w:rPr>
        <w:t xml:space="preserve">Márquez Lebrón; </w:t>
      </w:r>
    </w:p>
    <w:p w14:paraId="1F4CE3FE" w14:textId="77777777" w:rsidR="004A49E8" w:rsidRPr="004A49E8" w:rsidRDefault="004A49E8" w:rsidP="004A49E8">
      <w:pPr>
        <w:jc w:val="center"/>
        <w:rPr>
          <w:rFonts w:ascii="Book Antiqua" w:hAnsi="Book Antiqua"/>
          <w:i/>
          <w:iCs/>
          <w:lang w:val="es-ES"/>
        </w:rPr>
      </w:pPr>
      <w:r w:rsidRPr="004A49E8">
        <w:rPr>
          <w:rFonts w:ascii="Book Antiqua" w:hAnsi="Book Antiqua"/>
          <w:lang w:val="es-ES"/>
        </w:rPr>
        <w:t>y las representantes</w:t>
      </w:r>
      <w:r w:rsidRPr="004A49E8">
        <w:rPr>
          <w:rFonts w:ascii="Book Antiqua" w:hAnsi="Book Antiqua"/>
          <w:i/>
          <w:iCs/>
          <w:lang w:val="es-ES"/>
        </w:rPr>
        <w:t xml:space="preserve"> Gutiérrez Colón y Lebrón Robles</w:t>
      </w:r>
    </w:p>
    <w:p w14:paraId="07F82606" w14:textId="77777777" w:rsidR="004A49E8" w:rsidRPr="004F6F8E" w:rsidRDefault="004A49E8" w:rsidP="004A49E8">
      <w:pPr>
        <w:jc w:val="center"/>
        <w:rPr>
          <w:rFonts w:ascii="Book Antiqua" w:hAnsi="Book Antiqua"/>
          <w:i/>
          <w:iCs/>
          <w:lang w:val="es-ES_tradnl"/>
        </w:rPr>
      </w:pPr>
    </w:p>
    <w:p w14:paraId="47A99186" w14:textId="51C00889" w:rsidR="00F13533" w:rsidRPr="004F6F8E" w:rsidRDefault="004A49E8" w:rsidP="004A49E8">
      <w:pPr>
        <w:jc w:val="center"/>
        <w:rPr>
          <w:rFonts w:ascii="Book Antiqua" w:hAnsi="Book Antiqua"/>
          <w:lang w:val="es-ES_tradnl"/>
        </w:rPr>
      </w:pPr>
      <w:r w:rsidRPr="004A49E8">
        <w:rPr>
          <w:rFonts w:ascii="Book Antiqua" w:hAnsi="Book Antiqua"/>
          <w:lang w:val="es-ES_tradnl"/>
        </w:rPr>
        <w:t>Referido a la Comisión de Gobierno</w:t>
      </w:r>
      <w:r w:rsidR="00F13533" w:rsidRPr="004F6F8E">
        <w:rPr>
          <w:rFonts w:ascii="Book Antiqua" w:hAnsi="Book Antiqua"/>
          <w:lang w:val="es-ES_tradnl"/>
        </w:rPr>
        <w:t xml:space="preserve"> </w:t>
      </w:r>
    </w:p>
    <w:p w14:paraId="4F40A063" w14:textId="77777777" w:rsidR="00F13533" w:rsidRPr="004F6F8E" w:rsidRDefault="00F13533" w:rsidP="004A49E8">
      <w:pPr>
        <w:jc w:val="both"/>
        <w:rPr>
          <w:rFonts w:ascii="Book Antiqua" w:hAnsi="Book Antiqua"/>
          <w:lang w:val="es-ES_tradnl"/>
        </w:rPr>
      </w:pPr>
    </w:p>
    <w:p w14:paraId="7D55E694" w14:textId="77777777" w:rsidR="00F13533" w:rsidRPr="00DD2AA2" w:rsidRDefault="00F13533" w:rsidP="004A49E8">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4A49E8">
      <w:pPr>
        <w:jc w:val="both"/>
        <w:rPr>
          <w:rFonts w:ascii="Book Antiqua" w:hAnsi="Book Antiqua"/>
          <w:lang w:val="es-ES_tradnl"/>
        </w:rPr>
      </w:pPr>
    </w:p>
    <w:p w14:paraId="1CEF8A88" w14:textId="2EF69B9C" w:rsidR="00F13533" w:rsidRDefault="00782D50" w:rsidP="004A49E8">
      <w:pPr>
        <w:ind w:left="360" w:hanging="360"/>
        <w:jc w:val="both"/>
        <w:rPr>
          <w:rFonts w:ascii="Book Antiqua" w:hAnsi="Book Antiqua"/>
          <w:lang w:val="es-ES_tradnl"/>
        </w:rPr>
      </w:pPr>
      <w:r w:rsidRPr="00782D50">
        <w:rPr>
          <w:rFonts w:ascii="Book Antiqua" w:hAnsi="Book Antiqua"/>
          <w:lang w:val="es-ES_tradnl"/>
        </w:rPr>
        <w:t xml:space="preserve">Para </w:t>
      </w:r>
      <w:r w:rsidR="006236CF">
        <w:rPr>
          <w:rFonts w:ascii="Book Antiqua" w:hAnsi="Book Antiqua"/>
          <w:lang w:val="es-ES_tradnl"/>
        </w:rPr>
        <w:t xml:space="preserve">enmendar el Artículo 1.6 de la </w:t>
      </w:r>
      <w:r w:rsidR="00FC54D1" w:rsidRPr="00FC54D1">
        <w:rPr>
          <w:rFonts w:ascii="Book Antiqua" w:hAnsi="Book Antiqua"/>
          <w:lang w:val="es-ES_tradnl"/>
        </w:rPr>
        <w:t>Ley 17-2019, conocida como “Ley de Política Pública Energética de Puerto Rico”,</w:t>
      </w:r>
      <w:r w:rsidR="00FC54D1">
        <w:rPr>
          <w:rFonts w:ascii="Book Antiqua" w:hAnsi="Book Antiqua"/>
          <w:lang w:val="es-ES_tradnl"/>
        </w:rPr>
        <w:t xml:space="preserve"> </w:t>
      </w:r>
      <w:r w:rsidR="00FC54D1" w:rsidRPr="00FC54D1">
        <w:rPr>
          <w:rFonts w:ascii="Book Antiqua" w:hAnsi="Book Antiqua"/>
          <w:lang w:val="es-ES_tradnl"/>
        </w:rPr>
        <w:t>y los Artículos 2.3 y 2.13 de la Ley Núm. 82-2010, según enmendada, conocida como “Ley de Política Pública de Diversificación Energética por Medio de Energía Renovable Sostenible y Alterna en Puerto Rico”</w:t>
      </w:r>
      <w:r w:rsidR="001D7670">
        <w:rPr>
          <w:rFonts w:ascii="Book Antiqua" w:hAnsi="Book Antiqua"/>
          <w:lang w:val="es-ES_tradnl"/>
        </w:rPr>
        <w:t>, con el fin de restablecer el estado de derecho sobre la quema de carbón como fuente para la generación de energía en Puerto Rico; y otros fines relacionados</w:t>
      </w:r>
      <w:r w:rsidR="00DA454C" w:rsidRPr="00343B4F">
        <w:rPr>
          <w:rFonts w:ascii="Book Antiqua" w:hAnsi="Book Antiqua"/>
          <w:lang w:val="es-ES_tradnl"/>
        </w:rPr>
        <w:t>.</w:t>
      </w:r>
    </w:p>
    <w:p w14:paraId="323253F9" w14:textId="77777777" w:rsidR="004A49E8" w:rsidRPr="004F6F8E" w:rsidRDefault="004A49E8" w:rsidP="004A49E8">
      <w:pPr>
        <w:ind w:left="360" w:hanging="360"/>
        <w:jc w:val="both"/>
        <w:rPr>
          <w:rFonts w:ascii="Book Antiqua" w:hAnsi="Book Antiqua"/>
          <w:lang w:val="es-ES"/>
        </w:rPr>
      </w:pPr>
    </w:p>
    <w:p w14:paraId="2CA23802" w14:textId="016515A5" w:rsidR="00F13533" w:rsidRDefault="00F13533" w:rsidP="004A49E8">
      <w:pPr>
        <w:ind w:firstLine="360"/>
        <w:jc w:val="center"/>
        <w:rPr>
          <w:rFonts w:ascii="Book Antiqua" w:hAnsi="Book Antiqua"/>
          <w:lang w:val="es-ES_tradnl"/>
        </w:rPr>
      </w:pPr>
      <w:r w:rsidRPr="004F6F8E">
        <w:rPr>
          <w:rFonts w:ascii="Book Antiqua" w:hAnsi="Book Antiqua"/>
          <w:lang w:val="es-ES_tradnl"/>
        </w:rPr>
        <w:t>EXPOSICIÓN DE MOTIVOS</w:t>
      </w:r>
    </w:p>
    <w:p w14:paraId="5FE8417B" w14:textId="77777777" w:rsidR="004A49E8" w:rsidRPr="004F6F8E" w:rsidRDefault="004A49E8" w:rsidP="004A49E8">
      <w:pPr>
        <w:ind w:firstLine="360"/>
        <w:jc w:val="center"/>
        <w:rPr>
          <w:rFonts w:ascii="Book Antiqua" w:hAnsi="Book Antiqua"/>
          <w:lang w:val="es-ES_tradnl"/>
        </w:rPr>
      </w:pPr>
    </w:p>
    <w:p w14:paraId="5E95CFE5" w14:textId="77777777" w:rsidR="001D7670" w:rsidRDefault="001D7670" w:rsidP="004A49E8">
      <w:pPr>
        <w:ind w:firstLine="360"/>
        <w:jc w:val="both"/>
        <w:rPr>
          <w:rFonts w:ascii="Book Antiqua" w:hAnsi="Book Antiqua"/>
          <w:lang w:val="es-ES_tradnl"/>
        </w:rPr>
      </w:pPr>
      <w:r w:rsidRPr="001D7670">
        <w:rPr>
          <w:rFonts w:ascii="Book Antiqua" w:hAnsi="Book Antiqua"/>
          <w:lang w:val="es-ES_tradnl"/>
        </w:rPr>
        <w:t>La Ley Núm. 1 de 19 de marzo de 2025 enmendó el Artículo 1.6 de la Ley 17-2019, conocida como “Ley de Política Pública Energética de Puerto Rico”, así como los Artículos 2.3 y 2.13 de la Ley Núm. 82-2010, según enmendada, conocida como “Ley de Política Pública de Diversificación Energética por Medio de Energía Renovable Sostenible y Alterna en Puerto Rico”. La justificación para la aprobación de dichas enmiendas fue “atemperar los objetivos de política pública energética a la urgente y precaria realidad de la emergencia energética de Puerto Rico; garantizar el cumplimiento con las metas establecidas para el 2050 en particular la urgente necesidad de atender la confiabilidad y resiliencia del servicio eléctrico; disponer sobre el cumplimiento con la presente Ley; y para otros fines relacionados”.</w:t>
      </w:r>
    </w:p>
    <w:p w14:paraId="1DD8C45F" w14:textId="77777777" w:rsidR="004A49E8" w:rsidRPr="001D7670" w:rsidRDefault="004A49E8" w:rsidP="004A49E8">
      <w:pPr>
        <w:ind w:firstLine="360"/>
        <w:jc w:val="both"/>
        <w:rPr>
          <w:rFonts w:ascii="Book Antiqua" w:hAnsi="Book Antiqua"/>
          <w:lang w:val="es-ES_tradnl"/>
        </w:rPr>
      </w:pPr>
    </w:p>
    <w:p w14:paraId="34556D64" w14:textId="77777777" w:rsidR="001D7670" w:rsidRDefault="001D7670" w:rsidP="004A49E8">
      <w:pPr>
        <w:ind w:firstLine="360"/>
        <w:jc w:val="both"/>
        <w:rPr>
          <w:rFonts w:ascii="Book Antiqua" w:hAnsi="Book Antiqua"/>
          <w:lang w:val="es-ES_tradnl"/>
        </w:rPr>
      </w:pPr>
      <w:r w:rsidRPr="001D7670">
        <w:rPr>
          <w:rFonts w:ascii="Book Antiqua" w:hAnsi="Book Antiqua"/>
          <w:lang w:val="es-ES_tradnl"/>
        </w:rPr>
        <w:t xml:space="preserve">A pesar de que en la Exposición de Motivos de la Ley Núm. 1 de 19 de marzo de 2025 se afirma que “No existe prioridad mayor para un gobierno que asegurar para su ciudadanía la seguridad y estabilidad energética -por medio de una infraestructura y </w:t>
      </w:r>
      <w:r w:rsidRPr="001D7670">
        <w:rPr>
          <w:rFonts w:ascii="Book Antiqua" w:hAnsi="Book Antiqua"/>
          <w:lang w:val="es-ES_tradnl"/>
        </w:rPr>
        <w:lastRenderedPageBreak/>
        <w:t xml:space="preserve">sistema eléctrico que sea moderno, confiable, resiliente y costo-efectivo”, en realidad el efecto que ha tenido la aprobación de dicha ley ha sido atrasar los planes y proyectos que habían sido calendarizados previamente, precisamente para adelantar los objetivos programáticos de política pública dirigidos a “diversificar la cartera de fuentes de generación de nuestro sistema de energía eléctrico para disminuir nuestra dependencia de combustibles fósiles que son dañinos a nuestra salud y nuestro medioambiente”, según un fragmento del texto de la referida Exposición de Motivos. En dicho texto se afirma que, debido a una serie de factores, presuntamente fuera del control del gobierno central, “no se van a poder cumplir las metas intermedias establecidas en la Ley de Política Pública Energética de Puerto Rico, Ley Núm. 17-2019, ni en la Ley de Política Pública de Diversificación Energética por Medio de Energía Renovable Sostenible y Alterna en Puerto Rico, Ley Núm. 82-2010, según enmendada”. </w:t>
      </w:r>
    </w:p>
    <w:p w14:paraId="404BACEF" w14:textId="77777777" w:rsidR="004A49E8" w:rsidRPr="001D7670" w:rsidRDefault="004A49E8" w:rsidP="004A49E8">
      <w:pPr>
        <w:ind w:firstLine="360"/>
        <w:jc w:val="both"/>
        <w:rPr>
          <w:rFonts w:ascii="Book Antiqua" w:hAnsi="Book Antiqua"/>
          <w:lang w:val="es-ES_tradnl"/>
        </w:rPr>
      </w:pPr>
    </w:p>
    <w:p w14:paraId="4C527011" w14:textId="77777777" w:rsidR="001D7670" w:rsidRDefault="001D7670" w:rsidP="004A49E8">
      <w:pPr>
        <w:ind w:firstLine="360"/>
        <w:jc w:val="both"/>
        <w:rPr>
          <w:rFonts w:ascii="Book Antiqua" w:hAnsi="Book Antiqua"/>
          <w:lang w:val="es-ES_tradnl"/>
        </w:rPr>
      </w:pPr>
      <w:r w:rsidRPr="001D7670">
        <w:rPr>
          <w:rFonts w:ascii="Book Antiqua" w:hAnsi="Book Antiqua"/>
          <w:lang w:val="es-ES_tradnl"/>
        </w:rPr>
        <w:t>En el referido texto de la Exposición de Motivos de la Núm. 1 de 19 de marzo de 2025, se emiten expresiones que no están fundamentadas sobre una base técnica o científica, o sobre los hallazgos más recientes de los estudios especializados en potencia eléctrica, conducidos, entre otros, por catedráticos doctorados en la materia, profesores de la Escuela de Ingeniería de la Universidad de Puerto Rico, Recinto de Mayagüez. Así, por ejemplo, se afirma que “…el alza desmedida en el costo de energía al consumidor que resultaría de la integración de estas fuentes renovables en estos momentos por su naturaleza intermitente y variable… junto con las limitaciones impuestas por las actuales metas intermedias incluidas en la mencionada ley (refiriéndose a la Ley Núm. 17-2019), han mantenido los precios de fuentes de generación renovables demasiado altos”. Dicha afirmación, insistimos, carece de veracidad científica y técnica, y contradice los hallazgos de las investigaciones realizadas por los expertos aludidos.</w:t>
      </w:r>
    </w:p>
    <w:p w14:paraId="5FB2F93E" w14:textId="77777777" w:rsidR="004A49E8" w:rsidRPr="001D7670" w:rsidRDefault="004A49E8" w:rsidP="004A49E8">
      <w:pPr>
        <w:ind w:firstLine="360"/>
        <w:jc w:val="both"/>
        <w:rPr>
          <w:rFonts w:ascii="Book Antiqua" w:hAnsi="Book Antiqua"/>
          <w:lang w:val="es-ES_tradnl"/>
        </w:rPr>
      </w:pPr>
    </w:p>
    <w:p w14:paraId="11A214BF" w14:textId="18BB38E3" w:rsidR="001D7670" w:rsidRDefault="001D7670" w:rsidP="004A49E8">
      <w:pPr>
        <w:ind w:firstLine="360"/>
        <w:jc w:val="both"/>
        <w:rPr>
          <w:rFonts w:ascii="Book Antiqua" w:hAnsi="Book Antiqua"/>
          <w:lang w:val="es-ES_tradnl"/>
        </w:rPr>
      </w:pPr>
      <w:r w:rsidRPr="001D7670">
        <w:rPr>
          <w:rFonts w:ascii="Book Antiqua" w:hAnsi="Book Antiqua"/>
          <w:lang w:val="es-ES_tradnl"/>
        </w:rPr>
        <w:t xml:space="preserve"> Aun así, es decir, careciendo de una base científica o técnica, la Ley Núm. 1 de 19 de marzo de 2025 se aprobó, presuntamente, “para atender esta situación de emergencia, por lo que necesitamos revisar las medidas impuestas en la ley que, aunque meritorias, requieren actualizarse a la realidad de los tiempos y a la que vive nuestra gente”. Irónicamente, la Exposición de Motivos de la Ley Núm. 1 de 19 de marzo de 2025 concluye afirmando “siempre manteniendo la meta impuesta de que, en 2050, contemos con un sistema eléctrico en Puerto Rico cuya generación provenga en el 100% de fuentes renovables”.</w:t>
      </w:r>
    </w:p>
    <w:p w14:paraId="61E7881D" w14:textId="77777777" w:rsidR="004A49E8" w:rsidRPr="001D7670" w:rsidRDefault="004A49E8" w:rsidP="004A49E8">
      <w:pPr>
        <w:ind w:firstLine="360"/>
        <w:jc w:val="both"/>
        <w:rPr>
          <w:rFonts w:ascii="Book Antiqua" w:hAnsi="Book Antiqua"/>
          <w:lang w:val="es-ES_tradnl"/>
        </w:rPr>
      </w:pPr>
    </w:p>
    <w:p w14:paraId="12028B54" w14:textId="77777777" w:rsidR="001D7670" w:rsidRPr="001D7670" w:rsidRDefault="001D7670" w:rsidP="004A49E8">
      <w:pPr>
        <w:ind w:firstLine="360"/>
        <w:jc w:val="both"/>
        <w:rPr>
          <w:rFonts w:ascii="Book Antiqua" w:hAnsi="Book Antiqua"/>
          <w:lang w:val="es-ES_tradnl"/>
        </w:rPr>
      </w:pPr>
      <w:r w:rsidRPr="001D7670">
        <w:rPr>
          <w:rFonts w:ascii="Book Antiqua" w:hAnsi="Book Antiqua"/>
          <w:lang w:val="es-ES_tradnl"/>
        </w:rPr>
        <w:t>Lo cierto es que, como consecuencia de la aprobación de la Ley Núm. 1 de 19 de marzo de 2025, las posibilidades de alcanzar la meta fundamental de contar con un sistema de generación de energía eléctrica basado en 100% en fuentes renovables para el año 2050, así como la meta igualmente fundamental de reducir sustancial y consecuentemente, hasta su eliminación, la dependencia en combustibles fósiles en el corto y mediano plazo, se aplazan indefinidamente, según lo han confirmado los expertos en potencia eléctrica y en la implementación de proyectos de fuentes energéticas renovables.</w:t>
      </w:r>
    </w:p>
    <w:p w14:paraId="0706813C" w14:textId="77777777" w:rsidR="001D7670" w:rsidRDefault="001D7670" w:rsidP="004A49E8">
      <w:pPr>
        <w:ind w:firstLine="360"/>
        <w:jc w:val="both"/>
        <w:rPr>
          <w:rFonts w:ascii="Book Antiqua" w:hAnsi="Book Antiqua"/>
          <w:lang w:val="es-ES_tradnl"/>
        </w:rPr>
      </w:pPr>
      <w:r w:rsidRPr="001D7670">
        <w:rPr>
          <w:rFonts w:ascii="Book Antiqua" w:hAnsi="Book Antiqua"/>
          <w:lang w:val="es-ES_tradnl"/>
        </w:rPr>
        <w:lastRenderedPageBreak/>
        <w:t>Por esa razón, esta Asamblea Legislativa entiende necesaria la derogación de la Ley Núm. 1 de 19 de marzo de 2025, para restablecer las metas definidas en el calendario detallado en el Artículo 1.6 de la Ley 17-2019, conocida como “Ley de Política Pública Energética de Puerto Rico”, así como en los Artículos 2.3 y 2.13 de la Ley Núm. 82-2010, según enmendada, conocida como “Ley de Política Pública de Diversificación Energética por Medio de Energía Renovable Sostenible y Alterna en Puerto Rico”.</w:t>
      </w:r>
    </w:p>
    <w:p w14:paraId="2756D252" w14:textId="77777777" w:rsidR="004A49E8" w:rsidRDefault="004A49E8" w:rsidP="004A49E8">
      <w:pPr>
        <w:ind w:firstLine="360"/>
        <w:jc w:val="both"/>
        <w:rPr>
          <w:rFonts w:ascii="Book Antiqua" w:hAnsi="Book Antiqua"/>
          <w:lang w:val="es-PR"/>
        </w:rPr>
      </w:pPr>
    </w:p>
    <w:p w14:paraId="7674B2AD" w14:textId="667EBB77" w:rsidR="00F13533" w:rsidRPr="004F6F8E" w:rsidRDefault="00F13533" w:rsidP="004A49E8">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448EA3A4" w14:textId="4A8F2C25" w:rsidR="00FC54D1" w:rsidRDefault="00FC54D1" w:rsidP="009B68F7">
      <w:pPr>
        <w:spacing w:line="480" w:lineRule="auto"/>
        <w:ind w:firstLine="360"/>
        <w:jc w:val="both"/>
        <w:rPr>
          <w:rFonts w:ascii="Book Antiqua" w:hAnsi="Book Antiqua"/>
          <w:lang w:val="es-PR"/>
        </w:rPr>
      </w:pPr>
      <w:r w:rsidRPr="00FC54D1">
        <w:rPr>
          <w:rFonts w:ascii="Book Antiqua" w:hAnsi="Book Antiqua"/>
          <w:lang w:val="es-PR"/>
        </w:rPr>
        <w:t>Sección 1.</w:t>
      </w:r>
      <w:r>
        <w:rPr>
          <w:rFonts w:ascii="Book Antiqua" w:hAnsi="Book Antiqua"/>
          <w:lang w:val="es-PR"/>
        </w:rPr>
        <w:t xml:space="preserve"> </w:t>
      </w:r>
      <w:r w:rsidR="00F67133">
        <w:rPr>
          <w:rFonts w:ascii="Book Antiqua" w:hAnsi="Book Antiqua"/>
          <w:lang w:val="es-PR"/>
        </w:rPr>
        <w:t>–</w:t>
      </w:r>
      <w:r>
        <w:rPr>
          <w:rFonts w:ascii="Book Antiqua" w:hAnsi="Book Antiqua"/>
          <w:lang w:val="es-PR"/>
        </w:rPr>
        <w:t xml:space="preserve"> </w:t>
      </w:r>
      <w:r w:rsidRPr="00FC54D1">
        <w:rPr>
          <w:rFonts w:ascii="Book Antiqua" w:hAnsi="Book Antiqua"/>
          <w:lang w:val="es-PR"/>
        </w:rPr>
        <w:t>Se enmienda el Artículo 1.6 de la Ley 17-2019, para que se lea como sigue:</w:t>
      </w:r>
    </w:p>
    <w:p w14:paraId="4A0DF764" w14:textId="3FB72D03" w:rsidR="00FC54D1" w:rsidRDefault="00FC54D1" w:rsidP="00FC54D1">
      <w:pPr>
        <w:spacing w:line="480" w:lineRule="auto"/>
        <w:ind w:left="1080" w:firstLine="360"/>
        <w:jc w:val="both"/>
        <w:rPr>
          <w:rFonts w:ascii="Book Antiqua" w:eastAsia="Book Antiqua" w:hAnsi="Book Antiqua" w:cs="Book Antiqua"/>
          <w:szCs w:val="24"/>
          <w:lang w:val="es-PR"/>
        </w:rPr>
      </w:pPr>
      <w:r>
        <w:rPr>
          <w:rFonts w:ascii="Book Antiqua" w:eastAsia="Book Antiqua" w:hAnsi="Book Antiqua" w:cs="Book Antiqua"/>
          <w:szCs w:val="24"/>
          <w:lang w:val="es-PR"/>
        </w:rPr>
        <w:t>“Artículo 1.6</w:t>
      </w:r>
      <w:r w:rsidR="00F67133">
        <w:rPr>
          <w:rFonts w:ascii="Book Antiqua" w:eastAsia="Book Antiqua" w:hAnsi="Book Antiqua" w:cs="Book Antiqua"/>
          <w:szCs w:val="24"/>
          <w:lang w:val="es-PR"/>
        </w:rPr>
        <w:t xml:space="preserve"> </w:t>
      </w:r>
      <w:r w:rsidR="00F67133">
        <w:rPr>
          <w:rFonts w:ascii="Book Antiqua" w:hAnsi="Book Antiqua"/>
          <w:lang w:val="es-PR"/>
        </w:rPr>
        <w:t>–</w:t>
      </w:r>
      <w:r w:rsidR="00F67133">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Objetivos iniciales </w:t>
      </w:r>
    </w:p>
    <w:p w14:paraId="14D8A5DA" w14:textId="77777777" w:rsidR="00FC54D1" w:rsidRDefault="00FC54D1" w:rsidP="00FC54D1">
      <w:pPr>
        <w:spacing w:line="480" w:lineRule="auto"/>
        <w:ind w:left="1080" w:firstLine="360"/>
        <w:jc w:val="both"/>
        <w:rPr>
          <w:rFonts w:ascii="Book Antiqua" w:eastAsia="Book Antiqua" w:hAnsi="Book Antiqua" w:cs="Book Antiqua"/>
          <w:szCs w:val="24"/>
          <w:lang w:val="es-PR"/>
        </w:rPr>
      </w:pPr>
      <w:r>
        <w:rPr>
          <w:rFonts w:ascii="Book Antiqua" w:eastAsia="Book Antiqua" w:hAnsi="Book Antiqua" w:cs="Book Antiqua"/>
          <w:szCs w:val="24"/>
          <w:lang w:val="es-PR"/>
        </w:rPr>
        <w:t>La política pública energética tiene como misión alcanzar, entre otros, los siguientes objetivos iniciales:</w:t>
      </w:r>
    </w:p>
    <w:p w14:paraId="565F4C99" w14:textId="77777777" w:rsidR="00FC54D1" w:rsidRDefault="00FC54D1" w:rsidP="00FC54D1">
      <w:pPr>
        <w:pStyle w:val="ListParagraph"/>
        <w:numPr>
          <w:ilvl w:val="0"/>
          <w:numId w:val="14"/>
        </w:numPr>
        <w:spacing w:line="480" w:lineRule="auto"/>
        <w:ind w:left="1800"/>
        <w:jc w:val="both"/>
        <w:rPr>
          <w:rFonts w:ascii="Book Antiqua" w:hAnsi="Book Antiqua"/>
          <w:b/>
          <w:i/>
          <w:iCs/>
          <w:lang w:val="es-PR"/>
        </w:rPr>
      </w:pPr>
      <w:r>
        <w:rPr>
          <w:rFonts w:ascii="Book Antiqua" w:eastAsia="Book Antiqua" w:hAnsi="Book Antiqua" w:cs="Book Antiqua"/>
          <w:szCs w:val="24"/>
          <w:lang w:val="es-PR"/>
        </w:rPr>
        <w:t>…</w:t>
      </w:r>
    </w:p>
    <w:p w14:paraId="210A7076" w14:textId="77777777" w:rsidR="00FC54D1" w:rsidRPr="00FC54D1" w:rsidRDefault="00FC54D1" w:rsidP="00FC54D1">
      <w:pPr>
        <w:pStyle w:val="ListParagraph"/>
        <w:numPr>
          <w:ilvl w:val="0"/>
          <w:numId w:val="14"/>
        </w:numPr>
        <w:spacing w:line="480" w:lineRule="auto"/>
        <w:ind w:left="1800"/>
        <w:jc w:val="both"/>
        <w:rPr>
          <w:rFonts w:ascii="Book Antiqua" w:hAnsi="Book Antiqua"/>
          <w:bCs/>
          <w:lang w:val="es-PR"/>
        </w:rPr>
      </w:pPr>
      <w:r>
        <w:rPr>
          <w:rFonts w:ascii="Book Antiqua" w:eastAsia="Book Antiqua" w:hAnsi="Book Antiqua" w:cs="Book Antiqua"/>
          <w:szCs w:val="24"/>
          <w:lang w:val="es-PR"/>
        </w:rPr>
        <w:t>…</w:t>
      </w:r>
    </w:p>
    <w:p w14:paraId="4C57F063" w14:textId="2FE06A42" w:rsidR="00FC54D1" w:rsidRDefault="00FC54D1" w:rsidP="00FC54D1">
      <w:pPr>
        <w:pStyle w:val="ListParagraph"/>
        <w:numPr>
          <w:ilvl w:val="0"/>
          <w:numId w:val="14"/>
        </w:numPr>
        <w:spacing w:line="480" w:lineRule="auto"/>
        <w:ind w:left="1800"/>
        <w:jc w:val="both"/>
        <w:rPr>
          <w:rFonts w:ascii="Book Antiqua" w:hAnsi="Book Antiqua"/>
          <w:bCs/>
          <w:lang w:val="es-PR"/>
        </w:rPr>
      </w:pPr>
      <w:r w:rsidRPr="00FC54D1">
        <w:rPr>
          <w:rFonts w:ascii="Book Antiqua" w:hAnsi="Book Antiqua"/>
          <w:bCs/>
          <w:lang w:val="es-PR"/>
        </w:rPr>
        <w:t xml:space="preserve">Eliminar el uso de carbón como fuente de generación de energía no más tarde del </w:t>
      </w:r>
      <w:r w:rsidRPr="00FC54D1">
        <w:rPr>
          <w:rFonts w:ascii="Book Antiqua" w:hAnsi="Book Antiqua"/>
          <w:b/>
          <w:lang w:val="es-PR"/>
        </w:rPr>
        <w:t>[31 de diciembre de 2032]</w:t>
      </w:r>
      <w:r>
        <w:rPr>
          <w:rFonts w:ascii="Book Antiqua" w:hAnsi="Book Antiqua"/>
          <w:bCs/>
          <w:lang w:val="es-PR"/>
        </w:rPr>
        <w:t xml:space="preserve"> </w:t>
      </w:r>
      <w:r>
        <w:rPr>
          <w:rFonts w:ascii="Book Antiqua" w:hAnsi="Book Antiqua"/>
          <w:bCs/>
          <w:i/>
          <w:iCs/>
          <w:lang w:val="es-PR"/>
        </w:rPr>
        <w:t>1 de enero de 2028</w:t>
      </w:r>
      <w:r w:rsidRPr="00FC54D1">
        <w:rPr>
          <w:rFonts w:ascii="Book Antiqua" w:hAnsi="Book Antiqua"/>
          <w:bCs/>
          <w:lang w:val="es-PR"/>
        </w:rPr>
        <w:t>.</w:t>
      </w:r>
    </w:p>
    <w:p w14:paraId="0B8B275B" w14:textId="00DD81E8" w:rsidR="00FC54D1" w:rsidRDefault="00FC54D1" w:rsidP="00FC54D1">
      <w:pPr>
        <w:pStyle w:val="ListParagraph"/>
        <w:numPr>
          <w:ilvl w:val="0"/>
          <w:numId w:val="14"/>
        </w:numPr>
        <w:spacing w:line="480" w:lineRule="auto"/>
        <w:ind w:left="1800"/>
        <w:jc w:val="both"/>
        <w:rPr>
          <w:rFonts w:ascii="Book Antiqua" w:hAnsi="Book Antiqua"/>
          <w:bCs/>
          <w:lang w:val="es-PR"/>
        </w:rPr>
      </w:pPr>
      <w:r>
        <w:rPr>
          <w:rFonts w:ascii="Book Antiqua" w:hAnsi="Book Antiqua"/>
          <w:bCs/>
          <w:lang w:val="es-PR"/>
        </w:rPr>
        <w:t>…</w:t>
      </w:r>
    </w:p>
    <w:p w14:paraId="77578BC1" w14:textId="01FE0FBF" w:rsidR="00FC54D1" w:rsidRDefault="00FC54D1" w:rsidP="00FC54D1">
      <w:pPr>
        <w:pStyle w:val="ListParagraph"/>
        <w:numPr>
          <w:ilvl w:val="0"/>
          <w:numId w:val="14"/>
        </w:numPr>
        <w:spacing w:line="480" w:lineRule="auto"/>
        <w:ind w:left="1800"/>
        <w:jc w:val="both"/>
        <w:rPr>
          <w:rFonts w:ascii="Book Antiqua" w:hAnsi="Book Antiqua"/>
          <w:bCs/>
          <w:lang w:val="es-PR"/>
        </w:rPr>
      </w:pPr>
      <w:r>
        <w:rPr>
          <w:rFonts w:ascii="Book Antiqua" w:hAnsi="Book Antiqua"/>
          <w:bCs/>
          <w:lang w:val="es-PR"/>
        </w:rPr>
        <w:t>…</w:t>
      </w:r>
    </w:p>
    <w:p w14:paraId="35D0CDE9" w14:textId="45BBACE9" w:rsidR="00FC54D1" w:rsidRDefault="00FC54D1" w:rsidP="00FC54D1">
      <w:pPr>
        <w:pStyle w:val="ListParagraph"/>
        <w:numPr>
          <w:ilvl w:val="0"/>
          <w:numId w:val="14"/>
        </w:numPr>
        <w:spacing w:line="480" w:lineRule="auto"/>
        <w:ind w:left="1800"/>
        <w:jc w:val="both"/>
        <w:rPr>
          <w:rFonts w:ascii="Book Antiqua" w:hAnsi="Book Antiqua"/>
          <w:bCs/>
          <w:lang w:val="es-PR"/>
        </w:rPr>
      </w:pPr>
      <w:r>
        <w:rPr>
          <w:rFonts w:ascii="Book Antiqua" w:hAnsi="Book Antiqua"/>
          <w:bCs/>
          <w:lang w:val="es-PR"/>
        </w:rPr>
        <w:t>…</w:t>
      </w:r>
    </w:p>
    <w:p w14:paraId="270F3DC9" w14:textId="44C6C9B4" w:rsidR="00FC54D1" w:rsidRDefault="00FC54D1" w:rsidP="00FC54D1">
      <w:pPr>
        <w:pStyle w:val="ListParagraph"/>
        <w:numPr>
          <w:ilvl w:val="0"/>
          <w:numId w:val="14"/>
        </w:numPr>
        <w:spacing w:line="480" w:lineRule="auto"/>
        <w:ind w:left="1800"/>
        <w:jc w:val="both"/>
        <w:rPr>
          <w:rFonts w:ascii="Book Antiqua" w:hAnsi="Book Antiqua"/>
          <w:bCs/>
          <w:lang w:val="es-PR"/>
        </w:rPr>
      </w:pPr>
      <w:r w:rsidRPr="00F67133">
        <w:rPr>
          <w:rFonts w:ascii="Book Antiqua" w:hAnsi="Book Antiqua"/>
          <w:b/>
          <w:lang w:val="es-PR"/>
        </w:rPr>
        <w:t xml:space="preserve">[Mientras la tecnología permita sin comprometer la confiabilidad, estabilidad, continuidad del sistema eléctrico, reducir el uso de combustibles fósiles para la generación de energía, mediante la integración de energía renovable de forma ordenada y progresiva, garantizando la estabilidad del Sistema Eléctrico a un costo razonable mientras se maximizan los recursos de energía renovable a corto, </w:t>
      </w:r>
      <w:r w:rsidRPr="00F67133">
        <w:rPr>
          <w:rFonts w:ascii="Book Antiqua" w:hAnsi="Book Antiqua"/>
          <w:b/>
          <w:lang w:val="es-PR"/>
        </w:rPr>
        <w:lastRenderedPageBreak/>
        <w:t>mediano y largo plazo. Para ello, se establece una Cartera de Energía Renovable con el fin de alcanzar un cien por ciento (100%) de la producción para suplir la demanda en o antes del 2050]</w:t>
      </w:r>
      <w:r>
        <w:rPr>
          <w:rFonts w:ascii="Book Antiqua" w:hAnsi="Book Antiqua"/>
          <w:bCs/>
          <w:lang w:val="es-PR"/>
        </w:rPr>
        <w:t xml:space="preserve"> </w:t>
      </w:r>
      <w:r>
        <w:rPr>
          <w:rFonts w:ascii="Book Antiqua" w:hAnsi="Book Antiqua"/>
          <w:bCs/>
          <w:i/>
          <w:iCs/>
          <w:lang w:val="es-PR"/>
        </w:rPr>
        <w:t xml:space="preserve">Reducir, hasta eventualmente eliminar, el uso de combustibles fósiles para la generación de energía, mediante la integración de energía renovable de forma ordenada y progresiva, garantizando la estabilidad del Sistema </w:t>
      </w:r>
      <w:r w:rsidR="000B47E0">
        <w:rPr>
          <w:rFonts w:ascii="Book Antiqua" w:hAnsi="Book Antiqua"/>
          <w:bCs/>
          <w:i/>
          <w:iCs/>
          <w:lang w:val="es-PR"/>
        </w:rPr>
        <w:t>Eléctrico</w:t>
      </w:r>
      <w:r>
        <w:rPr>
          <w:rFonts w:ascii="Book Antiqua" w:hAnsi="Book Antiqua"/>
          <w:bCs/>
          <w:i/>
          <w:iCs/>
          <w:lang w:val="es-PR"/>
        </w:rPr>
        <w:t xml:space="preserve"> mientras se maximizan los recursos de energía renovable a corto, mediano y largo plazo.  Para ello, se establece una Cartera de </w:t>
      </w:r>
      <w:r w:rsidR="000B47E0">
        <w:rPr>
          <w:rFonts w:ascii="Book Antiqua" w:hAnsi="Book Antiqua"/>
          <w:bCs/>
          <w:i/>
          <w:iCs/>
          <w:lang w:val="es-PR"/>
        </w:rPr>
        <w:t>Energía</w:t>
      </w:r>
      <w:r>
        <w:rPr>
          <w:rFonts w:ascii="Book Antiqua" w:hAnsi="Book Antiqua"/>
          <w:bCs/>
          <w:i/>
          <w:iCs/>
          <w:lang w:val="es-PR"/>
        </w:rPr>
        <w:t xml:space="preserve"> Renovable</w:t>
      </w:r>
      <w:r w:rsidR="000B47E0">
        <w:rPr>
          <w:rFonts w:ascii="Book Antiqua" w:hAnsi="Book Antiqua"/>
          <w:bCs/>
          <w:i/>
          <w:iCs/>
          <w:lang w:val="es-PR"/>
        </w:rPr>
        <w:t xml:space="preserve"> con el fin de alcanzar un mínimo de 40% para en o antes del 2030; 60% para en o antes del 2040; y 100% para en o antes del 2050</w:t>
      </w:r>
      <w:r w:rsidRPr="00FC54D1">
        <w:rPr>
          <w:rFonts w:ascii="Book Antiqua" w:hAnsi="Book Antiqua"/>
          <w:bCs/>
          <w:lang w:val="es-PR"/>
        </w:rPr>
        <w:t>.</w:t>
      </w:r>
    </w:p>
    <w:p w14:paraId="434F2485" w14:textId="2EF9A579" w:rsidR="000B47E0" w:rsidRDefault="000B47E0" w:rsidP="00FC54D1">
      <w:pPr>
        <w:pStyle w:val="ListParagraph"/>
        <w:numPr>
          <w:ilvl w:val="0"/>
          <w:numId w:val="14"/>
        </w:numPr>
        <w:spacing w:line="480" w:lineRule="auto"/>
        <w:ind w:left="1800"/>
        <w:jc w:val="both"/>
        <w:rPr>
          <w:rFonts w:ascii="Book Antiqua" w:hAnsi="Book Antiqua"/>
          <w:bCs/>
          <w:lang w:val="es-PR"/>
        </w:rPr>
      </w:pPr>
      <w:r>
        <w:rPr>
          <w:rFonts w:ascii="Book Antiqua" w:hAnsi="Book Antiqua"/>
          <w:bCs/>
          <w:lang w:val="es-PR"/>
        </w:rPr>
        <w:t>…</w:t>
      </w:r>
    </w:p>
    <w:p w14:paraId="204F0118" w14:textId="75C81661" w:rsidR="000B47E0" w:rsidRDefault="000B47E0" w:rsidP="00FC54D1">
      <w:pPr>
        <w:pStyle w:val="ListParagraph"/>
        <w:numPr>
          <w:ilvl w:val="0"/>
          <w:numId w:val="14"/>
        </w:numPr>
        <w:spacing w:line="480" w:lineRule="auto"/>
        <w:ind w:left="1800"/>
        <w:jc w:val="both"/>
        <w:rPr>
          <w:rFonts w:ascii="Book Antiqua" w:hAnsi="Book Antiqua"/>
          <w:bCs/>
          <w:lang w:val="es-PR"/>
        </w:rPr>
      </w:pPr>
      <w:r>
        <w:rPr>
          <w:rFonts w:ascii="Book Antiqua" w:hAnsi="Book Antiqua"/>
          <w:bCs/>
          <w:lang w:val="es-PR"/>
        </w:rPr>
        <w:t>…</w:t>
      </w:r>
    </w:p>
    <w:p w14:paraId="0454B4BA" w14:textId="162F8282" w:rsidR="000B47E0" w:rsidRDefault="000B47E0" w:rsidP="00FC54D1">
      <w:pPr>
        <w:pStyle w:val="ListParagraph"/>
        <w:numPr>
          <w:ilvl w:val="0"/>
          <w:numId w:val="14"/>
        </w:numPr>
        <w:spacing w:line="480" w:lineRule="auto"/>
        <w:ind w:left="1800"/>
        <w:jc w:val="both"/>
        <w:rPr>
          <w:rFonts w:ascii="Book Antiqua" w:hAnsi="Book Antiqua"/>
          <w:bCs/>
          <w:lang w:val="es-PR"/>
        </w:rPr>
      </w:pPr>
      <w:r>
        <w:rPr>
          <w:rFonts w:ascii="Book Antiqua" w:hAnsi="Book Antiqua"/>
          <w:bCs/>
          <w:lang w:val="es-PR"/>
        </w:rPr>
        <w:t>…</w:t>
      </w:r>
    </w:p>
    <w:p w14:paraId="4979D6F2" w14:textId="122F9EE2" w:rsidR="000B47E0" w:rsidRPr="000B47E0" w:rsidRDefault="000B47E0" w:rsidP="00FC54D1">
      <w:pPr>
        <w:pStyle w:val="ListParagraph"/>
        <w:numPr>
          <w:ilvl w:val="0"/>
          <w:numId w:val="14"/>
        </w:numPr>
        <w:spacing w:line="480" w:lineRule="auto"/>
        <w:ind w:left="1800"/>
        <w:jc w:val="both"/>
        <w:rPr>
          <w:rFonts w:ascii="Book Antiqua" w:hAnsi="Book Antiqua"/>
          <w:bCs/>
          <w:lang w:val="es-PR"/>
        </w:rPr>
      </w:pPr>
      <w:r>
        <w:rPr>
          <w:rFonts w:ascii="Book Antiqua" w:hAnsi="Book Antiqua"/>
          <w:bCs/>
          <w:i/>
          <w:iCs/>
          <w:lang w:val="es-PR"/>
        </w:rPr>
        <w:t>Alcanzar una meta de treinta por ciento (30%) de eficiencia energética para el 2040, según lo dispuesto en la Ley 57-2014.</w:t>
      </w:r>
    </w:p>
    <w:p w14:paraId="55AFBD9B" w14:textId="01B8E795" w:rsidR="000B47E0" w:rsidRDefault="000B47E0" w:rsidP="00FC54D1">
      <w:pPr>
        <w:pStyle w:val="ListParagraph"/>
        <w:numPr>
          <w:ilvl w:val="0"/>
          <w:numId w:val="14"/>
        </w:numPr>
        <w:spacing w:line="480" w:lineRule="auto"/>
        <w:ind w:left="1800"/>
        <w:jc w:val="both"/>
        <w:rPr>
          <w:rFonts w:ascii="Book Antiqua" w:hAnsi="Book Antiqua"/>
          <w:bCs/>
          <w:i/>
          <w:iCs/>
          <w:lang w:val="es-PR"/>
        </w:rPr>
      </w:pPr>
      <w:r w:rsidRPr="000B47E0">
        <w:rPr>
          <w:rFonts w:ascii="Book Antiqua" w:hAnsi="Book Antiqua"/>
          <w:bCs/>
          <w:i/>
          <w:iCs/>
          <w:lang w:val="es-PR"/>
        </w:rPr>
        <w:t xml:space="preserve">Reemplazar el cien por ciento (100%) del alumbrado público por luces electroluminiscentes (“light </w:t>
      </w:r>
      <w:proofErr w:type="spellStart"/>
      <w:r w:rsidRPr="000B47E0">
        <w:rPr>
          <w:rFonts w:ascii="Book Antiqua" w:hAnsi="Book Antiqua"/>
          <w:bCs/>
          <w:i/>
          <w:iCs/>
          <w:lang w:val="es-PR"/>
        </w:rPr>
        <w:t>emitting</w:t>
      </w:r>
      <w:proofErr w:type="spellEnd"/>
      <w:r w:rsidRPr="000B47E0">
        <w:rPr>
          <w:rFonts w:ascii="Book Antiqua" w:hAnsi="Book Antiqua"/>
          <w:bCs/>
          <w:i/>
          <w:iCs/>
          <w:lang w:val="es-PR"/>
        </w:rPr>
        <w:t xml:space="preserve"> </w:t>
      </w:r>
      <w:proofErr w:type="spellStart"/>
      <w:r w:rsidRPr="000B47E0">
        <w:rPr>
          <w:rFonts w:ascii="Book Antiqua" w:hAnsi="Book Antiqua"/>
          <w:bCs/>
          <w:i/>
          <w:iCs/>
          <w:lang w:val="es-PR"/>
        </w:rPr>
        <w:t>diode</w:t>
      </w:r>
      <w:proofErr w:type="spellEnd"/>
      <w:r w:rsidRPr="000B47E0">
        <w:rPr>
          <w:rFonts w:ascii="Book Antiqua" w:hAnsi="Book Antiqua"/>
          <w:bCs/>
          <w:i/>
          <w:iCs/>
          <w:lang w:val="es-PR"/>
        </w:rPr>
        <w:t>”, o LED, por sus siglas en inglés) o renovables para el 2030.</w:t>
      </w:r>
    </w:p>
    <w:p w14:paraId="24BC618C" w14:textId="550A2E57" w:rsidR="000B47E0" w:rsidRDefault="000B47E0" w:rsidP="000B47E0">
      <w:pPr>
        <w:spacing w:line="480" w:lineRule="auto"/>
        <w:ind w:left="1440"/>
        <w:jc w:val="both"/>
        <w:rPr>
          <w:rFonts w:ascii="Book Antiqua" w:hAnsi="Book Antiqua"/>
          <w:bCs/>
          <w:lang w:val="es-PR"/>
        </w:rPr>
      </w:pPr>
      <w:r w:rsidRPr="00F67133">
        <w:rPr>
          <w:rFonts w:ascii="Book Antiqua" w:hAnsi="Book Antiqua"/>
          <w:b/>
          <w:lang w:val="es-PR"/>
        </w:rPr>
        <w:t>[(11)]</w:t>
      </w:r>
      <w:r>
        <w:rPr>
          <w:rFonts w:ascii="Book Antiqua" w:hAnsi="Book Antiqua"/>
          <w:bCs/>
          <w:lang w:val="es-PR"/>
        </w:rPr>
        <w:t xml:space="preserve"> </w:t>
      </w:r>
      <w:r>
        <w:rPr>
          <w:rFonts w:ascii="Book Antiqua" w:hAnsi="Book Antiqua"/>
          <w:bCs/>
          <w:i/>
          <w:iCs/>
          <w:lang w:val="es-PR"/>
        </w:rPr>
        <w:t xml:space="preserve">(13) </w:t>
      </w:r>
      <w:r>
        <w:rPr>
          <w:rFonts w:ascii="Book Antiqua" w:hAnsi="Book Antiqua"/>
          <w:bCs/>
          <w:lang w:val="es-PR"/>
        </w:rPr>
        <w:t>Uniformar…</w:t>
      </w:r>
    </w:p>
    <w:p w14:paraId="21EA23ED" w14:textId="3186E703" w:rsidR="000B47E0" w:rsidRDefault="000B47E0" w:rsidP="000B47E0">
      <w:pPr>
        <w:spacing w:line="480" w:lineRule="auto"/>
        <w:ind w:left="1440"/>
        <w:jc w:val="both"/>
        <w:rPr>
          <w:rFonts w:ascii="Book Antiqua" w:hAnsi="Book Antiqua"/>
          <w:bCs/>
          <w:lang w:val="es-PR"/>
        </w:rPr>
      </w:pPr>
      <w:r w:rsidRPr="00F67133">
        <w:rPr>
          <w:rFonts w:ascii="Book Antiqua" w:hAnsi="Book Antiqua"/>
          <w:b/>
          <w:lang w:val="es-PR"/>
        </w:rPr>
        <w:t>[(12)]</w:t>
      </w:r>
      <w:r>
        <w:rPr>
          <w:rFonts w:ascii="Book Antiqua" w:hAnsi="Book Antiqua"/>
          <w:bCs/>
          <w:lang w:val="es-PR"/>
        </w:rPr>
        <w:t xml:space="preserve"> </w:t>
      </w:r>
      <w:r w:rsidRPr="000B47E0">
        <w:rPr>
          <w:rFonts w:ascii="Book Antiqua" w:hAnsi="Book Antiqua"/>
          <w:bCs/>
          <w:i/>
          <w:iCs/>
          <w:lang w:val="es-PR"/>
        </w:rPr>
        <w:t>(14)</w:t>
      </w:r>
      <w:r>
        <w:rPr>
          <w:rFonts w:ascii="Book Antiqua" w:hAnsi="Book Antiqua"/>
          <w:bCs/>
          <w:i/>
          <w:iCs/>
          <w:lang w:val="es-PR"/>
        </w:rPr>
        <w:t xml:space="preserve"> </w:t>
      </w:r>
      <w:r>
        <w:rPr>
          <w:rFonts w:ascii="Book Antiqua" w:hAnsi="Book Antiqua"/>
          <w:bCs/>
          <w:lang w:val="es-PR"/>
        </w:rPr>
        <w:t>Robustecer…</w:t>
      </w:r>
    </w:p>
    <w:p w14:paraId="76DA8D0F" w14:textId="02BC82D0" w:rsidR="000B47E0" w:rsidRDefault="000B47E0" w:rsidP="000B47E0">
      <w:pPr>
        <w:spacing w:line="480" w:lineRule="auto"/>
        <w:ind w:left="1440"/>
        <w:jc w:val="both"/>
        <w:rPr>
          <w:rFonts w:ascii="Book Antiqua" w:hAnsi="Book Antiqua"/>
          <w:bCs/>
          <w:lang w:val="es-PR"/>
        </w:rPr>
      </w:pPr>
      <w:r w:rsidRPr="00F67133">
        <w:rPr>
          <w:rFonts w:ascii="Book Antiqua" w:hAnsi="Book Antiqua"/>
          <w:b/>
          <w:lang w:val="es-PR"/>
        </w:rPr>
        <w:t>[(13)]</w:t>
      </w:r>
      <w:r>
        <w:rPr>
          <w:rFonts w:ascii="Book Antiqua" w:hAnsi="Book Antiqua"/>
          <w:bCs/>
          <w:lang w:val="es-PR"/>
        </w:rPr>
        <w:t xml:space="preserve"> </w:t>
      </w:r>
      <w:r>
        <w:rPr>
          <w:rFonts w:ascii="Book Antiqua" w:hAnsi="Book Antiqua"/>
          <w:bCs/>
          <w:i/>
          <w:iCs/>
          <w:lang w:val="es-PR"/>
        </w:rPr>
        <w:t xml:space="preserve">(15) </w:t>
      </w:r>
      <w:r>
        <w:rPr>
          <w:rFonts w:ascii="Book Antiqua" w:hAnsi="Book Antiqua"/>
          <w:bCs/>
          <w:lang w:val="es-PR"/>
        </w:rPr>
        <w:t>Requerir…</w:t>
      </w:r>
    </w:p>
    <w:p w14:paraId="1A2C386A" w14:textId="25329EC7" w:rsidR="000B47E0" w:rsidRPr="000B47E0" w:rsidRDefault="000B47E0" w:rsidP="000B47E0">
      <w:pPr>
        <w:spacing w:line="480" w:lineRule="auto"/>
        <w:ind w:left="1440"/>
        <w:jc w:val="both"/>
        <w:rPr>
          <w:rFonts w:ascii="Book Antiqua" w:hAnsi="Book Antiqua"/>
          <w:bCs/>
          <w:lang w:val="es-PR"/>
        </w:rPr>
      </w:pPr>
      <w:r w:rsidRPr="00F67133">
        <w:rPr>
          <w:rFonts w:ascii="Book Antiqua" w:hAnsi="Book Antiqua"/>
          <w:b/>
          <w:lang w:val="es-PR"/>
        </w:rPr>
        <w:t>[(14)]</w:t>
      </w:r>
      <w:r>
        <w:rPr>
          <w:rFonts w:ascii="Book Antiqua" w:hAnsi="Book Antiqua"/>
          <w:bCs/>
          <w:lang w:val="es-PR"/>
        </w:rPr>
        <w:t xml:space="preserve"> </w:t>
      </w:r>
      <w:r>
        <w:rPr>
          <w:rFonts w:ascii="Book Antiqua" w:hAnsi="Book Antiqua"/>
          <w:bCs/>
          <w:i/>
          <w:iCs/>
          <w:lang w:val="es-PR"/>
        </w:rPr>
        <w:t xml:space="preserve">(16) </w:t>
      </w:r>
      <w:r w:rsidRPr="000B47E0">
        <w:rPr>
          <w:rFonts w:ascii="Book Antiqua" w:hAnsi="Book Antiqua"/>
          <w:bCs/>
          <w:lang w:val="es-PR"/>
        </w:rPr>
        <w:t>Establecer</w:t>
      </w:r>
      <w:r w:rsidR="00F67133">
        <w:rPr>
          <w:rFonts w:ascii="Book Antiqua" w:hAnsi="Book Antiqua"/>
          <w:bCs/>
          <w:lang w:val="es-PR"/>
        </w:rPr>
        <w:t>…”</w:t>
      </w:r>
    </w:p>
    <w:p w14:paraId="7A207832" w14:textId="34DEEE5F" w:rsidR="00FC54D1" w:rsidRDefault="00F67133" w:rsidP="00F67133">
      <w:pPr>
        <w:spacing w:line="480" w:lineRule="auto"/>
        <w:ind w:firstLine="360"/>
        <w:jc w:val="both"/>
        <w:rPr>
          <w:rFonts w:ascii="Book Antiqua" w:hAnsi="Book Antiqua"/>
          <w:lang w:val="es-PR"/>
        </w:rPr>
      </w:pPr>
      <w:r>
        <w:rPr>
          <w:rFonts w:ascii="Book Antiqua" w:hAnsi="Book Antiqua"/>
          <w:lang w:val="es-PR"/>
        </w:rPr>
        <w:lastRenderedPageBreak/>
        <w:t xml:space="preserve">Sección 2. – </w:t>
      </w:r>
      <w:r w:rsidRPr="00F67133">
        <w:rPr>
          <w:rFonts w:ascii="Book Antiqua" w:hAnsi="Book Antiqua"/>
          <w:lang w:val="es-PR"/>
        </w:rPr>
        <w:t>Se enmienda el Artículo 2.3 de la Ley Núm. 82-2010, según enmendada, para que se lea como sigue:</w:t>
      </w:r>
    </w:p>
    <w:p w14:paraId="0A5732EA" w14:textId="4F034175" w:rsidR="00F67133" w:rsidRDefault="009B68F7" w:rsidP="00F67133">
      <w:pPr>
        <w:spacing w:line="480" w:lineRule="auto"/>
        <w:ind w:firstLine="720"/>
        <w:jc w:val="both"/>
        <w:rPr>
          <w:rFonts w:ascii="Book Antiqua" w:eastAsia="Book Antiqua" w:hAnsi="Book Antiqua" w:cs="Book Antiqua"/>
          <w:szCs w:val="24"/>
          <w:lang w:val="es-PR"/>
        </w:rPr>
      </w:pPr>
      <w:r w:rsidRPr="00FA6367">
        <w:rPr>
          <w:rFonts w:ascii="Book Antiqua" w:hAnsi="Book Antiqua"/>
          <w:lang w:val="es-PR"/>
        </w:rPr>
        <w:t xml:space="preserve"> </w:t>
      </w:r>
      <w:r w:rsidR="00F67133">
        <w:rPr>
          <w:rFonts w:ascii="Book Antiqua" w:eastAsia="Book Antiqua" w:hAnsi="Book Antiqua" w:cs="Book Antiqua"/>
          <w:szCs w:val="24"/>
          <w:lang w:val="es-PR"/>
        </w:rPr>
        <w:t xml:space="preserve">“Artículo 2.3. </w:t>
      </w:r>
      <w:r w:rsidR="00A753E6">
        <w:rPr>
          <w:rFonts w:ascii="Book Antiqua" w:hAnsi="Book Antiqua"/>
          <w:lang w:val="es-PR"/>
        </w:rPr>
        <w:t>–</w:t>
      </w:r>
      <w:r w:rsidR="00F67133">
        <w:rPr>
          <w:rFonts w:ascii="Book Antiqua" w:eastAsia="Book Antiqua" w:hAnsi="Book Antiqua" w:cs="Book Antiqua"/>
          <w:szCs w:val="24"/>
          <w:lang w:val="es-PR"/>
        </w:rPr>
        <w:t xml:space="preserve"> Cartera de Energía Renovable. </w:t>
      </w:r>
    </w:p>
    <w:p w14:paraId="0C37B732" w14:textId="76A9FEC7" w:rsidR="009B68F7" w:rsidRPr="00F67133" w:rsidRDefault="00F67133" w:rsidP="00F67133">
      <w:pPr>
        <w:pStyle w:val="ListParagraph"/>
        <w:numPr>
          <w:ilvl w:val="0"/>
          <w:numId w:val="15"/>
        </w:numPr>
        <w:spacing w:line="480" w:lineRule="auto"/>
        <w:jc w:val="both"/>
        <w:rPr>
          <w:rFonts w:ascii="Book Antiqua" w:eastAsia="Book Antiqua" w:hAnsi="Book Antiqua" w:cs="Book Antiqua"/>
          <w:lang w:val="es-PR"/>
        </w:rPr>
      </w:pPr>
      <w:r w:rsidRPr="00F67133">
        <w:rPr>
          <w:rFonts w:ascii="Book Antiqua" w:eastAsia="Book Antiqua" w:hAnsi="Book Antiqua" w:cs="Book Antiqua"/>
          <w:lang w:val="es-PR"/>
        </w:rPr>
        <w:t>...</w:t>
      </w:r>
    </w:p>
    <w:p w14:paraId="29246775" w14:textId="79DFA15F" w:rsidR="00F67133" w:rsidRPr="00675CE5" w:rsidRDefault="00F67133" w:rsidP="00F67133">
      <w:pPr>
        <w:pStyle w:val="ListParagraph"/>
        <w:numPr>
          <w:ilvl w:val="0"/>
          <w:numId w:val="15"/>
        </w:numPr>
        <w:spacing w:line="480" w:lineRule="auto"/>
        <w:jc w:val="both"/>
        <w:rPr>
          <w:rFonts w:ascii="Book Antiqua" w:hAnsi="Book Antiqua"/>
          <w:i/>
          <w:iCs/>
          <w:lang w:val="es-PR"/>
        </w:rPr>
      </w:pPr>
      <w:r w:rsidRPr="00675CE5">
        <w:rPr>
          <w:rFonts w:ascii="Book Antiqua" w:hAnsi="Book Antiqua"/>
          <w:b/>
          <w:bCs/>
          <w:lang w:val="es-PR"/>
        </w:rPr>
        <w:t>[Para el 2050, la Cartera de Energía Renovable aplicable a cada proveedor de energía al detal será el cien por ciento (100%)]</w:t>
      </w:r>
      <w:r>
        <w:rPr>
          <w:rFonts w:ascii="Book Antiqua" w:hAnsi="Book Antiqua"/>
          <w:lang w:val="es-PR"/>
        </w:rPr>
        <w:t xml:space="preserve"> </w:t>
      </w:r>
      <w:r w:rsidRPr="00675CE5">
        <w:rPr>
          <w:rFonts w:ascii="Book Antiqua" w:hAnsi="Book Antiqua"/>
          <w:i/>
          <w:iCs/>
          <w:lang w:val="es-PR"/>
        </w:rPr>
        <w:t>Para cada año natural entre 2015 y 2050, la Cartera de Energía Renovable aplicable a cada proveedor de energía al detal será como mínimo el siguiente por ciento:</w:t>
      </w:r>
    </w:p>
    <w:p w14:paraId="74A1C446" w14:textId="77777777" w:rsidR="00F67133" w:rsidRPr="00675CE5" w:rsidRDefault="00F67133" w:rsidP="00F67133">
      <w:pPr>
        <w:pStyle w:val="ListParagraph"/>
        <w:spacing w:line="480" w:lineRule="auto"/>
        <w:ind w:left="1800"/>
        <w:jc w:val="both"/>
        <w:rPr>
          <w:rFonts w:ascii="Book Antiqua" w:hAnsi="Book Antiqua"/>
          <w:i/>
          <w:iCs/>
          <w:lang w:val="es-PR"/>
        </w:rPr>
      </w:pPr>
      <w:r w:rsidRPr="00675CE5">
        <w:rPr>
          <w:rFonts w:ascii="Book Antiqua" w:hAnsi="Book Antiqua"/>
          <w:i/>
          <w:iCs/>
          <w:lang w:val="es-PR"/>
        </w:rPr>
        <w:t xml:space="preserve">Año </w:t>
      </w:r>
      <w:r w:rsidRPr="00675CE5">
        <w:rPr>
          <w:rFonts w:ascii="Book Antiqua" w:hAnsi="Book Antiqua"/>
          <w:i/>
          <w:iCs/>
          <w:lang w:val="es-PR"/>
        </w:rPr>
        <w:tab/>
      </w:r>
      <w:r w:rsidRPr="00675CE5">
        <w:rPr>
          <w:rFonts w:ascii="Book Antiqua" w:hAnsi="Book Antiqua"/>
          <w:i/>
          <w:iCs/>
          <w:lang w:val="es-PR"/>
        </w:rPr>
        <w:tab/>
      </w:r>
      <w:r w:rsidRPr="00675CE5">
        <w:rPr>
          <w:rFonts w:ascii="Book Antiqua" w:hAnsi="Book Antiqua"/>
          <w:i/>
          <w:iCs/>
          <w:lang w:val="es-PR"/>
        </w:rPr>
        <w:tab/>
        <w:t>Por ciento (%) requerido de energía renovable</w:t>
      </w:r>
    </w:p>
    <w:p w14:paraId="7CF3AA49" w14:textId="1205AC8D" w:rsidR="00F67133" w:rsidRPr="00675CE5" w:rsidRDefault="00F67133" w:rsidP="00F67133">
      <w:pPr>
        <w:pStyle w:val="ListParagraph"/>
        <w:spacing w:line="480" w:lineRule="auto"/>
        <w:ind w:left="1800"/>
        <w:jc w:val="both"/>
        <w:rPr>
          <w:rFonts w:ascii="Book Antiqua" w:hAnsi="Book Antiqua"/>
          <w:i/>
          <w:iCs/>
          <w:lang w:val="es-PR"/>
        </w:rPr>
      </w:pPr>
      <w:r w:rsidRPr="00675CE5">
        <w:rPr>
          <w:rFonts w:ascii="Book Antiqua" w:hAnsi="Book Antiqua"/>
          <w:i/>
          <w:iCs/>
          <w:lang w:val="es-PR"/>
        </w:rPr>
        <w:t>2015</w:t>
      </w:r>
      <w:r w:rsidR="00675CE5">
        <w:rPr>
          <w:rFonts w:ascii="Book Antiqua" w:hAnsi="Book Antiqua"/>
          <w:i/>
          <w:iCs/>
          <w:lang w:val="es-PR"/>
        </w:rPr>
        <w:t xml:space="preserve"> hasta el </w:t>
      </w:r>
      <w:r w:rsidRPr="00675CE5">
        <w:rPr>
          <w:rFonts w:ascii="Book Antiqua" w:hAnsi="Book Antiqua"/>
          <w:i/>
          <w:iCs/>
          <w:lang w:val="es-PR"/>
        </w:rPr>
        <w:t>2022</w:t>
      </w:r>
      <w:r w:rsidRPr="00675CE5">
        <w:rPr>
          <w:rFonts w:ascii="Book Antiqua" w:hAnsi="Book Antiqua"/>
          <w:i/>
          <w:iCs/>
          <w:lang w:val="es-PR"/>
        </w:rPr>
        <w:tab/>
      </w:r>
      <w:r w:rsidRPr="00675CE5">
        <w:rPr>
          <w:rFonts w:ascii="Book Antiqua" w:hAnsi="Book Antiqua"/>
          <w:i/>
          <w:iCs/>
          <w:lang w:val="es-PR"/>
        </w:rPr>
        <w:tab/>
      </w:r>
      <w:r w:rsidRPr="00675CE5">
        <w:rPr>
          <w:rFonts w:ascii="Book Antiqua" w:hAnsi="Book Antiqua"/>
          <w:i/>
          <w:iCs/>
          <w:lang w:val="es-PR"/>
        </w:rPr>
        <w:tab/>
      </w:r>
      <w:r w:rsidRPr="00675CE5">
        <w:rPr>
          <w:rFonts w:ascii="Book Antiqua" w:hAnsi="Book Antiqua"/>
          <w:i/>
          <w:iCs/>
          <w:lang w:val="es-PR"/>
        </w:rPr>
        <w:tab/>
        <w:t xml:space="preserve">20% </w:t>
      </w:r>
    </w:p>
    <w:p w14:paraId="2AD8B246" w14:textId="4DE2D408" w:rsidR="00F67133" w:rsidRPr="00675CE5" w:rsidRDefault="00F67133" w:rsidP="00F67133">
      <w:pPr>
        <w:pStyle w:val="ListParagraph"/>
        <w:spacing w:line="480" w:lineRule="auto"/>
        <w:ind w:left="1800"/>
        <w:jc w:val="both"/>
        <w:rPr>
          <w:rFonts w:ascii="Book Antiqua" w:hAnsi="Book Antiqua"/>
          <w:i/>
          <w:iCs/>
          <w:lang w:val="es-PR"/>
        </w:rPr>
      </w:pPr>
      <w:r w:rsidRPr="00675CE5">
        <w:rPr>
          <w:rFonts w:ascii="Book Antiqua" w:hAnsi="Book Antiqua"/>
          <w:i/>
          <w:iCs/>
          <w:lang w:val="es-PR"/>
        </w:rPr>
        <w:t>2023 hasta el 20</w:t>
      </w:r>
      <w:r w:rsidR="00675CE5">
        <w:rPr>
          <w:rFonts w:ascii="Book Antiqua" w:hAnsi="Book Antiqua"/>
          <w:i/>
          <w:iCs/>
          <w:lang w:val="es-PR"/>
        </w:rPr>
        <w:t>30</w:t>
      </w:r>
      <w:r w:rsidRPr="00675CE5">
        <w:rPr>
          <w:rFonts w:ascii="Book Antiqua" w:hAnsi="Book Antiqua"/>
          <w:i/>
          <w:iCs/>
          <w:lang w:val="es-PR"/>
        </w:rPr>
        <w:t xml:space="preserve"> </w:t>
      </w:r>
      <w:r w:rsidRPr="00675CE5">
        <w:rPr>
          <w:rFonts w:ascii="Book Antiqua" w:hAnsi="Book Antiqua"/>
          <w:i/>
          <w:iCs/>
          <w:lang w:val="es-PR"/>
        </w:rPr>
        <w:tab/>
      </w:r>
      <w:r w:rsidRPr="00675CE5">
        <w:rPr>
          <w:rFonts w:ascii="Book Antiqua" w:hAnsi="Book Antiqua"/>
          <w:i/>
          <w:iCs/>
          <w:lang w:val="es-PR"/>
        </w:rPr>
        <w:tab/>
      </w:r>
      <w:r w:rsidRPr="00675CE5">
        <w:rPr>
          <w:rFonts w:ascii="Book Antiqua" w:hAnsi="Book Antiqua"/>
          <w:i/>
          <w:iCs/>
          <w:lang w:val="es-PR"/>
        </w:rPr>
        <w:tab/>
      </w:r>
      <w:r w:rsidRPr="00675CE5">
        <w:rPr>
          <w:rFonts w:ascii="Book Antiqua" w:hAnsi="Book Antiqua"/>
          <w:i/>
          <w:iCs/>
          <w:lang w:val="es-PR"/>
        </w:rPr>
        <w:tab/>
        <w:t>40%</w:t>
      </w:r>
    </w:p>
    <w:p w14:paraId="563BF5BB" w14:textId="6094B04E" w:rsidR="00F67133" w:rsidRPr="00675CE5" w:rsidRDefault="00F67133" w:rsidP="00F67133">
      <w:pPr>
        <w:pStyle w:val="ListParagraph"/>
        <w:spacing w:line="480" w:lineRule="auto"/>
        <w:ind w:left="1800"/>
        <w:jc w:val="both"/>
        <w:rPr>
          <w:rFonts w:ascii="Book Antiqua" w:hAnsi="Book Antiqua"/>
          <w:i/>
          <w:iCs/>
          <w:lang w:val="es-PR"/>
        </w:rPr>
      </w:pPr>
      <w:r w:rsidRPr="00675CE5">
        <w:rPr>
          <w:rFonts w:ascii="Book Antiqua" w:hAnsi="Book Antiqua"/>
          <w:i/>
          <w:iCs/>
          <w:lang w:val="es-PR"/>
        </w:rPr>
        <w:t>20</w:t>
      </w:r>
      <w:r w:rsidR="00675CE5">
        <w:rPr>
          <w:rFonts w:ascii="Book Antiqua" w:hAnsi="Book Antiqua"/>
          <w:i/>
          <w:iCs/>
          <w:lang w:val="es-PR"/>
        </w:rPr>
        <w:t>31</w:t>
      </w:r>
      <w:r w:rsidRPr="00675CE5">
        <w:rPr>
          <w:rFonts w:ascii="Book Antiqua" w:hAnsi="Book Antiqua"/>
          <w:i/>
          <w:iCs/>
          <w:lang w:val="es-PR"/>
        </w:rPr>
        <w:t xml:space="preserve"> hasta el 2040 </w:t>
      </w:r>
      <w:r w:rsidRPr="00675CE5">
        <w:rPr>
          <w:rFonts w:ascii="Book Antiqua" w:hAnsi="Book Antiqua"/>
          <w:i/>
          <w:iCs/>
          <w:lang w:val="es-PR"/>
        </w:rPr>
        <w:tab/>
      </w:r>
      <w:r w:rsidRPr="00675CE5">
        <w:rPr>
          <w:rFonts w:ascii="Book Antiqua" w:hAnsi="Book Antiqua"/>
          <w:i/>
          <w:iCs/>
          <w:lang w:val="es-PR"/>
        </w:rPr>
        <w:tab/>
      </w:r>
      <w:r w:rsidRPr="00675CE5">
        <w:rPr>
          <w:rFonts w:ascii="Book Antiqua" w:hAnsi="Book Antiqua"/>
          <w:i/>
          <w:iCs/>
          <w:lang w:val="es-PR"/>
        </w:rPr>
        <w:tab/>
      </w:r>
      <w:r w:rsidRPr="00675CE5">
        <w:rPr>
          <w:rFonts w:ascii="Book Antiqua" w:hAnsi="Book Antiqua"/>
          <w:i/>
          <w:iCs/>
          <w:lang w:val="es-PR"/>
        </w:rPr>
        <w:tab/>
        <w:t>60%</w:t>
      </w:r>
    </w:p>
    <w:p w14:paraId="554ED9A7" w14:textId="36C826FF" w:rsidR="00F67133" w:rsidRPr="00675CE5" w:rsidRDefault="00F67133" w:rsidP="00F67133">
      <w:pPr>
        <w:pStyle w:val="ListParagraph"/>
        <w:spacing w:line="480" w:lineRule="auto"/>
        <w:ind w:left="1800"/>
        <w:jc w:val="both"/>
        <w:rPr>
          <w:rFonts w:ascii="Book Antiqua" w:hAnsi="Book Antiqua"/>
          <w:i/>
          <w:iCs/>
          <w:lang w:val="es-PR"/>
        </w:rPr>
      </w:pPr>
      <w:r w:rsidRPr="00675CE5">
        <w:rPr>
          <w:rFonts w:ascii="Book Antiqua" w:hAnsi="Book Antiqua"/>
          <w:i/>
          <w:iCs/>
          <w:lang w:val="es-PR"/>
        </w:rPr>
        <w:t xml:space="preserve">2041 hasta el 2050 </w:t>
      </w:r>
      <w:r w:rsidRPr="00675CE5">
        <w:rPr>
          <w:rFonts w:ascii="Book Antiqua" w:hAnsi="Book Antiqua"/>
          <w:i/>
          <w:iCs/>
          <w:lang w:val="es-PR"/>
        </w:rPr>
        <w:tab/>
        <w:t xml:space="preserve">                       </w:t>
      </w:r>
      <w:r w:rsidR="00675CE5" w:rsidRPr="00675CE5">
        <w:rPr>
          <w:rFonts w:ascii="Book Antiqua" w:hAnsi="Book Antiqua"/>
          <w:i/>
          <w:iCs/>
          <w:lang w:val="es-PR"/>
        </w:rPr>
        <w:tab/>
      </w:r>
      <w:r w:rsidR="00675CE5" w:rsidRPr="00675CE5">
        <w:rPr>
          <w:rFonts w:ascii="Book Antiqua" w:hAnsi="Book Antiqua"/>
          <w:i/>
          <w:iCs/>
          <w:lang w:val="es-PR"/>
        </w:rPr>
        <w:tab/>
      </w:r>
      <w:r w:rsidRPr="00675CE5">
        <w:rPr>
          <w:rFonts w:ascii="Book Antiqua" w:hAnsi="Book Antiqua"/>
          <w:i/>
          <w:iCs/>
          <w:lang w:val="es-PR"/>
        </w:rPr>
        <w:t xml:space="preserve">100% </w:t>
      </w:r>
    </w:p>
    <w:p w14:paraId="1D799FF2" w14:textId="7E61AA7D" w:rsidR="00F67133" w:rsidRPr="00675CE5" w:rsidRDefault="00F67133" w:rsidP="00675CE5">
      <w:pPr>
        <w:pStyle w:val="ListParagraph"/>
        <w:spacing w:line="480" w:lineRule="auto"/>
        <w:ind w:left="1800" w:firstLine="360"/>
        <w:jc w:val="both"/>
        <w:rPr>
          <w:rFonts w:ascii="Book Antiqua" w:hAnsi="Book Antiqua"/>
          <w:i/>
          <w:iCs/>
          <w:lang w:val="es-PR"/>
        </w:rPr>
      </w:pPr>
      <w:r w:rsidRPr="00675CE5">
        <w:rPr>
          <w:rFonts w:ascii="Book Antiqua" w:hAnsi="Book Antiqua"/>
          <w:i/>
          <w:iCs/>
          <w:lang w:val="es-PR"/>
        </w:rPr>
        <w:t>El porciento requerido deberá cumplirse a más tardar al último año del periodo. No obstante, por cada uno de los años que componen un periodo período, deberá reflejarse un progreso razonable, según sea determinado por el Negociado de Energía.</w:t>
      </w:r>
    </w:p>
    <w:p w14:paraId="1F081A4B" w14:textId="0F13325E" w:rsidR="00675CE5" w:rsidRDefault="00675CE5" w:rsidP="00675CE5">
      <w:pPr>
        <w:pStyle w:val="ListParagraph"/>
        <w:numPr>
          <w:ilvl w:val="0"/>
          <w:numId w:val="15"/>
        </w:numPr>
        <w:spacing w:line="480" w:lineRule="auto"/>
        <w:jc w:val="both"/>
        <w:rPr>
          <w:rFonts w:ascii="Book Antiqua" w:hAnsi="Book Antiqua"/>
          <w:i/>
          <w:iCs/>
          <w:lang w:val="es-PR"/>
        </w:rPr>
      </w:pPr>
      <w:r w:rsidRPr="00675CE5">
        <w:rPr>
          <w:rFonts w:ascii="Book Antiqua" w:hAnsi="Book Antiqua"/>
          <w:i/>
          <w:iCs/>
          <w:lang w:val="es-PR"/>
        </w:rPr>
        <w:t xml:space="preserve">Para cada año natural entre los años 2015 y 2050, el porciento de energía renovable sostenible o renovable alterna aplicable a cada proveedor de energía al detal será, como mínimo, el porciento correspondiente a ese año natural, según expresado en el inciso (b) de este Artículo. La cantidad requerida de energía renovable sostenible o energía renovable alterna aplicable a un </w:t>
      </w:r>
      <w:r w:rsidRPr="00675CE5">
        <w:rPr>
          <w:rFonts w:ascii="Book Antiqua" w:hAnsi="Book Antiqua"/>
          <w:i/>
          <w:iCs/>
          <w:lang w:val="es-PR"/>
        </w:rPr>
        <w:lastRenderedPageBreak/>
        <w:t>proveedor de energía al detal en determinado año se obtiene multiplicando el porciento correspondiente al año, según aparecen en el inciso (b) de este Artículo, por el total de energía eléctrica, expresado en megavatio-horas (</w:t>
      </w:r>
      <w:proofErr w:type="spellStart"/>
      <w:r w:rsidRPr="00675CE5">
        <w:rPr>
          <w:rFonts w:ascii="Book Antiqua" w:hAnsi="Book Antiqua"/>
          <w:i/>
          <w:iCs/>
          <w:lang w:val="es-PR"/>
        </w:rPr>
        <w:t>MWh</w:t>
      </w:r>
      <w:proofErr w:type="spellEnd"/>
      <w:r w:rsidRPr="00675CE5">
        <w:rPr>
          <w:rFonts w:ascii="Book Antiqua" w:hAnsi="Book Antiqua"/>
          <w:i/>
          <w:iCs/>
          <w:lang w:val="es-PR"/>
        </w:rPr>
        <w:t>), vendida por el proveedor de energía al detal en el mismo año natural.</w:t>
      </w:r>
    </w:p>
    <w:p w14:paraId="45F09C2B" w14:textId="0C29C4E3" w:rsidR="00675CE5" w:rsidRPr="00675CE5" w:rsidRDefault="00675CE5" w:rsidP="00675CE5">
      <w:pPr>
        <w:spacing w:line="480" w:lineRule="auto"/>
        <w:ind w:left="1440"/>
        <w:jc w:val="both"/>
        <w:rPr>
          <w:rFonts w:ascii="Book Antiqua" w:hAnsi="Book Antiqua"/>
          <w:i/>
          <w:iCs/>
          <w:lang w:val="es-PR"/>
        </w:rPr>
      </w:pPr>
      <w:r w:rsidRPr="00675CE5">
        <w:rPr>
          <w:rFonts w:ascii="Book Antiqua" w:hAnsi="Book Antiqua"/>
          <w:b/>
          <w:bCs/>
          <w:lang w:val="es-PR"/>
        </w:rPr>
        <w:t>[(c)]</w:t>
      </w:r>
      <w:r>
        <w:rPr>
          <w:rFonts w:ascii="Book Antiqua" w:hAnsi="Book Antiqua"/>
          <w:lang w:val="es-PR"/>
        </w:rPr>
        <w:t xml:space="preserve"> </w:t>
      </w:r>
      <w:r>
        <w:rPr>
          <w:rFonts w:ascii="Book Antiqua" w:hAnsi="Book Antiqua"/>
          <w:i/>
          <w:iCs/>
          <w:lang w:val="es-PR"/>
        </w:rPr>
        <w:t xml:space="preserve">(d) </w:t>
      </w:r>
      <w:r w:rsidRPr="00675CE5">
        <w:rPr>
          <w:rFonts w:ascii="Book Antiqua" w:hAnsi="Book Antiqua"/>
          <w:lang w:val="es-PR"/>
        </w:rPr>
        <w:t>…</w:t>
      </w:r>
    </w:p>
    <w:p w14:paraId="60E5BC44" w14:textId="303DDD16" w:rsidR="00675CE5" w:rsidRPr="00675CE5" w:rsidRDefault="00675CE5" w:rsidP="00675CE5">
      <w:pPr>
        <w:spacing w:line="480" w:lineRule="auto"/>
        <w:ind w:left="1440"/>
        <w:jc w:val="both"/>
        <w:rPr>
          <w:rFonts w:ascii="Book Antiqua" w:hAnsi="Book Antiqua"/>
          <w:i/>
          <w:iCs/>
          <w:lang w:val="es-PR"/>
        </w:rPr>
      </w:pPr>
      <w:r w:rsidRPr="00675CE5">
        <w:rPr>
          <w:rFonts w:ascii="Book Antiqua" w:hAnsi="Book Antiqua"/>
          <w:b/>
          <w:bCs/>
          <w:lang w:val="es-PR"/>
        </w:rPr>
        <w:t>[(d)]</w:t>
      </w:r>
      <w:r>
        <w:rPr>
          <w:rFonts w:ascii="Book Antiqua" w:hAnsi="Book Antiqua"/>
          <w:lang w:val="es-PR"/>
        </w:rPr>
        <w:t xml:space="preserve"> </w:t>
      </w:r>
      <w:r>
        <w:rPr>
          <w:rFonts w:ascii="Book Antiqua" w:hAnsi="Book Antiqua"/>
          <w:i/>
          <w:iCs/>
          <w:lang w:val="es-PR"/>
        </w:rPr>
        <w:t xml:space="preserve">(e) </w:t>
      </w:r>
      <w:r w:rsidRPr="00675CE5">
        <w:rPr>
          <w:rFonts w:ascii="Book Antiqua" w:hAnsi="Book Antiqua"/>
          <w:lang w:val="es-PR"/>
        </w:rPr>
        <w:t>…</w:t>
      </w:r>
    </w:p>
    <w:p w14:paraId="3810642F" w14:textId="6C1E36E4" w:rsidR="00675CE5" w:rsidRPr="00675CE5" w:rsidRDefault="00675CE5" w:rsidP="00675CE5">
      <w:pPr>
        <w:spacing w:line="480" w:lineRule="auto"/>
        <w:ind w:left="1440"/>
        <w:jc w:val="both"/>
        <w:rPr>
          <w:rFonts w:ascii="Book Antiqua" w:hAnsi="Book Antiqua"/>
          <w:i/>
          <w:iCs/>
          <w:lang w:val="es-PR"/>
        </w:rPr>
      </w:pPr>
      <w:r w:rsidRPr="00675CE5">
        <w:rPr>
          <w:rFonts w:ascii="Book Antiqua" w:hAnsi="Book Antiqua"/>
          <w:b/>
          <w:bCs/>
          <w:lang w:val="es-PR"/>
        </w:rPr>
        <w:t>[(e)]</w:t>
      </w:r>
      <w:r>
        <w:rPr>
          <w:rFonts w:ascii="Book Antiqua" w:hAnsi="Book Antiqua"/>
          <w:lang w:val="es-PR"/>
        </w:rPr>
        <w:t xml:space="preserve"> </w:t>
      </w:r>
      <w:r>
        <w:rPr>
          <w:rFonts w:ascii="Book Antiqua" w:hAnsi="Book Antiqua"/>
          <w:i/>
          <w:iCs/>
          <w:lang w:val="es-PR"/>
        </w:rPr>
        <w:t xml:space="preserve">(f) </w:t>
      </w:r>
      <w:r w:rsidRPr="00675CE5">
        <w:rPr>
          <w:rFonts w:ascii="Book Antiqua" w:hAnsi="Book Antiqua"/>
          <w:lang w:val="es-PR"/>
        </w:rPr>
        <w:t>…</w:t>
      </w:r>
    </w:p>
    <w:p w14:paraId="5E5133F7" w14:textId="6F549899" w:rsidR="00675CE5" w:rsidRPr="00675CE5" w:rsidRDefault="00675CE5" w:rsidP="00675CE5">
      <w:pPr>
        <w:spacing w:line="480" w:lineRule="auto"/>
        <w:ind w:left="1440"/>
        <w:jc w:val="both"/>
        <w:rPr>
          <w:rFonts w:ascii="Book Antiqua" w:hAnsi="Book Antiqua"/>
          <w:lang w:val="es-PR"/>
        </w:rPr>
      </w:pPr>
      <w:r w:rsidRPr="00675CE5">
        <w:rPr>
          <w:rFonts w:ascii="Book Antiqua" w:hAnsi="Book Antiqua"/>
          <w:b/>
          <w:bCs/>
          <w:lang w:val="es-PR"/>
        </w:rPr>
        <w:t>[(f)]</w:t>
      </w:r>
      <w:r>
        <w:rPr>
          <w:rFonts w:ascii="Book Antiqua" w:hAnsi="Book Antiqua"/>
          <w:lang w:val="es-PR"/>
        </w:rPr>
        <w:t xml:space="preserve"> </w:t>
      </w:r>
      <w:r>
        <w:rPr>
          <w:rFonts w:ascii="Book Antiqua" w:hAnsi="Book Antiqua"/>
          <w:i/>
          <w:iCs/>
          <w:lang w:val="es-PR"/>
        </w:rPr>
        <w:t xml:space="preserve">(g) </w:t>
      </w:r>
      <w:r w:rsidRPr="00675CE5">
        <w:rPr>
          <w:rFonts w:ascii="Book Antiqua" w:hAnsi="Book Antiqua"/>
          <w:lang w:val="es-PR"/>
        </w:rPr>
        <w:t>…</w:t>
      </w:r>
      <w:r>
        <w:rPr>
          <w:rFonts w:ascii="Book Antiqua" w:hAnsi="Book Antiqua"/>
          <w:lang w:val="es-PR"/>
        </w:rPr>
        <w:t>”</w:t>
      </w:r>
    </w:p>
    <w:p w14:paraId="3E75E260" w14:textId="18BA7626" w:rsidR="00675CE5" w:rsidRDefault="00675CE5" w:rsidP="00675CE5">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szCs w:val="24"/>
          <w:lang w:val="es-PR"/>
        </w:rPr>
        <w:t>Sección 3.</w:t>
      </w:r>
      <w:r w:rsidR="00A753E6">
        <w:rPr>
          <w:rFonts w:ascii="Book Antiqua" w:eastAsia="Book Antiqua" w:hAnsi="Book Antiqua" w:cs="Book Antiqua"/>
          <w:szCs w:val="24"/>
          <w:lang w:val="es-PR"/>
        </w:rPr>
        <w:t xml:space="preserve"> </w:t>
      </w:r>
      <w:r w:rsidR="00A753E6">
        <w:rPr>
          <w:rFonts w:ascii="Book Antiqua" w:hAnsi="Book Antiqua"/>
          <w:lang w:val="es-PR"/>
        </w:rPr>
        <w:t>–</w:t>
      </w:r>
      <w:r>
        <w:rPr>
          <w:lang w:val="es-PR"/>
        </w:rPr>
        <w:t xml:space="preserve"> </w:t>
      </w:r>
      <w:r>
        <w:rPr>
          <w:rFonts w:ascii="Book Antiqua" w:eastAsia="Book Antiqua" w:hAnsi="Book Antiqua" w:cs="Book Antiqua"/>
          <w:szCs w:val="24"/>
          <w:lang w:val="es-PR"/>
        </w:rPr>
        <w:t>Se enmienda el Artículo 2.13 de la Ley Núm. 82-2010, según enmendada, para que se lea como sigue:</w:t>
      </w:r>
    </w:p>
    <w:p w14:paraId="150E4E9C" w14:textId="77777777" w:rsidR="00A753E6" w:rsidRDefault="00A753E6" w:rsidP="00A753E6">
      <w:pPr>
        <w:spacing w:line="480" w:lineRule="auto"/>
        <w:ind w:left="1080" w:firstLine="360"/>
        <w:jc w:val="both"/>
        <w:rPr>
          <w:rFonts w:ascii="Book Antiqua" w:eastAsia="Book Antiqua" w:hAnsi="Book Antiqua" w:cs="Book Antiqua"/>
          <w:szCs w:val="24"/>
          <w:lang w:val="es-PR"/>
        </w:rPr>
      </w:pPr>
      <w:r>
        <w:rPr>
          <w:rFonts w:ascii="Book Antiqua" w:eastAsia="Book Antiqua" w:hAnsi="Book Antiqua" w:cs="Book Antiqua"/>
          <w:szCs w:val="24"/>
          <w:lang w:val="es-PR"/>
        </w:rPr>
        <w:t>“Artículo 2.13. — Prohibición de uso de combustión de carbón.</w:t>
      </w:r>
    </w:p>
    <w:p w14:paraId="74924638" w14:textId="77777777" w:rsidR="001F55DF" w:rsidRDefault="00A753E6" w:rsidP="00675CE5">
      <w:pPr>
        <w:spacing w:line="480" w:lineRule="auto"/>
        <w:ind w:left="1080" w:firstLine="360"/>
        <w:jc w:val="both"/>
        <w:rPr>
          <w:rFonts w:ascii="Book Antiqua" w:hAnsi="Book Antiqua"/>
          <w:lang w:val="es-PR"/>
        </w:rPr>
      </w:pPr>
      <w:r w:rsidRPr="00A753E6">
        <w:rPr>
          <w:rFonts w:ascii="Book Antiqua" w:hAnsi="Book Antiqua"/>
          <w:lang w:val="es-PR"/>
        </w:rPr>
        <w:t xml:space="preserve">Como parte de la política pública del Gobierno de Puerto Rico de reducir responsablemente hasta eliminar nuestra dependencia de fuentes de energía derivadas de combustibles fósiles, se prohíbe la concesión de nuevos contratos y/o permisos para el establecimiento de plantas de generación de energía a base de carbón y sus derivados. Asimismo, ningún permiso o enmienda a contrato existente a la fecha de aprobación de la Ley de Política Pública Energética podrá autorizar o contemplar la quema de carbón como fuente para la generación de energía a partir </w:t>
      </w:r>
      <w:r w:rsidRPr="00A753E6">
        <w:rPr>
          <w:rFonts w:ascii="Book Antiqua" w:hAnsi="Book Antiqua"/>
          <w:b/>
          <w:bCs/>
          <w:lang w:val="es-PR"/>
        </w:rPr>
        <w:t>[de la fecha dispuesta en dicha Ley]</w:t>
      </w:r>
      <w:r>
        <w:rPr>
          <w:rFonts w:ascii="Book Antiqua" w:hAnsi="Book Antiqua"/>
          <w:lang w:val="es-PR"/>
        </w:rPr>
        <w:t xml:space="preserve"> </w:t>
      </w:r>
      <w:r>
        <w:rPr>
          <w:rFonts w:ascii="Book Antiqua" w:hAnsi="Book Antiqua"/>
          <w:i/>
          <w:iCs/>
          <w:lang w:val="es-PR"/>
        </w:rPr>
        <w:t>del 1 de enero de 2028</w:t>
      </w:r>
      <w:r w:rsidRPr="00A753E6">
        <w:rPr>
          <w:rFonts w:ascii="Book Antiqua" w:hAnsi="Book Antiqua"/>
          <w:lang w:val="es-PR"/>
        </w:rPr>
        <w:t xml:space="preserve">.   </w:t>
      </w:r>
    </w:p>
    <w:p w14:paraId="24B0D0E2" w14:textId="4574E4D9" w:rsidR="00675CE5" w:rsidRPr="00675CE5" w:rsidRDefault="001F55DF" w:rsidP="00675CE5">
      <w:pPr>
        <w:spacing w:line="480" w:lineRule="auto"/>
        <w:ind w:left="1080" w:firstLine="360"/>
        <w:jc w:val="both"/>
        <w:rPr>
          <w:rFonts w:ascii="Book Antiqua" w:hAnsi="Book Antiqua"/>
          <w:lang w:val="es-PR"/>
        </w:rPr>
      </w:pPr>
      <w:r>
        <w:rPr>
          <w:rFonts w:ascii="Book Antiqua" w:hAnsi="Book Antiqua"/>
          <w:i/>
          <w:iCs/>
          <w:lang w:val="es-PR"/>
        </w:rPr>
        <w:t xml:space="preserve">No obstante, </w:t>
      </w:r>
      <w:r w:rsidRPr="001F55DF">
        <w:rPr>
          <w:rFonts w:ascii="Book Antiqua" w:hAnsi="Book Antiqua"/>
          <w:b/>
          <w:bCs/>
          <w:lang w:val="es-PR"/>
        </w:rPr>
        <w:t>[</w:t>
      </w:r>
      <w:r w:rsidR="00A753E6" w:rsidRPr="001F55DF">
        <w:rPr>
          <w:rFonts w:ascii="Book Antiqua" w:hAnsi="Book Antiqua"/>
          <w:b/>
          <w:bCs/>
          <w:lang w:val="es-PR"/>
        </w:rPr>
        <w:t>A</w:t>
      </w:r>
      <w:r w:rsidRPr="001F55DF">
        <w:rPr>
          <w:rFonts w:ascii="Book Antiqua" w:hAnsi="Book Antiqua"/>
          <w:b/>
          <w:bCs/>
          <w:lang w:val="es-PR"/>
        </w:rPr>
        <w:t>]</w:t>
      </w:r>
      <w:r>
        <w:rPr>
          <w:rFonts w:ascii="Book Antiqua" w:hAnsi="Book Antiqua"/>
          <w:b/>
          <w:bCs/>
          <w:lang w:val="es-PR"/>
        </w:rPr>
        <w:t xml:space="preserve"> </w:t>
      </w:r>
      <w:r w:rsidRPr="001F55DF">
        <w:rPr>
          <w:rFonts w:ascii="Book Antiqua" w:hAnsi="Book Antiqua"/>
          <w:i/>
          <w:iCs/>
          <w:lang w:val="es-PR"/>
        </w:rPr>
        <w:t>a</w:t>
      </w:r>
      <w:r w:rsidR="00A753E6" w:rsidRPr="00A753E6">
        <w:rPr>
          <w:rFonts w:ascii="Book Antiqua" w:hAnsi="Book Antiqua"/>
          <w:lang w:val="es-PR"/>
        </w:rPr>
        <w:t xml:space="preserve"> los fines de sustituir el uso del carbón</w:t>
      </w:r>
      <w:r>
        <w:rPr>
          <w:rFonts w:ascii="Book Antiqua" w:hAnsi="Book Antiqua"/>
          <w:lang w:val="es-PR"/>
        </w:rPr>
        <w:t xml:space="preserve"> </w:t>
      </w:r>
      <w:r>
        <w:rPr>
          <w:rFonts w:ascii="Book Antiqua" w:hAnsi="Book Antiqua"/>
          <w:i/>
          <w:iCs/>
          <w:lang w:val="es-PR"/>
        </w:rPr>
        <w:t>antes del 1 de enero de 2028</w:t>
      </w:r>
      <w:r w:rsidR="00A753E6" w:rsidRPr="00A753E6">
        <w:rPr>
          <w:rFonts w:ascii="Book Antiqua" w:hAnsi="Book Antiqua"/>
          <w:lang w:val="es-PR"/>
        </w:rPr>
        <w:t xml:space="preserve">, se podrá sustituir la capacidad </w:t>
      </w:r>
      <w:r w:rsidRPr="001F55DF">
        <w:rPr>
          <w:rFonts w:ascii="Book Antiqua" w:hAnsi="Book Antiqua"/>
          <w:b/>
          <w:bCs/>
          <w:lang w:val="es-PR"/>
        </w:rPr>
        <w:t>[</w:t>
      </w:r>
      <w:r w:rsidR="00A753E6" w:rsidRPr="001F55DF">
        <w:rPr>
          <w:rFonts w:ascii="Book Antiqua" w:hAnsi="Book Antiqua"/>
          <w:b/>
          <w:bCs/>
          <w:lang w:val="es-PR"/>
        </w:rPr>
        <w:t>total controlada</w:t>
      </w:r>
      <w:r w:rsidRPr="001F55DF">
        <w:rPr>
          <w:rFonts w:ascii="Book Antiqua" w:hAnsi="Book Antiqua"/>
          <w:b/>
          <w:bCs/>
          <w:lang w:val="es-PR"/>
        </w:rPr>
        <w:t>]</w:t>
      </w:r>
      <w:r w:rsidR="00A753E6" w:rsidRPr="00A753E6">
        <w:rPr>
          <w:rFonts w:ascii="Book Antiqua" w:hAnsi="Book Antiqua"/>
          <w:lang w:val="es-PR"/>
        </w:rPr>
        <w:t xml:space="preserve"> de generación </w:t>
      </w:r>
      <w:r w:rsidR="00A753E6" w:rsidRPr="00A753E6">
        <w:rPr>
          <w:rFonts w:ascii="Book Antiqua" w:hAnsi="Book Antiqua"/>
          <w:lang w:val="es-PR"/>
        </w:rPr>
        <w:lastRenderedPageBreak/>
        <w:t xml:space="preserve">existente a base de carbón por capacidad de generación de energía </w:t>
      </w:r>
      <w:r>
        <w:rPr>
          <w:rFonts w:ascii="Book Antiqua" w:hAnsi="Book Antiqua"/>
          <w:lang w:val="es-PR"/>
        </w:rPr>
        <w:t>[</w:t>
      </w:r>
      <w:r w:rsidR="00A753E6" w:rsidRPr="00A753E6">
        <w:rPr>
          <w:rFonts w:ascii="Book Antiqua" w:hAnsi="Book Antiqua"/>
          <w:lang w:val="es-PR"/>
        </w:rPr>
        <w:t>nueva y equivalente no intermitente (“base load”, de dicha capacidad (total controlada),</w:t>
      </w:r>
      <w:r>
        <w:rPr>
          <w:rFonts w:ascii="Book Antiqua" w:hAnsi="Book Antiqua"/>
          <w:lang w:val="es-PR"/>
        </w:rPr>
        <w:t>]</w:t>
      </w:r>
      <w:r w:rsidR="00A753E6" w:rsidRPr="00A753E6">
        <w:rPr>
          <w:rFonts w:ascii="Book Antiqua" w:hAnsi="Book Antiqua"/>
          <w:lang w:val="es-PR"/>
        </w:rPr>
        <w:t xml:space="preserve"> utilizando otras fuentes que cumplan con la Ley de Política Pública Energética de Puerto Rico, mediante la extensión de contratos y/o renovación de permisos existentes basados en la nueva fuente de generación. Dicha sustitución de la capacidad de generación </w:t>
      </w:r>
      <w:r>
        <w:rPr>
          <w:rFonts w:ascii="Book Antiqua" w:hAnsi="Book Antiqua"/>
          <w:lang w:val="es-PR"/>
        </w:rPr>
        <w:t>[</w:t>
      </w:r>
      <w:r w:rsidR="00A753E6" w:rsidRPr="00A753E6">
        <w:rPr>
          <w:rFonts w:ascii="Book Antiqua" w:hAnsi="Book Antiqua"/>
          <w:lang w:val="es-PR"/>
        </w:rPr>
        <w:t>a base de carbón</w:t>
      </w:r>
      <w:r>
        <w:rPr>
          <w:rFonts w:ascii="Book Antiqua" w:hAnsi="Book Antiqua"/>
          <w:lang w:val="es-PR"/>
        </w:rPr>
        <w:t>]</w:t>
      </w:r>
      <w:r w:rsidR="00A753E6" w:rsidRPr="00A753E6">
        <w:rPr>
          <w:rFonts w:ascii="Book Antiqua" w:hAnsi="Book Antiqua"/>
          <w:lang w:val="es-PR"/>
        </w:rPr>
        <w:t xml:space="preserve"> mediante otras fuentes de energía deberá ser autorizado por el </w:t>
      </w:r>
      <w:proofErr w:type="gramStart"/>
      <w:r w:rsidR="00A753E6" w:rsidRPr="00A753E6">
        <w:rPr>
          <w:rFonts w:ascii="Book Antiqua" w:hAnsi="Book Antiqua"/>
          <w:lang w:val="es-PR"/>
        </w:rPr>
        <w:t>Negociado</w:t>
      </w:r>
      <w:r w:rsidRPr="001F55DF">
        <w:rPr>
          <w:rFonts w:ascii="Book Antiqua" w:hAnsi="Book Antiqua"/>
          <w:b/>
          <w:bCs/>
          <w:lang w:val="es-PR"/>
        </w:rPr>
        <w:t>[</w:t>
      </w:r>
      <w:proofErr w:type="gramEnd"/>
      <w:r w:rsidR="00A753E6" w:rsidRPr="001F55DF">
        <w:rPr>
          <w:rFonts w:ascii="Book Antiqua" w:hAnsi="Book Antiqua"/>
          <w:b/>
          <w:bCs/>
          <w:lang w:val="es-PR"/>
        </w:rPr>
        <w:t>, siguiendo los requisitos aplicables en Ley,</w:t>
      </w:r>
      <w:r w:rsidRPr="001F55DF">
        <w:rPr>
          <w:rFonts w:ascii="Book Antiqua" w:hAnsi="Book Antiqua"/>
          <w:b/>
          <w:bCs/>
          <w:lang w:val="es-PR"/>
        </w:rPr>
        <w:t>]</w:t>
      </w:r>
      <w:r w:rsidR="00A753E6" w:rsidRPr="00A753E6">
        <w:rPr>
          <w:rFonts w:ascii="Book Antiqua" w:hAnsi="Book Antiqua"/>
          <w:lang w:val="es-PR"/>
        </w:rPr>
        <w:t xml:space="preserve"> y resultar en la eliminación total del uso de carbón </w:t>
      </w:r>
      <w:r>
        <w:rPr>
          <w:rFonts w:ascii="Book Antiqua" w:hAnsi="Book Antiqua"/>
          <w:i/>
          <w:iCs/>
          <w:lang w:val="es-PR"/>
        </w:rPr>
        <w:t xml:space="preserve">a partir del 1 de enero de 2028. </w:t>
      </w:r>
      <w:r w:rsidRPr="001F55DF">
        <w:rPr>
          <w:rFonts w:ascii="Book Antiqua" w:hAnsi="Book Antiqua"/>
          <w:b/>
          <w:bCs/>
          <w:lang w:val="es-PR"/>
        </w:rPr>
        <w:t>[</w:t>
      </w:r>
      <w:r w:rsidR="00A753E6" w:rsidRPr="001F55DF">
        <w:rPr>
          <w:rFonts w:ascii="Book Antiqua" w:hAnsi="Book Antiqua"/>
          <w:b/>
          <w:bCs/>
          <w:lang w:val="es-PR"/>
        </w:rPr>
        <w:t>como fuente para la generación de energía en Puerto Rico</w:t>
      </w:r>
      <w:r>
        <w:rPr>
          <w:rFonts w:ascii="Book Antiqua" w:hAnsi="Book Antiqua"/>
          <w:b/>
          <w:bCs/>
          <w:lang w:val="es-PR"/>
        </w:rPr>
        <w:t>.</w:t>
      </w:r>
      <w:r w:rsidR="00A753E6" w:rsidRPr="00A753E6">
        <w:rPr>
          <w:rFonts w:ascii="Book Antiqua" w:hAnsi="Book Antiqua"/>
          <w:lang w:val="es-PR"/>
        </w:rPr>
        <w:t xml:space="preserve"> </w:t>
      </w:r>
      <w:r w:rsidR="00A753E6" w:rsidRPr="001F55DF">
        <w:rPr>
          <w:rFonts w:ascii="Book Antiqua" w:hAnsi="Book Antiqua"/>
          <w:b/>
          <w:bCs/>
          <w:lang w:val="es-PR"/>
        </w:rPr>
        <w:t>Si fuere necesario la renovación de permisos existentes o la concesión de permisos nuevos para la sustitución de la capacidad existente, todos los permisos, consultas, variaciones, endosos, certificaciones, concesiones, y autorizaciones necesarios, incluyendo, pero sin limitarse a, los trámites relativos al cumplimiento con la Ley 416-2004, según enmendada, conocida como “Ley sobre Política Pública Ambiental”, deberán ser tramitados por la Oficina de Gerencia de Permisos y demás agencias concernidas siguiendo los procedimientos expeditos para estados de emergencia.</w:t>
      </w:r>
      <w:r w:rsidRPr="001F55DF">
        <w:rPr>
          <w:rFonts w:ascii="Book Antiqua" w:hAnsi="Book Antiqua"/>
          <w:b/>
          <w:bCs/>
          <w:lang w:val="es-PR"/>
        </w:rPr>
        <w:t>]</w:t>
      </w:r>
      <w:r w:rsidR="00A753E6" w:rsidRPr="00A753E6">
        <w:rPr>
          <w:rFonts w:ascii="Book Antiqua" w:hAnsi="Book Antiqua"/>
          <w:lang w:val="es-PR"/>
        </w:rPr>
        <w:t>”</w:t>
      </w:r>
    </w:p>
    <w:p w14:paraId="507BBB40" w14:textId="26D7D332" w:rsidR="009B68F7" w:rsidRPr="00FA6367" w:rsidRDefault="00675CE5" w:rsidP="009B68F7">
      <w:pPr>
        <w:spacing w:line="480" w:lineRule="auto"/>
        <w:ind w:firstLine="360"/>
        <w:jc w:val="both"/>
        <w:rPr>
          <w:rFonts w:ascii="Book Antiqua" w:hAnsi="Book Antiqua"/>
          <w:lang w:val="es-PR"/>
        </w:rPr>
      </w:pPr>
      <w:r>
        <w:rPr>
          <w:rFonts w:ascii="Book Antiqua" w:hAnsi="Book Antiqua"/>
          <w:lang w:val="es-PR"/>
        </w:rPr>
        <w:t>Sección</w:t>
      </w:r>
      <w:r w:rsidR="009B68F7" w:rsidRPr="00FA6367">
        <w:rPr>
          <w:rFonts w:ascii="Book Antiqua" w:hAnsi="Book Antiqua"/>
          <w:lang w:val="es-PR"/>
        </w:rPr>
        <w:t xml:space="preserve"> </w:t>
      </w:r>
      <w:r>
        <w:rPr>
          <w:rFonts w:ascii="Book Antiqua" w:hAnsi="Book Antiqua"/>
          <w:lang w:val="es-PR"/>
        </w:rPr>
        <w:t>4</w:t>
      </w:r>
      <w:r w:rsidR="009B68F7" w:rsidRPr="00FA6367">
        <w:rPr>
          <w:rFonts w:ascii="Book Antiqua" w:hAnsi="Book Antiqua"/>
          <w:lang w:val="es-PR"/>
        </w:rPr>
        <w:t>.</w:t>
      </w:r>
      <w:r w:rsidR="009B68F7">
        <w:rPr>
          <w:rFonts w:ascii="Book Antiqua" w:hAnsi="Book Antiqua"/>
          <w:lang w:val="es-PR"/>
        </w:rPr>
        <w:t xml:space="preserve"> –</w:t>
      </w:r>
      <w:r w:rsidR="009B68F7" w:rsidRPr="00FA6367">
        <w:rPr>
          <w:rFonts w:ascii="Book Antiqua" w:hAnsi="Book Antiqua"/>
          <w:lang w:val="es-PR"/>
        </w:rPr>
        <w:t xml:space="preserve"> Supremacía</w:t>
      </w:r>
    </w:p>
    <w:p w14:paraId="35CB6808" w14:textId="77777777" w:rsidR="009B68F7" w:rsidRPr="00FA6367" w:rsidRDefault="009B68F7" w:rsidP="009B68F7">
      <w:pPr>
        <w:spacing w:line="480" w:lineRule="auto"/>
        <w:ind w:firstLine="360"/>
        <w:jc w:val="both"/>
        <w:rPr>
          <w:rFonts w:ascii="Book Antiqua" w:hAnsi="Book Antiqua"/>
          <w:lang w:val="es-PR"/>
        </w:rPr>
      </w:pPr>
      <w:r w:rsidRPr="00FA6367">
        <w:rPr>
          <w:rFonts w:ascii="Book Antiqua" w:hAnsi="Book Antiqua"/>
          <w:lang w:val="es-PR"/>
        </w:rPr>
        <w:t>Las disposiciones de esta Ley prevalecerán sobre cualquier otra disposición de ley, reglamento o norma que no estuviere en armonía con ellas.</w:t>
      </w:r>
    </w:p>
    <w:p w14:paraId="5762D651" w14:textId="1A5DCDA0" w:rsidR="009B68F7" w:rsidRPr="00FA6367" w:rsidRDefault="00675CE5" w:rsidP="009B68F7">
      <w:pPr>
        <w:spacing w:line="480" w:lineRule="auto"/>
        <w:ind w:firstLine="360"/>
        <w:jc w:val="both"/>
        <w:rPr>
          <w:rFonts w:ascii="Book Antiqua" w:hAnsi="Book Antiqua"/>
          <w:lang w:val="es-PR"/>
        </w:rPr>
      </w:pPr>
      <w:r>
        <w:rPr>
          <w:rFonts w:ascii="Book Antiqua" w:hAnsi="Book Antiqua"/>
          <w:lang w:val="es-PR"/>
        </w:rPr>
        <w:t>Sección 5</w:t>
      </w:r>
      <w:r w:rsidR="009B68F7" w:rsidRPr="00FA6367">
        <w:rPr>
          <w:rFonts w:ascii="Book Antiqua" w:hAnsi="Book Antiqua"/>
          <w:lang w:val="es-PR"/>
        </w:rPr>
        <w:t>.</w:t>
      </w:r>
      <w:r w:rsidR="009B68F7">
        <w:rPr>
          <w:rFonts w:ascii="Book Antiqua" w:hAnsi="Book Antiqua"/>
          <w:lang w:val="es-PR"/>
        </w:rPr>
        <w:t xml:space="preserve"> –</w:t>
      </w:r>
      <w:r w:rsidR="009B68F7" w:rsidRPr="00FA6367">
        <w:rPr>
          <w:rFonts w:ascii="Book Antiqua" w:hAnsi="Book Antiqua"/>
          <w:lang w:val="es-PR"/>
        </w:rPr>
        <w:t xml:space="preserve"> Cláusula de separabilidad</w:t>
      </w:r>
    </w:p>
    <w:p w14:paraId="05C4D259" w14:textId="77777777" w:rsidR="009B68F7" w:rsidRPr="00FA6367" w:rsidRDefault="009B68F7" w:rsidP="009B68F7">
      <w:pPr>
        <w:spacing w:line="480" w:lineRule="auto"/>
        <w:ind w:firstLine="360"/>
        <w:jc w:val="both"/>
        <w:rPr>
          <w:rFonts w:ascii="Book Antiqua" w:hAnsi="Book Antiqua"/>
          <w:lang w:val="es-PR"/>
        </w:rPr>
      </w:pPr>
      <w:r w:rsidRPr="00FA6367">
        <w:rPr>
          <w:rFonts w:ascii="Book Antiqua" w:hAnsi="Book Antiqua"/>
          <w:lang w:val="es-PR"/>
        </w:rPr>
        <w:lastRenderedPageBreak/>
        <w:t xml:space="preserve">Si alguna de las disposiciones de esta Ley o su aplicación fuere declarada inconstitucional o nula, tal dictamen de invalidez o nulidad no afectará la </w:t>
      </w:r>
      <w:proofErr w:type="spellStart"/>
      <w:r w:rsidRPr="00FA6367">
        <w:rPr>
          <w:rFonts w:ascii="Book Antiqua" w:hAnsi="Book Antiqua"/>
          <w:lang w:val="es-PR"/>
        </w:rPr>
        <w:t>ejecutabilidad</w:t>
      </w:r>
      <w:proofErr w:type="spellEnd"/>
      <w:r w:rsidRPr="00FA6367">
        <w:rPr>
          <w:rFonts w:ascii="Book Antiqua" w:hAnsi="Book Antiqua"/>
          <w:lang w:val="es-PR"/>
        </w:rPr>
        <w:t xml:space="preserve"> y vigor de las restantes disposiciones que no hayan sido objeto de dictamen adverso.</w:t>
      </w:r>
    </w:p>
    <w:p w14:paraId="6AC6498A" w14:textId="08F5F480" w:rsidR="009B68F7" w:rsidRPr="00FA6367" w:rsidRDefault="00675CE5" w:rsidP="009B68F7">
      <w:pPr>
        <w:spacing w:line="480" w:lineRule="auto"/>
        <w:ind w:firstLine="360"/>
        <w:jc w:val="both"/>
        <w:rPr>
          <w:rFonts w:ascii="Book Antiqua" w:hAnsi="Book Antiqua"/>
          <w:lang w:val="es-PR"/>
        </w:rPr>
      </w:pPr>
      <w:r>
        <w:rPr>
          <w:rFonts w:ascii="Book Antiqua" w:hAnsi="Book Antiqua"/>
          <w:lang w:val="es-PR"/>
        </w:rPr>
        <w:t>Sección 6</w:t>
      </w:r>
      <w:r w:rsidR="009B68F7" w:rsidRPr="00FA6367">
        <w:rPr>
          <w:rFonts w:ascii="Book Antiqua" w:hAnsi="Book Antiqua"/>
          <w:lang w:val="es-PR"/>
        </w:rPr>
        <w:t>.</w:t>
      </w:r>
      <w:r w:rsidR="009B68F7">
        <w:rPr>
          <w:rFonts w:ascii="Book Antiqua" w:hAnsi="Book Antiqua"/>
          <w:lang w:val="es-PR"/>
        </w:rPr>
        <w:t xml:space="preserve"> –</w:t>
      </w:r>
      <w:r w:rsidR="009B68F7" w:rsidRPr="00FA6367">
        <w:rPr>
          <w:rFonts w:ascii="Book Antiqua" w:hAnsi="Book Antiqua"/>
          <w:lang w:val="es-PR"/>
        </w:rPr>
        <w:t xml:space="preserve"> Vigencia</w:t>
      </w:r>
    </w:p>
    <w:p w14:paraId="14DE6C7B" w14:textId="54002F96" w:rsidR="00173FD0" w:rsidRPr="00BC6728" w:rsidRDefault="009B68F7" w:rsidP="009B68F7">
      <w:pPr>
        <w:spacing w:line="480" w:lineRule="auto"/>
        <w:ind w:firstLine="360"/>
        <w:jc w:val="both"/>
        <w:rPr>
          <w:rFonts w:ascii="Book Antiqua" w:hAnsi="Book Antiqua"/>
          <w:lang w:val="es-ES"/>
        </w:rPr>
      </w:pPr>
      <w:r w:rsidRPr="00FA6367">
        <w:rPr>
          <w:rFonts w:ascii="Book Antiqua" w:hAnsi="Book Antiqua"/>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A1401" w14:textId="77777777" w:rsidR="00EB0943" w:rsidRDefault="00EB0943">
      <w:r>
        <w:separator/>
      </w:r>
    </w:p>
  </w:endnote>
  <w:endnote w:type="continuationSeparator" w:id="0">
    <w:p w14:paraId="77FAB313" w14:textId="77777777" w:rsidR="00EB0943" w:rsidRDefault="00EB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39EED" w14:textId="77777777" w:rsidR="00EB0943" w:rsidRDefault="00EB0943">
      <w:r>
        <w:separator/>
      </w:r>
    </w:p>
  </w:footnote>
  <w:footnote w:type="continuationSeparator" w:id="0">
    <w:p w14:paraId="0A19EE7E" w14:textId="77777777" w:rsidR="00EB0943" w:rsidRDefault="00EB0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15:restartNumberingAfterBreak="0">
    <w:nsid w:val="35DC7DC8"/>
    <w:multiLevelType w:val="hybridMultilevel"/>
    <w:tmpl w:val="CAC8F814"/>
    <w:lvl w:ilvl="0" w:tplc="2AE4EF1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3"/>
  </w:num>
  <w:num w:numId="3" w16cid:durableId="1132467">
    <w:abstractNumId w:val="9"/>
  </w:num>
  <w:num w:numId="4" w16cid:durableId="702096654">
    <w:abstractNumId w:val="10"/>
  </w:num>
  <w:num w:numId="5" w16cid:durableId="496698076">
    <w:abstractNumId w:val="12"/>
  </w:num>
  <w:num w:numId="6" w16cid:durableId="1469207924">
    <w:abstractNumId w:val="3"/>
  </w:num>
  <w:num w:numId="7" w16cid:durableId="355935514">
    <w:abstractNumId w:val="5"/>
  </w:num>
  <w:num w:numId="8" w16cid:durableId="259021808">
    <w:abstractNumId w:val="2"/>
  </w:num>
  <w:num w:numId="9" w16cid:durableId="957763560">
    <w:abstractNumId w:val="14"/>
  </w:num>
  <w:num w:numId="10" w16cid:durableId="229004811">
    <w:abstractNumId w:val="8"/>
  </w:num>
  <w:num w:numId="11" w16cid:durableId="465707011">
    <w:abstractNumId w:val="11"/>
  </w:num>
  <w:num w:numId="12" w16cid:durableId="1678343964">
    <w:abstractNumId w:val="4"/>
  </w:num>
  <w:num w:numId="13" w16cid:durableId="1564757104">
    <w:abstractNumId w:val="7"/>
  </w:num>
  <w:num w:numId="14" w16cid:durableId="948240610">
    <w:abstractNumId w:val="1"/>
  </w:num>
  <w:num w:numId="15" w16cid:durableId="17943281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369A"/>
    <w:rsid w:val="0006657F"/>
    <w:rsid w:val="00075607"/>
    <w:rsid w:val="00091706"/>
    <w:rsid w:val="00095AE1"/>
    <w:rsid w:val="000A6B6C"/>
    <w:rsid w:val="000B0DBB"/>
    <w:rsid w:val="000B47E0"/>
    <w:rsid w:val="000F2029"/>
    <w:rsid w:val="000F4204"/>
    <w:rsid w:val="0010351B"/>
    <w:rsid w:val="0011037A"/>
    <w:rsid w:val="00111E71"/>
    <w:rsid w:val="00126BCB"/>
    <w:rsid w:val="00127C6A"/>
    <w:rsid w:val="001363FE"/>
    <w:rsid w:val="001466C3"/>
    <w:rsid w:val="001531F9"/>
    <w:rsid w:val="00157D77"/>
    <w:rsid w:val="0017132B"/>
    <w:rsid w:val="00173FD0"/>
    <w:rsid w:val="00192F82"/>
    <w:rsid w:val="001B7D57"/>
    <w:rsid w:val="001C006D"/>
    <w:rsid w:val="001D24BE"/>
    <w:rsid w:val="001D6A0D"/>
    <w:rsid w:val="001D7670"/>
    <w:rsid w:val="001F4CA3"/>
    <w:rsid w:val="001F55DF"/>
    <w:rsid w:val="001F612A"/>
    <w:rsid w:val="00210371"/>
    <w:rsid w:val="00211396"/>
    <w:rsid w:val="002205E2"/>
    <w:rsid w:val="00226AE6"/>
    <w:rsid w:val="00245B34"/>
    <w:rsid w:val="00251962"/>
    <w:rsid w:val="00263355"/>
    <w:rsid w:val="00273792"/>
    <w:rsid w:val="00274558"/>
    <w:rsid w:val="00276BD5"/>
    <w:rsid w:val="002D4AC8"/>
    <w:rsid w:val="002D55FA"/>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E1DFE"/>
    <w:rsid w:val="004061CA"/>
    <w:rsid w:val="004139BD"/>
    <w:rsid w:val="00415689"/>
    <w:rsid w:val="004440CB"/>
    <w:rsid w:val="00444D0D"/>
    <w:rsid w:val="0045085C"/>
    <w:rsid w:val="004548EA"/>
    <w:rsid w:val="004713D2"/>
    <w:rsid w:val="00475278"/>
    <w:rsid w:val="00482039"/>
    <w:rsid w:val="004A311A"/>
    <w:rsid w:val="004A49E8"/>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79A1"/>
    <w:rsid w:val="006104EC"/>
    <w:rsid w:val="006210DC"/>
    <w:rsid w:val="006236CF"/>
    <w:rsid w:val="0064349D"/>
    <w:rsid w:val="00643D93"/>
    <w:rsid w:val="00651FF1"/>
    <w:rsid w:val="00653EED"/>
    <w:rsid w:val="00675CE5"/>
    <w:rsid w:val="00685549"/>
    <w:rsid w:val="006A23E8"/>
    <w:rsid w:val="006B640E"/>
    <w:rsid w:val="006B7365"/>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93AD7"/>
    <w:rsid w:val="008A0ACC"/>
    <w:rsid w:val="008C2489"/>
    <w:rsid w:val="008D2C7D"/>
    <w:rsid w:val="008D44C5"/>
    <w:rsid w:val="008E173A"/>
    <w:rsid w:val="008F3F61"/>
    <w:rsid w:val="009035B9"/>
    <w:rsid w:val="00923EC3"/>
    <w:rsid w:val="00924DCC"/>
    <w:rsid w:val="00931106"/>
    <w:rsid w:val="0093686F"/>
    <w:rsid w:val="00942FD4"/>
    <w:rsid w:val="00951997"/>
    <w:rsid w:val="0097693A"/>
    <w:rsid w:val="00990352"/>
    <w:rsid w:val="009B4897"/>
    <w:rsid w:val="009B68F7"/>
    <w:rsid w:val="009F35CF"/>
    <w:rsid w:val="00A03405"/>
    <w:rsid w:val="00A10B1E"/>
    <w:rsid w:val="00A12BB9"/>
    <w:rsid w:val="00A1528A"/>
    <w:rsid w:val="00A25B1B"/>
    <w:rsid w:val="00A26ED1"/>
    <w:rsid w:val="00A33918"/>
    <w:rsid w:val="00A62B63"/>
    <w:rsid w:val="00A753E6"/>
    <w:rsid w:val="00A7629F"/>
    <w:rsid w:val="00A842B4"/>
    <w:rsid w:val="00A87FD3"/>
    <w:rsid w:val="00AA43B5"/>
    <w:rsid w:val="00AB248D"/>
    <w:rsid w:val="00AD2305"/>
    <w:rsid w:val="00AE36A9"/>
    <w:rsid w:val="00AF0CEE"/>
    <w:rsid w:val="00B2475B"/>
    <w:rsid w:val="00B335B4"/>
    <w:rsid w:val="00B400A6"/>
    <w:rsid w:val="00B453F4"/>
    <w:rsid w:val="00B51ED2"/>
    <w:rsid w:val="00B667AD"/>
    <w:rsid w:val="00B833A0"/>
    <w:rsid w:val="00B834FC"/>
    <w:rsid w:val="00B84C38"/>
    <w:rsid w:val="00B86C00"/>
    <w:rsid w:val="00B947F6"/>
    <w:rsid w:val="00BB7D06"/>
    <w:rsid w:val="00BC5540"/>
    <w:rsid w:val="00BC6728"/>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454C"/>
    <w:rsid w:val="00DA735E"/>
    <w:rsid w:val="00DD0A78"/>
    <w:rsid w:val="00DD2AA2"/>
    <w:rsid w:val="00DE2C63"/>
    <w:rsid w:val="00DE56DE"/>
    <w:rsid w:val="00DE7377"/>
    <w:rsid w:val="00E04AB5"/>
    <w:rsid w:val="00E16745"/>
    <w:rsid w:val="00E50EEA"/>
    <w:rsid w:val="00E51C2D"/>
    <w:rsid w:val="00E52F58"/>
    <w:rsid w:val="00E62E17"/>
    <w:rsid w:val="00E7058A"/>
    <w:rsid w:val="00EB0943"/>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67133"/>
    <w:rsid w:val="00F70D3E"/>
    <w:rsid w:val="00F90D72"/>
    <w:rsid w:val="00F927AF"/>
    <w:rsid w:val="00FA7059"/>
    <w:rsid w:val="00FC0A95"/>
    <w:rsid w:val="00FC3D9C"/>
    <w:rsid w:val="00FC54D1"/>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1909</Words>
  <Characters>9944</Characters>
  <Application>Microsoft Office Word</Application>
  <DocSecurity>0</DocSecurity>
  <Lines>82</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3</cp:revision>
  <cp:lastPrinted>2025-06-03T14:58:00Z</cp:lastPrinted>
  <dcterms:created xsi:type="dcterms:W3CDTF">2025-08-19T20:07:00Z</dcterms:created>
  <dcterms:modified xsi:type="dcterms:W3CDTF">2025-08-20T15:31:00Z</dcterms:modified>
</cp:coreProperties>
</file>