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E4F2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E4F2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E4F2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BE4F2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BE4F2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E4F2B">
        <w:rPr>
          <w:rFonts w:ascii="Book Antiqua" w:hAnsi="Book Antiqua"/>
          <w:szCs w:val="24"/>
          <w:lang w:val="es-ES_tradnl"/>
        </w:rPr>
        <w:t>20m</w:t>
      </w:r>
      <w:r w:rsidR="002670C1" w:rsidRPr="00BE4F2B">
        <w:rPr>
          <w:rFonts w:ascii="Book Antiqua" w:hAnsi="Book Antiqua"/>
          <w:szCs w:val="24"/>
          <w:lang w:val="es-ES_tradnl"/>
        </w:rPr>
        <w:t>a. Asamblea</w:t>
      </w:r>
      <w:r w:rsidR="002670C1" w:rsidRPr="00BE4F2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E4F2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E4F2B">
        <w:rPr>
          <w:rFonts w:ascii="Book Antiqua" w:hAnsi="Book Antiqua"/>
          <w:szCs w:val="24"/>
          <w:lang w:val="es-ES_tradnl"/>
        </w:rPr>
        <w:t xml:space="preserve">  </w:t>
      </w:r>
      <w:r w:rsidR="003D1498" w:rsidRPr="00BE4F2B">
        <w:rPr>
          <w:rFonts w:ascii="Book Antiqua" w:hAnsi="Book Antiqua"/>
          <w:szCs w:val="24"/>
          <w:lang w:val="es-ES_tradnl"/>
        </w:rPr>
        <w:t>2d</w:t>
      </w:r>
      <w:r w:rsidR="002670C1" w:rsidRPr="00BE4F2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E4F2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E4F2B">
        <w:rPr>
          <w:rFonts w:ascii="Book Antiqua" w:hAnsi="Book Antiqua"/>
          <w:szCs w:val="24"/>
          <w:lang w:val="es-ES_tradnl"/>
        </w:rPr>
        <w:tab/>
        <w:t>Legislativa</w:t>
      </w:r>
      <w:r w:rsidRPr="00BE4F2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E4F2B">
        <w:rPr>
          <w:rFonts w:ascii="Book Antiqua" w:hAnsi="Book Antiqua"/>
          <w:szCs w:val="24"/>
          <w:lang w:val="es-ES_tradnl"/>
        </w:rPr>
        <w:t xml:space="preserve">       </w:t>
      </w:r>
      <w:r w:rsidRPr="00BE4F2B">
        <w:rPr>
          <w:rFonts w:ascii="Book Antiqua" w:hAnsi="Book Antiqua"/>
          <w:szCs w:val="24"/>
          <w:lang w:val="es-ES_tradnl"/>
        </w:rPr>
        <w:t xml:space="preserve"> </w:t>
      </w:r>
      <w:r w:rsidR="00632DBA" w:rsidRPr="00BE4F2B">
        <w:rPr>
          <w:rFonts w:ascii="Book Antiqua" w:hAnsi="Book Antiqua"/>
          <w:szCs w:val="24"/>
          <w:lang w:val="es-ES_tradnl"/>
        </w:rPr>
        <w:t xml:space="preserve"> </w:t>
      </w:r>
      <w:r w:rsidRPr="00BE4F2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BE4F2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E4F2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E4F2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E4F2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E4F2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8FF0FF2" w:rsidR="002670C1" w:rsidRPr="00BE4F2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E4F2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A3D61" w:rsidRPr="00BE4F2B">
        <w:rPr>
          <w:rFonts w:ascii="Book Antiqua" w:hAnsi="Book Antiqua" w:cs="Tahoma"/>
          <w:b/>
          <w:sz w:val="52"/>
          <w:szCs w:val="52"/>
          <w:lang w:val="es-ES_tradnl"/>
        </w:rPr>
        <w:t>400</w:t>
      </w:r>
    </w:p>
    <w:p w14:paraId="2AB71EBC" w14:textId="77777777" w:rsidR="001A14B6" w:rsidRPr="00BE4F2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BE4F2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E4F2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E4F2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E4F2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D4C5FF6" w:rsidR="002670C1" w:rsidRPr="00BE4F2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E4F2B">
        <w:rPr>
          <w:rFonts w:ascii="Book Antiqua" w:hAnsi="Book Antiqua" w:cs="Tahoma"/>
          <w:lang w:val="es-ES_tradnl"/>
        </w:rPr>
        <w:t xml:space="preserve"> </w:t>
      </w:r>
      <w:r w:rsidR="00AA3D61" w:rsidRPr="00BE4F2B">
        <w:rPr>
          <w:rFonts w:ascii="Book Antiqua" w:hAnsi="Book Antiqua" w:cs="Tahoma"/>
          <w:lang w:val="es-ES_tradnl"/>
        </w:rPr>
        <w:t>2</w:t>
      </w:r>
      <w:r w:rsidR="00F93C87">
        <w:rPr>
          <w:rFonts w:ascii="Book Antiqua" w:hAnsi="Book Antiqua" w:cs="Tahoma"/>
          <w:lang w:val="es-ES_tradnl"/>
        </w:rPr>
        <w:t>5</w:t>
      </w:r>
      <w:r w:rsidRPr="00BE4F2B">
        <w:rPr>
          <w:rFonts w:ascii="Book Antiqua" w:hAnsi="Book Antiqua" w:cs="Tahoma"/>
          <w:lang w:val="es-ES_tradnl"/>
        </w:rPr>
        <w:t xml:space="preserve"> de </w:t>
      </w:r>
      <w:r w:rsidR="0029076F" w:rsidRPr="00BE4F2B">
        <w:rPr>
          <w:rFonts w:ascii="Book Antiqua" w:hAnsi="Book Antiqua" w:cs="Tahoma"/>
          <w:lang w:val="es-ES_tradnl"/>
        </w:rPr>
        <w:t>agosto</w:t>
      </w:r>
      <w:r w:rsidRPr="00BE4F2B">
        <w:rPr>
          <w:rFonts w:ascii="Book Antiqua" w:hAnsi="Book Antiqua" w:cs="Tahoma"/>
          <w:lang w:val="es-ES_tradnl"/>
        </w:rPr>
        <w:t xml:space="preserve"> de </w:t>
      </w:r>
      <w:r w:rsidR="00333864" w:rsidRPr="00BE4F2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BE4F2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BE4F2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BE4F2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E4F2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BE4F2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25CC0A2" w:rsidR="00682883" w:rsidRPr="00BE4F2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E4F2B">
        <w:rPr>
          <w:rFonts w:ascii="Book Antiqua" w:hAnsi="Book Antiqua" w:cs="Tahoma"/>
          <w:lang w:val="es-ES_tradnl"/>
        </w:rPr>
        <w:tab/>
      </w:r>
      <w:r w:rsidR="008A4022" w:rsidRPr="00BE4F2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E4F2B">
        <w:rPr>
          <w:rFonts w:ascii="Book Antiqua" w:hAnsi="Book Antiqua" w:cs="Tahoma"/>
          <w:lang w:val="es-ES_tradnl"/>
        </w:rPr>
        <w:t>sideración de la R. de la C.</w:t>
      </w:r>
      <w:r w:rsidR="00AA3D61" w:rsidRPr="00BE4F2B">
        <w:rPr>
          <w:rFonts w:ascii="Book Antiqua" w:hAnsi="Book Antiqua" w:cs="Tahoma"/>
          <w:lang w:val="es-ES_tradnl"/>
        </w:rPr>
        <w:t xml:space="preserve"> 400</w:t>
      </w:r>
      <w:r w:rsidR="00FA5F29" w:rsidRPr="00BE4F2B">
        <w:rPr>
          <w:rFonts w:ascii="Book Antiqua" w:hAnsi="Book Antiqua" w:cs="Tahoma"/>
          <w:lang w:val="es-ES_tradnl"/>
        </w:rPr>
        <w:t xml:space="preserve">, </w:t>
      </w:r>
      <w:r w:rsidR="00682883" w:rsidRPr="00BE4F2B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BE4F2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33EAF0A" w:rsidR="008D4A0A" w:rsidRPr="00BE4F2B" w:rsidRDefault="00BC1CB2" w:rsidP="00AA3D61">
      <w:pPr>
        <w:ind w:left="567" w:hanging="567"/>
        <w:jc w:val="both"/>
        <w:rPr>
          <w:rFonts w:ascii="Book Antiqua" w:hAnsi="Book Antiqua"/>
          <w:lang w:val="es-ES_tradnl"/>
        </w:rPr>
      </w:pPr>
      <w:r w:rsidRPr="00BE4F2B">
        <w:rPr>
          <w:rFonts w:ascii="Book Antiqua" w:hAnsi="Book Antiqua" w:cs="Tahoma"/>
          <w:lang w:val="es-ES_tradnl"/>
        </w:rPr>
        <w:t xml:space="preserve"> </w:t>
      </w:r>
      <w:r w:rsidR="00E86FF9" w:rsidRPr="00BE4F2B">
        <w:rPr>
          <w:rFonts w:ascii="Book Antiqua" w:hAnsi="Book Antiqua" w:cs="Tahoma"/>
          <w:lang w:val="es-ES_tradnl"/>
        </w:rPr>
        <w:t>“</w:t>
      </w:r>
      <w:r w:rsidR="00E86FF9" w:rsidRPr="00BE4F2B">
        <w:rPr>
          <w:rFonts w:ascii="Book Antiqua" w:hAnsi="Book Antiqua"/>
          <w:lang w:val="es-ES_tradnl"/>
        </w:rPr>
        <w:t>Para</w:t>
      </w:r>
      <w:r w:rsidR="00E86FF9" w:rsidRPr="00BE4F2B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BE4F2B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BE4F2B">
        <w:rPr>
          <w:rFonts w:ascii="Book Antiqua" w:hAnsi="Book Antiqua"/>
          <w:lang w:val="es-ES_tradnl"/>
        </w:rPr>
        <w:t xml:space="preserve">a la Comisión </w:t>
      </w:r>
      <w:r w:rsidR="00C321E8" w:rsidRPr="00BE4F2B">
        <w:rPr>
          <w:rFonts w:ascii="Book Antiqua" w:hAnsi="Book Antiqua"/>
          <w:lang w:val="es-ES_tradnl"/>
        </w:rPr>
        <w:t>de</w:t>
      </w:r>
      <w:r w:rsidR="00DF3E6F" w:rsidRPr="00BE4F2B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AA3D61" w:rsidRPr="00BE4F2B">
        <w:rPr>
          <w:rFonts w:ascii="Book Antiqua" w:hAnsi="Book Antiqua"/>
          <w:lang w:val="es-ES_tradnl"/>
        </w:rPr>
        <w:t>Desarrollo Económico de la Cámara de Representantes de Puerto Rico, realizar una investigación sobre la viabilidad, conveniencia y necesidad de establecer en Puerto Rico plantas nucleares para generación de energía eléctrica; el análisis de las nuevas tecnologías modulares para el diseño y operación de estas; la evaluación de sus características de seguridad; y para otros fines relacionados.</w:t>
      </w:r>
      <w:r w:rsidR="00FA5F29" w:rsidRPr="00BE4F2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BE4F2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BE4F2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E4F2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BE4F2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3A4EDE1" w14:textId="05FD6334" w:rsidR="00AA3D61" w:rsidRPr="00BE4F2B" w:rsidRDefault="00CC4336" w:rsidP="00AA3D61">
      <w:pPr>
        <w:jc w:val="both"/>
        <w:rPr>
          <w:rFonts w:ascii="Book Antiqua" w:hAnsi="Book Antiqua"/>
          <w:lang w:val="es-ES_tradnl"/>
        </w:rPr>
      </w:pPr>
      <w:r w:rsidRPr="00BE4F2B">
        <w:rPr>
          <w:rFonts w:ascii="Book Antiqua" w:eastAsiaTheme="minorHAnsi" w:hAnsi="Book Antiqua"/>
          <w:lang w:val="es-ES_tradnl"/>
        </w:rPr>
        <w:t xml:space="preserve">     </w:t>
      </w:r>
      <w:r w:rsidR="00DE02EB" w:rsidRPr="00BE4F2B">
        <w:rPr>
          <w:rFonts w:ascii="Book Antiqua" w:hAnsi="Book Antiqua"/>
          <w:lang w:val="es-ES_tradnl"/>
        </w:rPr>
        <w:t>La</w:t>
      </w:r>
      <w:r w:rsidR="00194744" w:rsidRPr="00BE4F2B">
        <w:rPr>
          <w:rFonts w:ascii="Book Antiqua" w:hAnsi="Book Antiqua"/>
          <w:lang w:val="es-ES_tradnl"/>
        </w:rPr>
        <w:t xml:space="preserve"> Resolución de la Cámara Núm.</w:t>
      </w:r>
      <w:r w:rsidR="00AA3D61" w:rsidRPr="00BE4F2B">
        <w:rPr>
          <w:rFonts w:ascii="Book Antiqua" w:hAnsi="Book Antiqua"/>
          <w:lang w:val="es-ES_tradnl"/>
        </w:rPr>
        <w:t xml:space="preserve"> 400 </w:t>
      </w:r>
      <w:r w:rsidR="00DF3E6F" w:rsidRPr="00BE4F2B">
        <w:rPr>
          <w:rFonts w:ascii="Book Antiqua" w:hAnsi="Book Antiqua"/>
          <w:lang w:val="es-ES_tradnl"/>
        </w:rPr>
        <w:t>tiene el propósito de realizar una</w:t>
      </w:r>
      <w:r w:rsidR="00AA3D61" w:rsidRPr="00BE4F2B">
        <w:rPr>
          <w:rFonts w:ascii="Book Antiqua" w:hAnsi="Book Antiqua"/>
          <w:lang w:val="es-ES_tradnl"/>
        </w:rPr>
        <w:t xml:space="preserve"> investigación exhaustiva s</w:t>
      </w:r>
      <w:r w:rsidR="00914EA8">
        <w:rPr>
          <w:rFonts w:ascii="Book Antiqua" w:hAnsi="Book Antiqua"/>
          <w:lang w:val="es-ES_tradnl"/>
        </w:rPr>
        <w:t>obre la posibilidad de integrar</w:t>
      </w:r>
      <w:r w:rsidR="00AA3D61" w:rsidRPr="00BE4F2B">
        <w:rPr>
          <w:rFonts w:ascii="Book Antiqua" w:hAnsi="Book Antiqua"/>
          <w:lang w:val="es-ES_tradnl"/>
        </w:rPr>
        <w:t xml:space="preserve"> la energía nuclear como parte de la diversificación de fuentes energéticas en Puerto Rico. Esta investigación deberá abarcar la viabilidad técnica, conveniencia económica y necesidad estratégica de instalar plantas nucleares en la Isla, con énfasis en las nuevas tecnologías modulares y sus sistemas de seguridad.</w:t>
      </w:r>
    </w:p>
    <w:p w14:paraId="674E1F70" w14:textId="77777777" w:rsidR="00AA3D61" w:rsidRPr="00BE4F2B" w:rsidRDefault="00AA3D61" w:rsidP="00AA3D61">
      <w:pPr>
        <w:jc w:val="both"/>
        <w:rPr>
          <w:rFonts w:ascii="Book Antiqua" w:hAnsi="Book Antiqua"/>
          <w:lang w:val="es-ES_tradnl"/>
        </w:rPr>
      </w:pPr>
    </w:p>
    <w:p w14:paraId="1946D092" w14:textId="3B19067F" w:rsidR="00AA3D61" w:rsidRPr="00BE4F2B" w:rsidRDefault="00AA3D61" w:rsidP="00AA3D61">
      <w:pPr>
        <w:jc w:val="both"/>
        <w:rPr>
          <w:rFonts w:ascii="Book Antiqua" w:hAnsi="Book Antiqua"/>
          <w:lang w:val="es-ES_tradnl"/>
        </w:rPr>
      </w:pPr>
      <w:r w:rsidRPr="00BE4F2B">
        <w:rPr>
          <w:rFonts w:ascii="Book Antiqua" w:hAnsi="Book Antiqua"/>
          <w:lang w:val="es-ES_tradnl"/>
        </w:rPr>
        <w:t xml:space="preserve">     En la </w:t>
      </w:r>
      <w:r w:rsidRPr="00BE4F2B">
        <w:rPr>
          <w:rFonts w:ascii="Book Antiqua" w:hAnsi="Book Antiqua"/>
          <w:bCs/>
          <w:lang w:val="es-ES_tradnl"/>
        </w:rPr>
        <w:t>Exposición de Motivos</w:t>
      </w:r>
      <w:r w:rsidRPr="00BE4F2B">
        <w:rPr>
          <w:rFonts w:ascii="Book Antiqua" w:hAnsi="Book Antiqua"/>
          <w:lang w:val="es-ES_tradnl"/>
        </w:rPr>
        <w:t xml:space="preserve"> se reconoce el impacto del huracán María sobre la infraestructura eléctrica y la urgencia de transformar el sistema energético conforme a la Ley 120-2018, según enmendada, así como la política pública contenida en la Ley 17-</w:t>
      </w:r>
      <w:r w:rsidRPr="00BE4F2B">
        <w:rPr>
          <w:rFonts w:ascii="Book Antiqua" w:hAnsi="Book Antiqua"/>
          <w:lang w:val="es-ES_tradnl"/>
        </w:rPr>
        <w:lastRenderedPageBreak/>
        <w:t>2019 sobre la transición hacia fuentes sostenibles y resilientes. Se plantea que, además de las alternativas de gas natural y energía renovable, resulta prudente auscultar el potencial de la energía nuclear bajo los estándares regulatorios federales y las nuevas tecnologías de seguridad.</w:t>
      </w:r>
    </w:p>
    <w:p w14:paraId="5CDB04E3" w14:textId="77777777" w:rsidR="00AA3D61" w:rsidRPr="00BE4F2B" w:rsidRDefault="00AA3D61" w:rsidP="00AA3D61">
      <w:pPr>
        <w:jc w:val="both"/>
        <w:rPr>
          <w:rFonts w:ascii="Book Antiqua" w:hAnsi="Book Antiqua"/>
          <w:lang w:val="es-ES_tradnl"/>
        </w:rPr>
      </w:pPr>
    </w:p>
    <w:p w14:paraId="05E78832" w14:textId="06F75842" w:rsidR="00DF3E6F" w:rsidRPr="00BE4F2B" w:rsidRDefault="00AA3D61" w:rsidP="00DF3E6F">
      <w:pPr>
        <w:jc w:val="both"/>
        <w:rPr>
          <w:rFonts w:ascii="Book Antiqua" w:hAnsi="Book Antiqua"/>
          <w:lang w:val="es-ES_tradnl"/>
        </w:rPr>
      </w:pPr>
      <w:r w:rsidRPr="00BE4F2B">
        <w:rPr>
          <w:rFonts w:ascii="Book Antiqua" w:hAnsi="Book Antiqua"/>
          <w:lang w:val="es-ES_tradnl"/>
        </w:rPr>
        <w:t xml:space="preserve">     La Comisión de Asuntos Internos entiende que la medida no prejuzga sobre la conveniencia definitiva de establecer plantas nucleares en Puerto Rico, sino que persigue abrir el espacio de análisis, investigación y deliberación pública sobre un tema de alta complejidad y relevancia para el desarrollo económico y energético de Puerto Rico. </w:t>
      </w:r>
    </w:p>
    <w:p w14:paraId="7645A4CC" w14:textId="77777777" w:rsidR="006150BB" w:rsidRPr="00BE4F2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E4F2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54D764B7" w:rsidR="001A02E8" w:rsidRPr="00BE4F2B" w:rsidRDefault="00BE4F2B" w:rsidP="00BE4F2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BE4F2B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BE4F2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BE4F2B">
        <w:rPr>
          <w:rFonts w:ascii="Book Antiqua" w:hAnsi="Book Antiqua"/>
          <w:sz w:val="24"/>
          <w:szCs w:val="24"/>
          <w:lang w:val="es-ES_tradnl"/>
        </w:rPr>
        <w:t>a Resolución de la Cámara 400</w:t>
      </w:r>
      <w:r w:rsidR="001A02E8" w:rsidRPr="00BE4F2B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BE4F2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E4F2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E4F2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E4F2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E4F2B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BE4F2B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BE4F2B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BE4F2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BE4F2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E4F2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E4F2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E4F2B">
        <w:rPr>
          <w:rFonts w:ascii="Book Antiqua" w:hAnsi="Book Antiqua" w:cs="Tahoma"/>
          <w:lang w:val="es-ES_tradnl"/>
        </w:rPr>
        <w:br/>
        <w:t>Presidente</w:t>
      </w:r>
      <w:r w:rsidRPr="00BE4F2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E4F2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4E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942966">
    <w:abstractNumId w:val="6"/>
  </w:num>
  <w:num w:numId="2" w16cid:durableId="135341613">
    <w:abstractNumId w:val="12"/>
  </w:num>
  <w:num w:numId="3" w16cid:durableId="1953437142">
    <w:abstractNumId w:val="3"/>
  </w:num>
  <w:num w:numId="4" w16cid:durableId="1417089100">
    <w:abstractNumId w:val="1"/>
  </w:num>
  <w:num w:numId="5" w16cid:durableId="1398476861">
    <w:abstractNumId w:val="7"/>
  </w:num>
  <w:num w:numId="6" w16cid:durableId="822625512">
    <w:abstractNumId w:val="4"/>
  </w:num>
  <w:num w:numId="7" w16cid:durableId="1055742204">
    <w:abstractNumId w:val="5"/>
  </w:num>
  <w:num w:numId="8" w16cid:durableId="1911576254">
    <w:abstractNumId w:val="8"/>
  </w:num>
  <w:num w:numId="9" w16cid:durableId="1272862243">
    <w:abstractNumId w:val="9"/>
  </w:num>
  <w:num w:numId="10" w16cid:durableId="1621959818">
    <w:abstractNumId w:val="0"/>
  </w:num>
  <w:num w:numId="11" w16cid:durableId="738481208">
    <w:abstractNumId w:val="2"/>
  </w:num>
  <w:num w:numId="12" w16cid:durableId="1480416152">
    <w:abstractNumId w:val="11"/>
  </w:num>
  <w:num w:numId="13" w16cid:durableId="16589947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B5EC2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B4B4C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029C8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4EA8"/>
    <w:rsid w:val="00927065"/>
    <w:rsid w:val="00935128"/>
    <w:rsid w:val="009757CC"/>
    <w:rsid w:val="0098035D"/>
    <w:rsid w:val="00981986"/>
    <w:rsid w:val="009852EB"/>
    <w:rsid w:val="00987BD8"/>
    <w:rsid w:val="009931F5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3D61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4F2B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93C87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A7F2BCF0-1383-49A5-9702-BFAE41448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2025-02-17T12:55:00Z</cp:lastPrinted>
  <dcterms:created xsi:type="dcterms:W3CDTF">2025-08-22T14:01:00Z</dcterms:created>
  <dcterms:modified xsi:type="dcterms:W3CDTF">2025-08-25T19:18:00Z</dcterms:modified>
</cp:coreProperties>
</file>