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F6685" w14:textId="77777777" w:rsidR="00CC29FD" w:rsidRPr="00E231F4" w:rsidRDefault="00CC29FD" w:rsidP="002444B3">
      <w:pPr>
        <w:suppressLineNumbers/>
        <w:jc w:val="center"/>
        <w:rPr>
          <w:rFonts w:ascii="Book Antiqua" w:hAnsi="Book Antiqua"/>
          <w:color w:val="000000"/>
          <w:sz w:val="28"/>
          <w:szCs w:val="28"/>
          <w:lang w:val="es-PR"/>
        </w:rPr>
      </w:pPr>
      <w:r w:rsidRPr="00E231F4">
        <w:rPr>
          <w:rFonts w:ascii="Book Antiqua" w:hAnsi="Book Antiqua"/>
          <w:color w:val="000000"/>
          <w:sz w:val="28"/>
          <w:szCs w:val="28"/>
          <w:lang w:val="es-PR"/>
        </w:rPr>
        <w:t>GOBIERNO DE PUERTO RICO</w:t>
      </w:r>
    </w:p>
    <w:p w14:paraId="42ECA65A" w14:textId="77777777" w:rsidR="00CC29FD" w:rsidRPr="002444B3" w:rsidRDefault="00CC29FD" w:rsidP="002444B3">
      <w:pPr>
        <w:suppressLineNumbers/>
        <w:jc w:val="center"/>
        <w:rPr>
          <w:rFonts w:ascii="Book Antiqua" w:hAnsi="Book Antiqua"/>
          <w:color w:val="000000"/>
          <w:szCs w:val="24"/>
          <w:lang w:val="es-PR"/>
        </w:rPr>
      </w:pPr>
    </w:p>
    <w:p w14:paraId="0BB6A0B7" w14:textId="60506AA4" w:rsidR="00CC29FD" w:rsidRPr="00E231F4" w:rsidRDefault="00CC29FD" w:rsidP="002444B3">
      <w:pPr>
        <w:pStyle w:val="Title2"/>
        <w:suppressLineNumbers/>
        <w:rPr>
          <w:rFonts w:ascii="Book Antiqua" w:hAnsi="Book Antiqua"/>
          <w:color w:val="000000"/>
          <w:lang w:val="es-PR"/>
        </w:rPr>
      </w:pPr>
      <w:r w:rsidRPr="00E231F4">
        <w:rPr>
          <w:rFonts w:ascii="Book Antiqua" w:hAnsi="Book Antiqua"/>
          <w:color w:val="000000"/>
          <w:lang w:val="es-PR"/>
        </w:rPr>
        <w:t xml:space="preserve">20 </w:t>
      </w:r>
      <w:r w:rsidRPr="00E231F4">
        <w:rPr>
          <w:rFonts w:ascii="Book Antiqua" w:hAnsi="Book Antiqua"/>
          <w:color w:val="000000"/>
          <w:vertAlign w:val="superscript"/>
          <w:lang w:val="es-PR"/>
        </w:rPr>
        <w:t>ma.</w:t>
      </w:r>
      <w:r w:rsidRPr="00E231F4">
        <w:rPr>
          <w:rFonts w:ascii="Book Antiqua" w:hAnsi="Book Antiqua"/>
          <w:lang w:val="es-PR"/>
        </w:rPr>
        <w:tab/>
      </w:r>
      <w:r w:rsidRPr="00E231F4">
        <w:rPr>
          <w:rFonts w:ascii="Book Antiqua" w:hAnsi="Book Antiqua"/>
          <w:color w:val="000000"/>
          <w:lang w:val="es-PR"/>
        </w:rPr>
        <w:t>Asamblea</w:t>
      </w:r>
      <w:r w:rsidRPr="00E231F4">
        <w:rPr>
          <w:rFonts w:ascii="Book Antiqua" w:hAnsi="Book Antiqua"/>
          <w:lang w:val="es-PR"/>
        </w:rPr>
        <w:tab/>
      </w:r>
      <w:r w:rsidR="007029CB">
        <w:rPr>
          <w:rFonts w:ascii="Book Antiqua" w:hAnsi="Book Antiqua"/>
          <w:color w:val="000000"/>
          <w:lang w:val="es-PR"/>
        </w:rPr>
        <w:t>2</w:t>
      </w:r>
      <w:r w:rsidRPr="00E231F4">
        <w:rPr>
          <w:rFonts w:ascii="Book Antiqua" w:hAnsi="Book Antiqua"/>
          <w:color w:val="000000"/>
          <w:lang w:val="es-PR"/>
        </w:rPr>
        <w:t xml:space="preserve"> </w:t>
      </w:r>
      <w:r w:rsidR="00907AB7">
        <w:rPr>
          <w:rFonts w:ascii="Book Antiqua" w:hAnsi="Book Antiqua"/>
          <w:color w:val="000000"/>
          <w:vertAlign w:val="superscript"/>
          <w:lang w:val="es-PR"/>
        </w:rPr>
        <w:t>d</w:t>
      </w:r>
      <w:r w:rsidRPr="00E231F4">
        <w:rPr>
          <w:rFonts w:ascii="Book Antiqua" w:hAnsi="Book Antiqua"/>
          <w:color w:val="000000"/>
          <w:vertAlign w:val="superscript"/>
          <w:lang w:val="es-PR"/>
        </w:rPr>
        <w:t>a.</w:t>
      </w:r>
      <w:r w:rsidRPr="00E231F4">
        <w:rPr>
          <w:rFonts w:ascii="Book Antiqua" w:hAnsi="Book Antiqua"/>
          <w:lang w:val="es-PR"/>
        </w:rPr>
        <w:tab/>
      </w:r>
      <w:r w:rsidRPr="00E231F4">
        <w:rPr>
          <w:rFonts w:ascii="Book Antiqua" w:hAnsi="Book Antiqua"/>
          <w:color w:val="000000"/>
          <w:lang w:val="es-PR"/>
        </w:rPr>
        <w:t>Sesión</w:t>
      </w:r>
    </w:p>
    <w:p w14:paraId="78405409" w14:textId="77777777" w:rsidR="00CC29FD" w:rsidRPr="00E231F4" w:rsidRDefault="00CC29FD" w:rsidP="002444B3">
      <w:pPr>
        <w:pStyle w:val="Title2"/>
        <w:suppressLineNumbers/>
        <w:rPr>
          <w:rFonts w:ascii="Book Antiqua" w:hAnsi="Book Antiqua"/>
          <w:color w:val="000000"/>
          <w:lang w:val="es-PR"/>
        </w:rPr>
      </w:pPr>
      <w:r w:rsidRPr="00E231F4">
        <w:rPr>
          <w:rFonts w:ascii="Book Antiqua" w:hAnsi="Book Antiqua"/>
          <w:lang w:val="es-PR"/>
        </w:rPr>
        <w:tab/>
      </w:r>
      <w:r w:rsidRPr="00E231F4">
        <w:rPr>
          <w:rFonts w:ascii="Book Antiqua" w:hAnsi="Book Antiqua"/>
          <w:color w:val="000000"/>
          <w:lang w:val="es-PR"/>
        </w:rPr>
        <w:t>Legislativa</w:t>
      </w:r>
      <w:r w:rsidRPr="00E231F4">
        <w:rPr>
          <w:rFonts w:ascii="Book Antiqua" w:hAnsi="Book Antiqua"/>
          <w:lang w:val="es-PR"/>
        </w:rPr>
        <w:tab/>
      </w:r>
      <w:r w:rsidRPr="00E231F4">
        <w:rPr>
          <w:rFonts w:ascii="Book Antiqua" w:hAnsi="Book Antiqua"/>
          <w:lang w:val="es-PR"/>
        </w:rPr>
        <w:tab/>
      </w:r>
      <w:r w:rsidRPr="00E231F4">
        <w:rPr>
          <w:rFonts w:ascii="Book Antiqua" w:hAnsi="Book Antiqua"/>
          <w:color w:val="000000"/>
          <w:lang w:val="es-PR"/>
        </w:rPr>
        <w:t>Ordinaria</w:t>
      </w:r>
    </w:p>
    <w:p w14:paraId="56E4C904" w14:textId="77777777" w:rsidR="00CC29FD" w:rsidRPr="00E231F4" w:rsidRDefault="00CC29FD" w:rsidP="002444B3">
      <w:pPr>
        <w:rPr>
          <w:rFonts w:ascii="Book Antiqua" w:hAnsi="Book Antiqua"/>
          <w:lang w:val="es-PR"/>
        </w:rPr>
      </w:pPr>
    </w:p>
    <w:p w14:paraId="22008016" w14:textId="77777777" w:rsidR="00CC29FD" w:rsidRPr="00E231F4" w:rsidRDefault="00CC29FD" w:rsidP="002444B3">
      <w:pPr>
        <w:suppressLineNumbers/>
        <w:jc w:val="center"/>
        <w:rPr>
          <w:rFonts w:ascii="Book Antiqua" w:hAnsi="Book Antiqua"/>
          <w:b/>
          <w:bCs/>
          <w:color w:val="000000"/>
          <w:sz w:val="36"/>
          <w:szCs w:val="36"/>
          <w:lang w:val="es-PR"/>
        </w:rPr>
      </w:pPr>
      <w:r w:rsidRPr="00E231F4">
        <w:rPr>
          <w:rFonts w:ascii="Book Antiqua" w:hAnsi="Book Antiqua"/>
          <w:b/>
          <w:bCs/>
          <w:color w:val="000000"/>
          <w:sz w:val="36"/>
          <w:szCs w:val="36"/>
          <w:lang w:val="es-PR"/>
        </w:rPr>
        <w:t>CÁMARA DE REPRESENTANTES</w:t>
      </w:r>
    </w:p>
    <w:p w14:paraId="083E9979" w14:textId="77777777" w:rsidR="00CC29FD" w:rsidRPr="00E231F4" w:rsidRDefault="00CC29FD" w:rsidP="002444B3">
      <w:pPr>
        <w:suppressLineNumbers/>
        <w:jc w:val="center"/>
        <w:rPr>
          <w:rFonts w:ascii="Book Antiqua" w:hAnsi="Book Antiqua"/>
          <w:b/>
          <w:bCs/>
          <w:color w:val="000000"/>
          <w:szCs w:val="24"/>
          <w:lang w:val="es-PR"/>
        </w:rPr>
      </w:pPr>
    </w:p>
    <w:p w14:paraId="64926363" w14:textId="1402B406" w:rsidR="00CC29FD" w:rsidRPr="00E231F4" w:rsidRDefault="00CC29FD" w:rsidP="002444B3">
      <w:pPr>
        <w:suppressLineNumbers/>
        <w:jc w:val="center"/>
        <w:rPr>
          <w:rFonts w:ascii="Book Antiqua" w:hAnsi="Book Antiqua"/>
          <w:b/>
          <w:bCs/>
          <w:color w:val="000000"/>
          <w:sz w:val="52"/>
          <w:szCs w:val="52"/>
          <w:lang w:val="es-PR"/>
        </w:rPr>
      </w:pPr>
      <w:r w:rsidRPr="00E231F4">
        <w:rPr>
          <w:rFonts w:ascii="Book Antiqua" w:hAnsi="Book Antiqua"/>
          <w:b/>
          <w:bCs/>
          <w:color w:val="000000"/>
          <w:sz w:val="52"/>
          <w:szCs w:val="52"/>
          <w:lang w:val="es-PR"/>
        </w:rPr>
        <w:t xml:space="preserve">P. de la C. </w:t>
      </w:r>
      <w:r w:rsidR="009A46B2">
        <w:rPr>
          <w:rFonts w:ascii="Book Antiqua" w:hAnsi="Book Antiqua"/>
          <w:b/>
          <w:bCs/>
          <w:color w:val="000000"/>
          <w:sz w:val="52"/>
          <w:szCs w:val="52"/>
          <w:lang w:val="es-PR"/>
        </w:rPr>
        <w:t xml:space="preserve"> 807</w:t>
      </w:r>
    </w:p>
    <w:p w14:paraId="5EFBC227" w14:textId="77777777" w:rsidR="00CC29FD" w:rsidRPr="00E231F4" w:rsidRDefault="00CC29FD" w:rsidP="002444B3">
      <w:pPr>
        <w:suppressLineNumbers/>
        <w:jc w:val="center"/>
        <w:rPr>
          <w:rFonts w:ascii="Book Antiqua" w:hAnsi="Book Antiqua"/>
          <w:b/>
          <w:bCs/>
          <w:color w:val="000000"/>
          <w:szCs w:val="24"/>
          <w:lang w:val="es-PR"/>
        </w:rPr>
      </w:pPr>
    </w:p>
    <w:p w14:paraId="67A794B5" w14:textId="6B1B5FE7" w:rsidR="00CC29FD" w:rsidRPr="00E231F4" w:rsidRDefault="009A46B2" w:rsidP="002444B3">
      <w:pPr>
        <w:suppressLineNumbers/>
        <w:jc w:val="center"/>
        <w:rPr>
          <w:rFonts w:ascii="Book Antiqua" w:hAnsi="Book Antiqua"/>
          <w:color w:val="000000"/>
          <w:lang w:val="es-PR"/>
        </w:rPr>
      </w:pPr>
      <w:r>
        <w:rPr>
          <w:rFonts w:ascii="Book Antiqua" w:hAnsi="Book Antiqua"/>
          <w:color w:val="000000"/>
          <w:lang w:val="es-PR"/>
        </w:rPr>
        <w:t>21</w:t>
      </w:r>
      <w:r w:rsidR="0008430E" w:rsidRPr="00E231F4">
        <w:rPr>
          <w:rFonts w:ascii="Book Antiqua" w:hAnsi="Book Antiqua"/>
          <w:color w:val="000000"/>
          <w:lang w:val="es-PR"/>
        </w:rPr>
        <w:t xml:space="preserve"> DE </w:t>
      </w:r>
      <w:r w:rsidR="00907AB7">
        <w:rPr>
          <w:rFonts w:ascii="Book Antiqua" w:hAnsi="Book Antiqua"/>
          <w:color w:val="000000"/>
          <w:lang w:val="es-PR"/>
        </w:rPr>
        <w:t>AGOSTO</w:t>
      </w:r>
      <w:r w:rsidR="0008430E" w:rsidRPr="00E231F4">
        <w:rPr>
          <w:rFonts w:ascii="Book Antiqua" w:hAnsi="Book Antiqua"/>
          <w:color w:val="000000"/>
          <w:lang w:val="es-PR"/>
        </w:rPr>
        <w:t xml:space="preserve"> DE 2025</w:t>
      </w:r>
    </w:p>
    <w:p w14:paraId="434AD806" w14:textId="77777777" w:rsidR="0008430E" w:rsidRPr="00E231F4" w:rsidRDefault="0008430E" w:rsidP="002444B3">
      <w:pPr>
        <w:suppressLineNumbers/>
        <w:jc w:val="center"/>
        <w:rPr>
          <w:rFonts w:ascii="Book Antiqua" w:hAnsi="Book Antiqua"/>
          <w:color w:val="000000"/>
          <w:lang w:val="es-PR"/>
        </w:rPr>
      </w:pPr>
    </w:p>
    <w:p w14:paraId="5F32E259" w14:textId="6EDB97BF" w:rsidR="00CC29FD" w:rsidRPr="00E231F4" w:rsidRDefault="00CC29FD" w:rsidP="002444B3">
      <w:pPr>
        <w:suppressLineNumbers/>
        <w:ind w:left="720" w:hanging="720"/>
        <w:jc w:val="center"/>
        <w:rPr>
          <w:rFonts w:ascii="Book Antiqua" w:hAnsi="Book Antiqua"/>
          <w:i/>
          <w:iCs/>
          <w:color w:val="000000"/>
          <w:szCs w:val="24"/>
          <w:lang w:val="es-PR"/>
        </w:rPr>
      </w:pPr>
      <w:r w:rsidRPr="00E231F4">
        <w:rPr>
          <w:rFonts w:ascii="Book Antiqua" w:hAnsi="Book Antiqua"/>
          <w:color w:val="000000"/>
          <w:szCs w:val="24"/>
          <w:lang w:val="es-PR"/>
        </w:rPr>
        <w:t xml:space="preserve">Presentado por el representante </w:t>
      </w:r>
      <w:r w:rsidRPr="00E231F4">
        <w:rPr>
          <w:rFonts w:ascii="Book Antiqua" w:hAnsi="Book Antiqua"/>
          <w:i/>
          <w:iCs/>
          <w:color w:val="000000"/>
          <w:szCs w:val="24"/>
          <w:lang w:val="es-PR"/>
        </w:rPr>
        <w:t>Rodríguez Torres</w:t>
      </w:r>
    </w:p>
    <w:p w14:paraId="6D779CFC" w14:textId="77777777" w:rsidR="005B6234" w:rsidRPr="00E231F4" w:rsidRDefault="005B6234" w:rsidP="002444B3">
      <w:pPr>
        <w:suppressLineNumbers/>
        <w:ind w:left="720" w:hanging="720"/>
        <w:jc w:val="center"/>
        <w:rPr>
          <w:rFonts w:ascii="Book Antiqua" w:hAnsi="Book Antiqua"/>
          <w:color w:val="000000"/>
          <w:szCs w:val="24"/>
          <w:lang w:val="es-PR"/>
        </w:rPr>
      </w:pPr>
    </w:p>
    <w:p w14:paraId="23EC18A5" w14:textId="0F89DD75" w:rsidR="005B6234" w:rsidRPr="00E231F4" w:rsidRDefault="005B6234" w:rsidP="002444B3">
      <w:pPr>
        <w:suppressLineNumbers/>
        <w:ind w:left="720" w:hanging="720"/>
        <w:jc w:val="center"/>
        <w:rPr>
          <w:rFonts w:ascii="Book Antiqua" w:hAnsi="Book Antiqua"/>
          <w:lang w:val="es-PR"/>
        </w:rPr>
      </w:pPr>
      <w:r w:rsidRPr="00E231F4">
        <w:rPr>
          <w:rFonts w:ascii="Book Antiqua" w:hAnsi="Book Antiqua"/>
          <w:color w:val="000000"/>
          <w:szCs w:val="24"/>
          <w:lang w:val="es-PR"/>
        </w:rPr>
        <w:t>Referido a la Comisión de</w:t>
      </w:r>
      <w:r w:rsidR="00CB2CEB">
        <w:rPr>
          <w:rFonts w:ascii="Book Antiqua" w:hAnsi="Book Antiqua"/>
          <w:color w:val="000000"/>
          <w:szCs w:val="24"/>
          <w:lang w:val="es-PR"/>
        </w:rPr>
        <w:t xml:space="preserve"> lo Jurídico</w:t>
      </w:r>
    </w:p>
    <w:p w14:paraId="63A0AA60" w14:textId="77777777" w:rsidR="00A51E6A" w:rsidRPr="00E231F4" w:rsidRDefault="00A51E6A" w:rsidP="002444B3">
      <w:pPr>
        <w:jc w:val="both"/>
        <w:rPr>
          <w:rFonts w:ascii="Book Antiqua" w:hAnsi="Book Antiqua"/>
          <w:lang w:val="es-ES"/>
        </w:rPr>
      </w:pPr>
    </w:p>
    <w:p w14:paraId="25B50B01" w14:textId="1095DE7B" w:rsidR="00A51E6A" w:rsidRPr="00E231F4" w:rsidRDefault="00A51E6A" w:rsidP="002444B3">
      <w:pPr>
        <w:jc w:val="center"/>
        <w:rPr>
          <w:rFonts w:ascii="Book Antiqua" w:hAnsi="Book Antiqua"/>
          <w:b/>
          <w:sz w:val="28"/>
          <w:lang w:val="es-ES"/>
        </w:rPr>
      </w:pPr>
      <w:r w:rsidRPr="00E231F4">
        <w:rPr>
          <w:rFonts w:ascii="Book Antiqua" w:hAnsi="Book Antiqua"/>
          <w:b/>
          <w:sz w:val="28"/>
          <w:lang w:val="es-ES"/>
        </w:rPr>
        <w:t>LEY</w:t>
      </w:r>
    </w:p>
    <w:p w14:paraId="6084BBDF" w14:textId="77777777" w:rsidR="00A51E6A" w:rsidRPr="00E231F4" w:rsidRDefault="00A51E6A" w:rsidP="002444B3">
      <w:pPr>
        <w:jc w:val="center"/>
        <w:rPr>
          <w:rFonts w:ascii="Book Antiqua" w:hAnsi="Book Antiqua"/>
          <w:b/>
          <w:sz w:val="28"/>
          <w:lang w:val="es-ES"/>
        </w:rPr>
      </w:pPr>
    </w:p>
    <w:p w14:paraId="3A88C7AA" w14:textId="59C1C147" w:rsidR="00BB11DD" w:rsidRPr="00E231F4" w:rsidRDefault="004A45CC" w:rsidP="002444B3">
      <w:pPr>
        <w:ind w:left="720" w:hanging="720"/>
        <w:jc w:val="both"/>
        <w:rPr>
          <w:rFonts w:ascii="Book Antiqua" w:hAnsi="Book Antiqua"/>
          <w:lang w:val="es-PR"/>
        </w:rPr>
      </w:pPr>
      <w:r w:rsidRPr="004A45CC">
        <w:rPr>
          <w:rFonts w:ascii="Book Antiqua" w:hAnsi="Book Antiqua"/>
          <w:lang w:val="es-ES_tradnl"/>
        </w:rPr>
        <w:t>Para derogar el Artículo 4-A de la Ley Núm. 88-1986, según enmendada, conocida como ‘Ley de Menores’, a los fines de eliminar el requisito de agotamiento de remedios administrativos en los casos de faltas ocurridas en planteles escolares, y para otros fines relacionados.</w:t>
      </w:r>
    </w:p>
    <w:p w14:paraId="0040D210" w14:textId="77777777" w:rsidR="00846BCC" w:rsidRPr="00E231F4" w:rsidRDefault="00846BCC" w:rsidP="002444B3">
      <w:pPr>
        <w:ind w:left="720" w:hanging="720"/>
        <w:jc w:val="both"/>
        <w:rPr>
          <w:rFonts w:ascii="Book Antiqua" w:hAnsi="Book Antiqua"/>
          <w:lang w:val="es-ES"/>
        </w:rPr>
      </w:pPr>
    </w:p>
    <w:p w14:paraId="31B71EAD" w14:textId="77777777" w:rsidR="009B7621" w:rsidRPr="00E231F4" w:rsidRDefault="009B7621" w:rsidP="002444B3">
      <w:pPr>
        <w:jc w:val="center"/>
        <w:rPr>
          <w:rFonts w:ascii="Book Antiqua" w:hAnsi="Book Antiqua"/>
          <w:szCs w:val="24"/>
          <w:lang w:val="es-ES"/>
        </w:rPr>
      </w:pPr>
      <w:r w:rsidRPr="00E231F4">
        <w:rPr>
          <w:rFonts w:ascii="Book Antiqua" w:hAnsi="Book Antiqua"/>
          <w:szCs w:val="24"/>
          <w:lang w:val="es-ES"/>
        </w:rPr>
        <w:t>EXPOSICI</w:t>
      </w:r>
      <w:r w:rsidR="004C5C04" w:rsidRPr="00E231F4">
        <w:rPr>
          <w:rFonts w:ascii="Book Antiqua" w:hAnsi="Book Antiqua"/>
          <w:szCs w:val="24"/>
          <w:lang w:val="es-ES"/>
        </w:rPr>
        <w:t>Ó</w:t>
      </w:r>
      <w:r w:rsidRPr="00E231F4">
        <w:rPr>
          <w:rFonts w:ascii="Book Antiqua" w:hAnsi="Book Antiqua"/>
          <w:szCs w:val="24"/>
          <w:lang w:val="es-ES"/>
        </w:rPr>
        <w:t>N DE MOTIVOS</w:t>
      </w:r>
    </w:p>
    <w:p w14:paraId="51C76F0D" w14:textId="77777777" w:rsidR="00846BCC" w:rsidRPr="00E231F4" w:rsidRDefault="00846BCC" w:rsidP="002444B3">
      <w:pPr>
        <w:ind w:firstLine="360"/>
        <w:jc w:val="center"/>
        <w:rPr>
          <w:rFonts w:ascii="Book Antiqua" w:hAnsi="Book Antiqua"/>
          <w:szCs w:val="24"/>
          <w:lang w:val="es-ES"/>
        </w:rPr>
      </w:pPr>
    </w:p>
    <w:p w14:paraId="3B93C1D3" w14:textId="77777777" w:rsidR="009C5037" w:rsidRDefault="009C5037" w:rsidP="002444B3">
      <w:pPr>
        <w:ind w:firstLine="720"/>
        <w:jc w:val="both"/>
        <w:rPr>
          <w:rFonts w:ascii="Book Antiqua" w:hAnsi="Book Antiqua"/>
          <w:szCs w:val="24"/>
          <w:lang w:val="es-PR"/>
        </w:rPr>
      </w:pPr>
      <w:r w:rsidRPr="009C5037">
        <w:rPr>
          <w:rFonts w:ascii="Book Antiqua" w:hAnsi="Book Antiqua"/>
          <w:szCs w:val="24"/>
          <w:lang w:val="es-PR"/>
        </w:rPr>
        <w:t xml:space="preserve">La </w:t>
      </w:r>
      <w:r w:rsidRPr="009C5037">
        <w:rPr>
          <w:rFonts w:ascii="Book Antiqua" w:hAnsi="Book Antiqua"/>
          <w:b/>
          <w:bCs/>
          <w:szCs w:val="24"/>
          <w:lang w:val="es-PR"/>
        </w:rPr>
        <w:t>Ley de Menores de Puerto Rico</w:t>
      </w:r>
      <w:r w:rsidRPr="009C5037">
        <w:rPr>
          <w:rFonts w:ascii="Book Antiqua" w:hAnsi="Book Antiqua"/>
          <w:szCs w:val="24"/>
          <w:lang w:val="es-PR"/>
        </w:rPr>
        <w:t xml:space="preserve"> persigue como fin primordial atender de manera justa, ágil y adecuada a los menores que incurren en conductas tipificadas como faltas, procurando siempre su rehabilitación y el acceso a los servicios que contribuyan a su bienestar y reintegración social. La política pública que la inspira se centra en lograr un balance entre la protección de la sociedad, la rehabilitación del menor y la salvaguarda de sus derechos constitucionales.</w:t>
      </w:r>
    </w:p>
    <w:p w14:paraId="3BADE520" w14:textId="77777777" w:rsidR="002444B3" w:rsidRPr="009C5037" w:rsidRDefault="002444B3" w:rsidP="002444B3">
      <w:pPr>
        <w:ind w:firstLine="720"/>
        <w:jc w:val="both"/>
        <w:rPr>
          <w:rFonts w:ascii="Book Antiqua" w:hAnsi="Book Antiqua"/>
          <w:szCs w:val="24"/>
          <w:lang w:val="es-PR"/>
        </w:rPr>
      </w:pPr>
    </w:p>
    <w:p w14:paraId="2E7F9B30" w14:textId="77777777" w:rsidR="009C5037" w:rsidRDefault="009C5037" w:rsidP="002444B3">
      <w:pPr>
        <w:ind w:firstLine="720"/>
        <w:jc w:val="both"/>
        <w:rPr>
          <w:rFonts w:ascii="Book Antiqua" w:hAnsi="Book Antiqua"/>
          <w:szCs w:val="24"/>
          <w:lang w:val="es-PR"/>
        </w:rPr>
      </w:pPr>
      <w:r w:rsidRPr="009C5037">
        <w:rPr>
          <w:rFonts w:ascii="Book Antiqua" w:hAnsi="Book Antiqua"/>
          <w:szCs w:val="24"/>
          <w:lang w:val="es-PR"/>
        </w:rPr>
        <w:t xml:space="preserve">No obstante, en el 2022, mediante la aprobación de la </w:t>
      </w:r>
      <w:r w:rsidRPr="009C5037">
        <w:rPr>
          <w:rFonts w:ascii="Book Antiqua" w:hAnsi="Book Antiqua"/>
          <w:b/>
          <w:bCs/>
          <w:szCs w:val="24"/>
          <w:lang w:val="es-PR"/>
        </w:rPr>
        <w:t>Ley Núm. 47-2022</w:t>
      </w:r>
      <w:r w:rsidRPr="009C5037">
        <w:rPr>
          <w:rFonts w:ascii="Book Antiqua" w:hAnsi="Book Antiqua"/>
          <w:szCs w:val="24"/>
          <w:lang w:val="es-PR"/>
        </w:rPr>
        <w:t>, se enmendó la Ley de Menores para requerir que, previo a la radicación de querellas por faltas cometidas en el contexto escolar, deban agotarse los remedios y procesos administrativos disponibles en el plantel educativo. Tal requisito se fundamentó en la aspiración de fomentar la resolución de conflictos dentro del propio sistema escolar, reducir la criminalización de estudiantes y promover mecanismos alternos de disciplina.</w:t>
      </w:r>
    </w:p>
    <w:p w14:paraId="183C7EF4" w14:textId="77777777" w:rsidR="002444B3" w:rsidRPr="009C5037" w:rsidRDefault="002444B3" w:rsidP="002444B3">
      <w:pPr>
        <w:ind w:firstLine="720"/>
        <w:jc w:val="both"/>
        <w:rPr>
          <w:rFonts w:ascii="Book Antiqua" w:hAnsi="Book Antiqua"/>
          <w:szCs w:val="24"/>
          <w:lang w:val="es-PR"/>
        </w:rPr>
      </w:pPr>
    </w:p>
    <w:p w14:paraId="70714A9D" w14:textId="77777777" w:rsidR="009C5037" w:rsidRDefault="009C5037" w:rsidP="002444B3">
      <w:pPr>
        <w:ind w:firstLine="720"/>
        <w:jc w:val="both"/>
        <w:rPr>
          <w:rFonts w:ascii="Book Antiqua" w:hAnsi="Book Antiqua"/>
          <w:szCs w:val="24"/>
          <w:lang w:val="es-PR"/>
        </w:rPr>
      </w:pPr>
      <w:r w:rsidRPr="009C5037">
        <w:rPr>
          <w:rFonts w:ascii="Book Antiqua" w:hAnsi="Book Antiqua"/>
          <w:szCs w:val="24"/>
          <w:lang w:val="es-PR"/>
        </w:rPr>
        <w:t xml:space="preserve">Aunque bien intencionado, este requisito se ha demostrado </w:t>
      </w:r>
      <w:r w:rsidRPr="009C5037">
        <w:rPr>
          <w:rFonts w:ascii="Book Antiqua" w:hAnsi="Book Antiqua"/>
          <w:b/>
          <w:bCs/>
          <w:szCs w:val="24"/>
          <w:lang w:val="es-PR"/>
        </w:rPr>
        <w:t>oneroso, estricto y poco práctico</w:t>
      </w:r>
      <w:r w:rsidRPr="009C5037">
        <w:rPr>
          <w:rFonts w:ascii="Book Antiqua" w:hAnsi="Book Antiqua"/>
          <w:szCs w:val="24"/>
          <w:lang w:val="es-PR"/>
        </w:rPr>
        <w:t xml:space="preserve">. El agotamiento de remedios administrativos exige la celebración de vistas, la presentación de testigos y la tramitación de un procedimiento </w:t>
      </w:r>
      <w:proofErr w:type="spellStart"/>
      <w:r w:rsidRPr="009C5037">
        <w:rPr>
          <w:rFonts w:ascii="Book Antiqua" w:hAnsi="Book Antiqua"/>
          <w:szCs w:val="24"/>
          <w:lang w:val="es-PR"/>
        </w:rPr>
        <w:t>cuasi</w:t>
      </w:r>
      <w:r w:rsidRPr="009C5037">
        <w:rPr>
          <w:rFonts w:ascii="Book Antiqua" w:hAnsi="Book Antiqua"/>
          <w:szCs w:val="24"/>
          <w:lang w:val="es-PR"/>
        </w:rPr>
        <w:noBreakHyphen/>
        <w:t>judicial</w:t>
      </w:r>
      <w:proofErr w:type="spellEnd"/>
      <w:r w:rsidRPr="009C5037">
        <w:rPr>
          <w:rFonts w:ascii="Book Antiqua" w:hAnsi="Book Antiqua"/>
          <w:szCs w:val="24"/>
          <w:lang w:val="es-PR"/>
        </w:rPr>
        <w:t xml:space="preserve"> en el </w:t>
      </w:r>
      <w:r w:rsidRPr="009C5037">
        <w:rPr>
          <w:rFonts w:ascii="Book Antiqua" w:hAnsi="Book Antiqua"/>
          <w:szCs w:val="24"/>
          <w:lang w:val="es-PR"/>
        </w:rPr>
        <w:lastRenderedPageBreak/>
        <w:t xml:space="preserve">ámbito escolar. En la práctica, ello convierte a los planteles en </w:t>
      </w:r>
      <w:proofErr w:type="spellStart"/>
      <w:r w:rsidRPr="009C5037">
        <w:rPr>
          <w:rFonts w:ascii="Book Antiqua" w:hAnsi="Book Antiqua"/>
          <w:szCs w:val="24"/>
          <w:lang w:val="es-PR"/>
        </w:rPr>
        <w:t>mini</w:t>
      </w:r>
      <w:r w:rsidRPr="009C5037">
        <w:rPr>
          <w:rFonts w:ascii="Book Antiqua" w:hAnsi="Book Antiqua"/>
          <w:szCs w:val="24"/>
          <w:lang w:val="es-PR"/>
        </w:rPr>
        <w:noBreakHyphen/>
        <w:t>tribunales</w:t>
      </w:r>
      <w:proofErr w:type="spellEnd"/>
      <w:r w:rsidRPr="009C5037">
        <w:rPr>
          <w:rFonts w:ascii="Book Antiqua" w:hAnsi="Book Antiqua"/>
          <w:szCs w:val="24"/>
          <w:lang w:val="es-PR"/>
        </w:rPr>
        <w:t xml:space="preserve">, desviando a las escuelas de su misión principal: </w:t>
      </w:r>
      <w:r w:rsidRPr="009C5037">
        <w:rPr>
          <w:rFonts w:ascii="Book Antiqua" w:hAnsi="Book Antiqua"/>
          <w:b/>
          <w:bCs/>
          <w:szCs w:val="24"/>
          <w:lang w:val="es-PR"/>
        </w:rPr>
        <w:t>proveer educación de calidad a los estudiantes</w:t>
      </w:r>
      <w:r w:rsidRPr="009C5037">
        <w:rPr>
          <w:rFonts w:ascii="Book Antiqua" w:hAnsi="Book Antiqua"/>
          <w:szCs w:val="24"/>
          <w:lang w:val="es-PR"/>
        </w:rPr>
        <w:t>.</w:t>
      </w:r>
    </w:p>
    <w:p w14:paraId="78151A6C" w14:textId="77777777" w:rsidR="002444B3" w:rsidRPr="009C5037" w:rsidRDefault="002444B3" w:rsidP="002444B3">
      <w:pPr>
        <w:ind w:firstLine="720"/>
        <w:jc w:val="both"/>
        <w:rPr>
          <w:rFonts w:ascii="Book Antiqua" w:hAnsi="Book Antiqua"/>
          <w:szCs w:val="24"/>
          <w:lang w:val="es-PR"/>
        </w:rPr>
      </w:pPr>
    </w:p>
    <w:p w14:paraId="4548627E" w14:textId="77777777" w:rsidR="009C5037" w:rsidRDefault="009C5037" w:rsidP="002444B3">
      <w:pPr>
        <w:ind w:firstLine="720"/>
        <w:jc w:val="both"/>
        <w:rPr>
          <w:rFonts w:ascii="Book Antiqua" w:hAnsi="Book Antiqua"/>
          <w:szCs w:val="24"/>
          <w:lang w:val="es-PR"/>
        </w:rPr>
      </w:pPr>
      <w:r w:rsidRPr="009C5037">
        <w:rPr>
          <w:rFonts w:ascii="Book Antiqua" w:hAnsi="Book Antiqua"/>
          <w:szCs w:val="24"/>
          <w:lang w:val="es-PR"/>
        </w:rPr>
        <w:t xml:space="preserve">Debe resaltarse que </w:t>
      </w:r>
      <w:r w:rsidRPr="009C5037">
        <w:rPr>
          <w:rFonts w:ascii="Book Antiqua" w:hAnsi="Book Antiqua"/>
          <w:b/>
          <w:bCs/>
          <w:szCs w:val="24"/>
          <w:lang w:val="es-PR"/>
        </w:rPr>
        <w:t>directores escolares y trabajadores sociales carecen de la pericia legal</w:t>
      </w:r>
      <w:r w:rsidRPr="009C5037">
        <w:rPr>
          <w:rFonts w:ascii="Book Antiqua" w:hAnsi="Book Antiqua"/>
          <w:szCs w:val="24"/>
          <w:lang w:val="es-PR"/>
        </w:rPr>
        <w:t xml:space="preserve"> necesaria para conducir procedimientos de tal complejidad. Además, al requerir la intervención de la división legal del Departamento de Educación, se producen retrasos significativos en la atención de los casos. Esto priva a los menores de recibir con celeridad los servicios y apoyos que la Ley de Menores busca garantizar, ocasionando perjuicios tanto para el menor involucrado como para la comunidad escolar en su conjunto.</w:t>
      </w:r>
    </w:p>
    <w:p w14:paraId="0B94E186" w14:textId="77777777" w:rsidR="002444B3" w:rsidRPr="009C5037" w:rsidRDefault="002444B3" w:rsidP="002444B3">
      <w:pPr>
        <w:ind w:firstLine="720"/>
        <w:jc w:val="both"/>
        <w:rPr>
          <w:rFonts w:ascii="Book Antiqua" w:hAnsi="Book Antiqua"/>
          <w:szCs w:val="24"/>
          <w:lang w:val="es-PR"/>
        </w:rPr>
      </w:pPr>
    </w:p>
    <w:p w14:paraId="04F7668D" w14:textId="77777777" w:rsidR="009C5037" w:rsidRDefault="009C5037" w:rsidP="002444B3">
      <w:pPr>
        <w:ind w:firstLine="720"/>
        <w:jc w:val="both"/>
        <w:rPr>
          <w:rFonts w:ascii="Book Antiqua" w:hAnsi="Book Antiqua"/>
          <w:szCs w:val="24"/>
          <w:lang w:val="es-PR"/>
        </w:rPr>
      </w:pPr>
      <w:r w:rsidRPr="009C5037">
        <w:rPr>
          <w:rFonts w:ascii="Book Antiqua" w:hAnsi="Book Antiqua"/>
          <w:szCs w:val="24"/>
          <w:lang w:val="es-PR"/>
        </w:rPr>
        <w:t xml:space="preserve">La experiencia práctica ha demostrado que esta disposición, en lugar de facilitar la consecución de la política pública de rehabilitación y justicia, ha generado un efecto adverso: el agotamiento de remedios administrativos se ha convertido en un </w:t>
      </w:r>
      <w:r w:rsidRPr="009C5037">
        <w:rPr>
          <w:rFonts w:ascii="Book Antiqua" w:hAnsi="Book Antiqua"/>
          <w:b/>
          <w:bCs/>
          <w:szCs w:val="24"/>
          <w:lang w:val="es-PR"/>
        </w:rPr>
        <w:t>subterfugio de defensa procesal</w:t>
      </w:r>
      <w:r w:rsidRPr="009C5037">
        <w:rPr>
          <w:rFonts w:ascii="Book Antiqua" w:hAnsi="Book Antiqua"/>
          <w:szCs w:val="24"/>
          <w:lang w:val="es-PR"/>
        </w:rPr>
        <w:t xml:space="preserve"> para impedir la atención judicial de conductas que, por su gravedad, requieren intervención inmediata del Procurador de Asuntos de Menores.</w:t>
      </w:r>
    </w:p>
    <w:p w14:paraId="37D4DCDD" w14:textId="77777777" w:rsidR="002444B3" w:rsidRPr="009C5037" w:rsidRDefault="002444B3" w:rsidP="002444B3">
      <w:pPr>
        <w:ind w:firstLine="720"/>
        <w:jc w:val="both"/>
        <w:rPr>
          <w:rFonts w:ascii="Book Antiqua" w:hAnsi="Book Antiqua"/>
          <w:szCs w:val="24"/>
          <w:lang w:val="es-PR"/>
        </w:rPr>
      </w:pPr>
    </w:p>
    <w:p w14:paraId="2225DC7B" w14:textId="3F3080FC" w:rsidR="009C5037" w:rsidRPr="009C5037" w:rsidRDefault="009C5037" w:rsidP="002444B3">
      <w:pPr>
        <w:ind w:firstLine="720"/>
        <w:jc w:val="both"/>
        <w:rPr>
          <w:rFonts w:ascii="Book Antiqua" w:hAnsi="Book Antiqua"/>
          <w:szCs w:val="24"/>
          <w:lang w:val="es-PR"/>
        </w:rPr>
      </w:pPr>
      <w:r w:rsidRPr="009C5037">
        <w:rPr>
          <w:rFonts w:ascii="Book Antiqua" w:hAnsi="Book Antiqua"/>
          <w:szCs w:val="24"/>
          <w:lang w:val="es-PR"/>
        </w:rPr>
        <w:t xml:space="preserve">La trágica muerte de </w:t>
      </w:r>
      <w:r w:rsidRPr="009C5037">
        <w:rPr>
          <w:rFonts w:ascii="Book Antiqua" w:hAnsi="Book Antiqua"/>
          <w:b/>
          <w:bCs/>
          <w:szCs w:val="24"/>
          <w:lang w:val="es-PR"/>
        </w:rPr>
        <w:t xml:space="preserve">Gabriela Nicole </w:t>
      </w:r>
      <w:proofErr w:type="spellStart"/>
      <w:r w:rsidRPr="009C5037">
        <w:rPr>
          <w:rFonts w:ascii="Book Antiqua" w:hAnsi="Book Antiqua"/>
          <w:b/>
          <w:bCs/>
          <w:szCs w:val="24"/>
          <w:lang w:val="es-PR"/>
        </w:rPr>
        <w:t>Pratts</w:t>
      </w:r>
      <w:proofErr w:type="spellEnd"/>
      <w:r w:rsidRPr="009C5037">
        <w:rPr>
          <w:rFonts w:ascii="Book Antiqua" w:hAnsi="Book Antiqua"/>
          <w:b/>
          <w:bCs/>
          <w:szCs w:val="24"/>
          <w:lang w:val="es-PR"/>
        </w:rPr>
        <w:t xml:space="preserve"> Rosario</w:t>
      </w:r>
      <w:r w:rsidRPr="009C5037">
        <w:rPr>
          <w:rFonts w:ascii="Book Antiqua" w:hAnsi="Book Antiqua"/>
          <w:szCs w:val="24"/>
          <w:lang w:val="es-PR"/>
        </w:rPr>
        <w:t xml:space="preserve">, estudiante de la Escuela Superior Bonifacio Sánchez Jiménez en Aibonito, ocurrida en la madrugada del 11 de agosto de 2025 —justo antes del reinicio de clases—, expuso con crudeza la necesidad de intervenciones oportunas del Ministerio Público de Menores cuando surgen conductas potencialmente constitutivas de falta en el entorno escolar. Según se ha informado, Gabriela había sufrido un patrón de </w:t>
      </w:r>
      <w:r w:rsidRPr="009C5037">
        <w:rPr>
          <w:rFonts w:ascii="Book Antiqua" w:hAnsi="Book Antiqua"/>
          <w:b/>
          <w:bCs/>
          <w:szCs w:val="24"/>
          <w:lang w:val="es-PR"/>
        </w:rPr>
        <w:t>agresiones previas</w:t>
      </w:r>
      <w:r w:rsidRPr="009C5037">
        <w:rPr>
          <w:rFonts w:ascii="Book Antiqua" w:hAnsi="Book Antiqua"/>
          <w:szCs w:val="24"/>
          <w:lang w:val="es-PR"/>
        </w:rPr>
        <w:t xml:space="preserve"> de tal magnitud que motivaron su traslado desde la Escuela José N. Gándara. Lo cierto es que su fallecimiento, en el marco de una riña juvenil en la que también resultó herido un compañero, evidencia cómo la ausencia de intervención oportuna puede derivar en </w:t>
      </w:r>
      <w:r w:rsidRPr="009C5037">
        <w:rPr>
          <w:rFonts w:ascii="Book Antiqua" w:hAnsi="Book Antiqua"/>
          <w:b/>
          <w:bCs/>
          <w:szCs w:val="24"/>
          <w:lang w:val="es-PR"/>
        </w:rPr>
        <w:t>escaladas de violencia letal</w:t>
      </w:r>
      <w:r w:rsidRPr="009C5037">
        <w:rPr>
          <w:rFonts w:ascii="Book Antiqua" w:hAnsi="Book Antiqua"/>
          <w:szCs w:val="24"/>
          <w:lang w:val="es-PR"/>
        </w:rPr>
        <w:t>.</w:t>
      </w:r>
    </w:p>
    <w:p w14:paraId="3831FFF8" w14:textId="77777777" w:rsidR="002444B3" w:rsidRDefault="002444B3" w:rsidP="002444B3">
      <w:pPr>
        <w:ind w:firstLine="720"/>
        <w:jc w:val="both"/>
        <w:rPr>
          <w:rFonts w:ascii="Book Antiqua" w:hAnsi="Book Antiqua"/>
          <w:szCs w:val="24"/>
          <w:lang w:val="es-PR"/>
        </w:rPr>
      </w:pPr>
    </w:p>
    <w:p w14:paraId="7FAA5D7D" w14:textId="45C8820D" w:rsidR="009C5037" w:rsidRPr="009C5037" w:rsidRDefault="009C5037" w:rsidP="002444B3">
      <w:pPr>
        <w:ind w:firstLine="720"/>
        <w:jc w:val="both"/>
        <w:rPr>
          <w:rFonts w:ascii="Book Antiqua" w:hAnsi="Book Antiqua"/>
          <w:szCs w:val="24"/>
          <w:lang w:val="es-PR"/>
        </w:rPr>
      </w:pPr>
      <w:r w:rsidRPr="009C5037">
        <w:rPr>
          <w:rFonts w:ascii="Book Antiqua" w:hAnsi="Book Antiqua"/>
          <w:szCs w:val="24"/>
          <w:lang w:val="es-PR"/>
        </w:rPr>
        <w:t xml:space="preserve">Desafortunadamente, este caso no es un hecho aislado. La gravedad </w:t>
      </w:r>
      <w:r w:rsidR="009E0352">
        <w:rPr>
          <w:rFonts w:ascii="Book Antiqua" w:hAnsi="Book Antiqua"/>
          <w:szCs w:val="24"/>
          <w:lang w:val="es-PR"/>
        </w:rPr>
        <w:t>de la violencia juvenil</w:t>
      </w:r>
      <w:r w:rsidRPr="009C5037">
        <w:rPr>
          <w:rFonts w:ascii="Book Antiqua" w:hAnsi="Book Antiqua"/>
          <w:szCs w:val="24"/>
          <w:lang w:val="es-PR"/>
        </w:rPr>
        <w:t xml:space="preserve"> es tal que el Senado de Puerto Rico, mediante la </w:t>
      </w:r>
      <w:r w:rsidRPr="009C5037">
        <w:rPr>
          <w:rFonts w:ascii="Book Antiqua" w:hAnsi="Book Antiqua"/>
          <w:b/>
          <w:bCs/>
          <w:szCs w:val="24"/>
          <w:lang w:val="es-PR"/>
        </w:rPr>
        <w:t>Resolución del Senado 40 de 2025</w:t>
      </w:r>
      <w:r w:rsidRPr="009C5037">
        <w:rPr>
          <w:rFonts w:ascii="Book Antiqua" w:hAnsi="Book Antiqua"/>
          <w:szCs w:val="24"/>
          <w:lang w:val="es-PR"/>
        </w:rPr>
        <w:t xml:space="preserve">, abrió una investigación sobre las agresiones estudiantiles y la efectividad de los protocolos de seguridad. Entre los hallazgos destacan: la ineficiencia en la aplicación del </w:t>
      </w:r>
      <w:r w:rsidRPr="009C5037">
        <w:rPr>
          <w:rFonts w:ascii="Book Antiqua" w:hAnsi="Book Antiqua"/>
          <w:b/>
          <w:bCs/>
          <w:szCs w:val="24"/>
          <w:lang w:val="es-PR"/>
        </w:rPr>
        <w:t>Reglamento General de Estudiantes 9243</w:t>
      </w:r>
      <w:r w:rsidRPr="009C5037">
        <w:rPr>
          <w:rFonts w:ascii="Book Antiqua" w:hAnsi="Book Antiqua"/>
          <w:szCs w:val="24"/>
          <w:lang w:val="es-PR"/>
        </w:rPr>
        <w:t>; la tardanza en la implementación de protocolos de disciplina y seguridad; la renuencia de algunos agentes policiales a atender querellas porque los incidentes involucran menores; y la creciente preocupación por el uso de celulares y la difusión de videos de violencia que revictimizan a las personas afectadas.</w:t>
      </w:r>
    </w:p>
    <w:p w14:paraId="5A94282B" w14:textId="77777777" w:rsidR="002444B3" w:rsidRDefault="002444B3" w:rsidP="002444B3">
      <w:pPr>
        <w:ind w:firstLine="720"/>
        <w:jc w:val="both"/>
        <w:rPr>
          <w:rFonts w:ascii="Book Antiqua" w:hAnsi="Book Antiqua"/>
          <w:b/>
          <w:bCs/>
          <w:szCs w:val="24"/>
          <w:lang w:val="es-PR"/>
        </w:rPr>
      </w:pPr>
    </w:p>
    <w:p w14:paraId="45D18044" w14:textId="16E4977C" w:rsidR="009C5037" w:rsidRDefault="009C5037" w:rsidP="002444B3">
      <w:pPr>
        <w:ind w:firstLine="720"/>
        <w:jc w:val="both"/>
        <w:rPr>
          <w:rFonts w:ascii="Book Antiqua" w:hAnsi="Book Antiqua"/>
          <w:szCs w:val="24"/>
          <w:lang w:val="es-PR"/>
        </w:rPr>
      </w:pPr>
      <w:r w:rsidRPr="009C5037">
        <w:rPr>
          <w:rFonts w:ascii="Book Antiqua" w:hAnsi="Book Antiqua"/>
          <w:b/>
          <w:bCs/>
          <w:szCs w:val="24"/>
          <w:lang w:val="es-PR"/>
        </w:rPr>
        <w:t>Además, en una muestra de que la violencia escolar continúa siendo un fenómeno urgente y actual, se reportó el 20 de agosto de 2025 una agresión severa dentro del baño de la Escuela Inés María Mendoza, en Caimito, San Juan, donde un joven resultó con múltiples heridas y el caso fue referido a la División de Delitos Sexuales de la Policía.</w:t>
      </w:r>
      <w:r w:rsidRPr="009C5037">
        <w:rPr>
          <w:rFonts w:ascii="Book Antiqua" w:hAnsi="Book Antiqua"/>
          <w:szCs w:val="24"/>
          <w:lang w:val="es-PR"/>
        </w:rPr>
        <w:t xml:space="preserve"> Estos hechos —aún bajo investigación— ponen de relieve que los procedimientos internos no sustituyen la pronta evaluación fiscal ni la activación de las </w:t>
      </w:r>
      <w:r w:rsidRPr="009C5037">
        <w:rPr>
          <w:rFonts w:ascii="Book Antiqua" w:hAnsi="Book Antiqua"/>
          <w:szCs w:val="24"/>
          <w:lang w:val="es-PR"/>
        </w:rPr>
        <w:lastRenderedPageBreak/>
        <w:t xml:space="preserve">herramientas del sistema de justicia juvenil, máxime cuando la seguridad e integridad de las víctimas están en riesgo inmediato. </w:t>
      </w:r>
    </w:p>
    <w:p w14:paraId="65BC2479" w14:textId="77777777" w:rsidR="002444B3" w:rsidRPr="009C5037" w:rsidRDefault="002444B3" w:rsidP="002444B3">
      <w:pPr>
        <w:ind w:firstLine="720"/>
        <w:jc w:val="both"/>
        <w:rPr>
          <w:rFonts w:ascii="Book Antiqua" w:hAnsi="Book Antiqua"/>
          <w:szCs w:val="24"/>
          <w:lang w:val="es-PR"/>
        </w:rPr>
      </w:pPr>
    </w:p>
    <w:p w14:paraId="11329449" w14:textId="39310565" w:rsidR="009C5037" w:rsidRDefault="009C5037" w:rsidP="002444B3">
      <w:pPr>
        <w:ind w:firstLine="720"/>
        <w:jc w:val="both"/>
        <w:rPr>
          <w:rFonts w:ascii="Book Antiqua" w:hAnsi="Book Antiqua"/>
          <w:szCs w:val="24"/>
          <w:lang w:val="es-PR"/>
        </w:rPr>
      </w:pPr>
      <w:r w:rsidRPr="009C5037">
        <w:rPr>
          <w:rFonts w:ascii="Book Antiqua" w:hAnsi="Book Antiqua"/>
          <w:b/>
          <w:bCs/>
          <w:szCs w:val="24"/>
          <w:lang w:val="es-PR"/>
        </w:rPr>
        <w:t>Un día después, el 21 de agosto de 2025, ocurrió otro incidente en el plantel Albert Einstein, en Barrio Obrero, Santurce: un adolescente de 14 años presuntamente agredió con una tijera a otro menor de 13 años, causándole herida</w:t>
      </w:r>
      <w:r w:rsidR="0022565F">
        <w:rPr>
          <w:rFonts w:ascii="Book Antiqua" w:hAnsi="Book Antiqua"/>
          <w:b/>
          <w:bCs/>
          <w:szCs w:val="24"/>
          <w:lang w:val="es-PR"/>
        </w:rPr>
        <w:t>s</w:t>
      </w:r>
      <w:r w:rsidRPr="009C5037">
        <w:rPr>
          <w:rFonts w:ascii="Book Antiqua" w:hAnsi="Book Antiqua"/>
          <w:b/>
          <w:bCs/>
          <w:szCs w:val="24"/>
          <w:lang w:val="es-PR"/>
        </w:rPr>
        <w:t xml:space="preserve"> en la mano izquierda.</w:t>
      </w:r>
      <w:r w:rsidRPr="009C5037">
        <w:rPr>
          <w:rFonts w:ascii="Book Antiqua" w:hAnsi="Book Antiqua"/>
          <w:szCs w:val="24"/>
          <w:lang w:val="es-PR"/>
        </w:rPr>
        <w:t xml:space="preserve"> </w:t>
      </w:r>
      <w:r w:rsidR="0022565F">
        <w:rPr>
          <w:rFonts w:ascii="Book Antiqua" w:hAnsi="Book Antiqua"/>
          <w:szCs w:val="24"/>
          <w:lang w:val="es-PR"/>
        </w:rPr>
        <w:t>L</w:t>
      </w:r>
      <w:r w:rsidRPr="009C5037">
        <w:rPr>
          <w:rFonts w:ascii="Book Antiqua" w:hAnsi="Book Antiqua"/>
          <w:szCs w:val="24"/>
          <w:lang w:val="es-PR"/>
        </w:rPr>
        <w:t xml:space="preserve">a pesquisa la conduce el Precinto de Barrio Obrero, con la intervención del personal escolar que activó el protocolo. Estos datos —aún en </w:t>
      </w:r>
      <w:r w:rsidR="0022565F">
        <w:rPr>
          <w:rFonts w:ascii="Book Antiqua" w:hAnsi="Book Antiqua"/>
          <w:szCs w:val="24"/>
          <w:lang w:val="es-PR"/>
        </w:rPr>
        <w:t>desarrollo</w:t>
      </w:r>
      <w:r w:rsidRPr="009C5037">
        <w:rPr>
          <w:rFonts w:ascii="Book Antiqua" w:hAnsi="Book Antiqua"/>
          <w:szCs w:val="24"/>
          <w:lang w:val="es-PR"/>
        </w:rPr>
        <w:t xml:space="preserve">— confirman que la respuesta </w:t>
      </w:r>
      <w:r w:rsidRPr="009C5037">
        <w:rPr>
          <w:rFonts w:ascii="Book Antiqua" w:hAnsi="Book Antiqua"/>
          <w:b/>
          <w:bCs/>
          <w:szCs w:val="24"/>
          <w:lang w:val="es-PR"/>
        </w:rPr>
        <w:t>no puede supeditarse</w:t>
      </w:r>
      <w:r w:rsidRPr="009C5037">
        <w:rPr>
          <w:rFonts w:ascii="Book Antiqua" w:hAnsi="Book Antiqua"/>
          <w:szCs w:val="24"/>
          <w:lang w:val="es-PR"/>
        </w:rPr>
        <w:t xml:space="preserve"> a etapas administrativas previas cuando hay indicios de una </w:t>
      </w:r>
      <w:r w:rsidRPr="009C5037">
        <w:rPr>
          <w:rFonts w:ascii="Book Antiqua" w:hAnsi="Book Antiqua"/>
          <w:b/>
          <w:bCs/>
          <w:szCs w:val="24"/>
          <w:lang w:val="es-PR"/>
        </w:rPr>
        <w:t>conducta constitutiva de falta</w:t>
      </w:r>
      <w:r w:rsidRPr="009C5037">
        <w:rPr>
          <w:rFonts w:ascii="Book Antiqua" w:hAnsi="Book Antiqua"/>
          <w:szCs w:val="24"/>
          <w:lang w:val="es-PR"/>
        </w:rPr>
        <w:t xml:space="preserve"> que amerita valoración fiscal inmediata. </w:t>
      </w:r>
    </w:p>
    <w:p w14:paraId="1B9E59B1" w14:textId="77777777" w:rsidR="002444B3" w:rsidRPr="009C5037" w:rsidRDefault="002444B3" w:rsidP="002444B3">
      <w:pPr>
        <w:ind w:firstLine="720"/>
        <w:jc w:val="both"/>
        <w:rPr>
          <w:rFonts w:ascii="Book Antiqua" w:hAnsi="Book Antiqua"/>
          <w:szCs w:val="24"/>
          <w:lang w:val="es-PR"/>
        </w:rPr>
      </w:pPr>
    </w:p>
    <w:p w14:paraId="5C6F775B" w14:textId="77777777" w:rsidR="009C5037" w:rsidRDefault="009C5037" w:rsidP="002444B3">
      <w:pPr>
        <w:ind w:firstLine="720"/>
        <w:jc w:val="both"/>
        <w:rPr>
          <w:rFonts w:ascii="Book Antiqua" w:hAnsi="Book Antiqua"/>
          <w:szCs w:val="24"/>
          <w:lang w:val="es-PR"/>
        </w:rPr>
      </w:pPr>
      <w:r w:rsidRPr="009C5037">
        <w:rPr>
          <w:rFonts w:ascii="Book Antiqua" w:hAnsi="Book Antiqua"/>
          <w:szCs w:val="24"/>
          <w:lang w:val="es-PR"/>
        </w:rPr>
        <w:t xml:space="preserve">En su origen, la Ley de Menores facultaba al Procurador de Asuntos de Menores a evaluar, caso a caso, los hechos y determinar si los mismos configuraban los elementos de una falta que ameritara acción judicial. La imposición del requisito de </w:t>
      </w:r>
      <w:r w:rsidRPr="009C5037">
        <w:rPr>
          <w:rFonts w:ascii="Book Antiqua" w:hAnsi="Book Antiqua"/>
          <w:b/>
          <w:bCs/>
          <w:szCs w:val="24"/>
          <w:lang w:val="es-PR"/>
        </w:rPr>
        <w:t>agotamiento de remedios administrativos</w:t>
      </w:r>
      <w:r w:rsidRPr="009C5037">
        <w:rPr>
          <w:rFonts w:ascii="Book Antiqua" w:hAnsi="Book Antiqua"/>
          <w:szCs w:val="24"/>
          <w:lang w:val="es-PR"/>
        </w:rPr>
        <w:t xml:space="preserve"> desplazó dicha facultad discrecional, atando las manos del Ministerio Público y obstaculizando el propósito de la ley: salvaguardar tanto la seguridad de la sociedad como la rehabilitación de la juventud infractora.</w:t>
      </w:r>
    </w:p>
    <w:p w14:paraId="4A170C63" w14:textId="77777777" w:rsidR="002444B3" w:rsidRPr="009C5037" w:rsidRDefault="002444B3" w:rsidP="002444B3">
      <w:pPr>
        <w:ind w:firstLine="720"/>
        <w:jc w:val="both"/>
        <w:rPr>
          <w:rFonts w:ascii="Book Antiqua" w:hAnsi="Book Antiqua"/>
          <w:szCs w:val="24"/>
          <w:lang w:val="es-PR"/>
        </w:rPr>
      </w:pPr>
    </w:p>
    <w:p w14:paraId="3B42B8CC" w14:textId="77777777" w:rsidR="009C5037" w:rsidRDefault="009C5037" w:rsidP="002444B3">
      <w:pPr>
        <w:ind w:firstLine="720"/>
        <w:jc w:val="both"/>
        <w:rPr>
          <w:rFonts w:ascii="Book Antiqua" w:hAnsi="Book Antiqua"/>
          <w:szCs w:val="24"/>
          <w:lang w:val="es-PR"/>
        </w:rPr>
      </w:pPr>
      <w:r w:rsidRPr="009C5037">
        <w:rPr>
          <w:rFonts w:ascii="Book Antiqua" w:hAnsi="Book Antiqua"/>
          <w:szCs w:val="24"/>
          <w:lang w:val="es-PR"/>
        </w:rPr>
        <w:t xml:space="preserve">Por tanto, se hace necesario enmendar nuevamente la Ley 88 para </w:t>
      </w:r>
      <w:r w:rsidRPr="009C5037">
        <w:rPr>
          <w:rFonts w:ascii="Book Antiqua" w:hAnsi="Book Antiqua"/>
          <w:b/>
          <w:bCs/>
          <w:szCs w:val="24"/>
          <w:lang w:val="es-PR"/>
        </w:rPr>
        <w:t>eliminar el requisito de agotamiento de remedios administrativos en casos de faltas ocurridas en planteles escolares</w:t>
      </w:r>
      <w:r w:rsidRPr="009C5037">
        <w:rPr>
          <w:rFonts w:ascii="Book Antiqua" w:hAnsi="Book Antiqua"/>
          <w:szCs w:val="24"/>
          <w:lang w:val="es-PR"/>
        </w:rPr>
        <w:t xml:space="preserve">, y así </w:t>
      </w:r>
      <w:r w:rsidRPr="009C5037">
        <w:rPr>
          <w:rFonts w:ascii="Book Antiqua" w:hAnsi="Book Antiqua"/>
          <w:b/>
          <w:bCs/>
          <w:szCs w:val="24"/>
          <w:lang w:val="es-PR"/>
        </w:rPr>
        <w:t>restaurar la autoridad plena del Procurador de Asuntos de Menores</w:t>
      </w:r>
      <w:r w:rsidRPr="009C5037">
        <w:rPr>
          <w:rFonts w:ascii="Book Antiqua" w:hAnsi="Book Antiqua"/>
          <w:szCs w:val="24"/>
          <w:lang w:val="es-PR"/>
        </w:rPr>
        <w:t>. De este modo, podrá decidir la procedencia de procesar a un menor cuando los hechos así lo ameriten, sin quedar supeditado a la culminación de trámites internos del plantel. Ello no implica descartar los mecanismos de mediación, disciplina y procesos restaurativos en las escuelas, que continuarán como alternativas válidas, pero nunca como condición que limite la intervención judicial.</w:t>
      </w:r>
    </w:p>
    <w:p w14:paraId="03BF3924" w14:textId="77777777" w:rsidR="002444B3" w:rsidRPr="009C5037" w:rsidRDefault="002444B3" w:rsidP="002444B3">
      <w:pPr>
        <w:ind w:firstLine="720"/>
        <w:jc w:val="both"/>
        <w:rPr>
          <w:rFonts w:ascii="Book Antiqua" w:hAnsi="Book Antiqua"/>
          <w:szCs w:val="24"/>
          <w:lang w:val="es-PR"/>
        </w:rPr>
      </w:pPr>
    </w:p>
    <w:p w14:paraId="4E2BE0F8" w14:textId="49022188" w:rsidR="00FF6C2D" w:rsidRPr="00E231F4" w:rsidRDefault="009C5037" w:rsidP="002444B3">
      <w:pPr>
        <w:ind w:firstLine="720"/>
        <w:jc w:val="both"/>
        <w:rPr>
          <w:rFonts w:ascii="Book Antiqua" w:hAnsi="Book Antiqua"/>
          <w:szCs w:val="24"/>
          <w:lang w:val="es-PR"/>
        </w:rPr>
      </w:pPr>
      <w:r w:rsidRPr="009C5037">
        <w:rPr>
          <w:rFonts w:ascii="Book Antiqua" w:hAnsi="Book Antiqua"/>
          <w:szCs w:val="24"/>
          <w:lang w:val="es-PR"/>
        </w:rPr>
        <w:t>La Asamblea Legislativa, consciente de su deber de velar por la seguridad de la niñez y la juventud, y por la protección de la sociedad puertorriqueña en general, entiende indispensable aprobar esta enmienda a la Ley de Menores. Con ello se asegura que el Estado pueda cumplir cabalmente los fines de política pública trazados en la Ley 88</w:t>
      </w:r>
      <w:r w:rsidRPr="009C5037">
        <w:rPr>
          <w:rFonts w:ascii="Book Antiqua" w:hAnsi="Book Antiqua"/>
          <w:szCs w:val="24"/>
          <w:lang w:val="es-PR"/>
        </w:rPr>
        <w:noBreakHyphen/>
        <w:t>1986 y en las leyes afines en materia de seguridad, educación y bienestar social, garantizando la convivencia segura y el desarrollo integral de la juventud puertorriqueña</w:t>
      </w:r>
      <w:r w:rsidR="00820FB1" w:rsidRPr="00820FB1">
        <w:rPr>
          <w:rFonts w:ascii="Book Antiqua" w:hAnsi="Book Antiqua"/>
          <w:szCs w:val="24"/>
          <w:lang w:val="es-PR"/>
        </w:rPr>
        <w:t>.</w:t>
      </w:r>
    </w:p>
    <w:p w14:paraId="12522BDD" w14:textId="77777777" w:rsidR="000B2013" w:rsidRPr="00E231F4" w:rsidRDefault="000B2013" w:rsidP="002444B3">
      <w:pPr>
        <w:jc w:val="both"/>
        <w:rPr>
          <w:rFonts w:ascii="Book Antiqua" w:hAnsi="Book Antiqua"/>
          <w:szCs w:val="24"/>
          <w:lang w:val="es-PR"/>
        </w:rPr>
      </w:pPr>
    </w:p>
    <w:p w14:paraId="7CD855B2" w14:textId="0FAFD36F" w:rsidR="00A5002D" w:rsidRPr="00E231F4" w:rsidRDefault="00672BDB" w:rsidP="002444B3">
      <w:pPr>
        <w:pStyle w:val="BodyText2"/>
        <w:tabs>
          <w:tab w:val="clear" w:pos="684"/>
          <w:tab w:val="left" w:pos="342"/>
        </w:tabs>
        <w:spacing w:before="0" w:after="0" w:line="480" w:lineRule="auto"/>
        <w:rPr>
          <w:rFonts w:ascii="Book Antiqua" w:hAnsi="Book Antiqua"/>
          <w:i/>
          <w:szCs w:val="24"/>
          <w:lang w:val="es-ES"/>
        </w:rPr>
        <w:sectPr w:rsidR="00A5002D" w:rsidRPr="00E231F4" w:rsidSect="00B41B01">
          <w:headerReference w:type="default" r:id="rId8"/>
          <w:type w:val="continuous"/>
          <w:pgSz w:w="12240" w:h="15840" w:code="1"/>
          <w:pgMar w:top="1440" w:right="1440" w:bottom="1440" w:left="1440" w:header="720" w:footer="720" w:gutter="0"/>
          <w:cols w:space="720"/>
          <w:titlePg/>
        </w:sectPr>
      </w:pPr>
      <w:r w:rsidRPr="00E231F4">
        <w:rPr>
          <w:rFonts w:ascii="Book Antiqua" w:hAnsi="Book Antiqua"/>
          <w:i/>
          <w:szCs w:val="24"/>
          <w:lang w:val="es-ES"/>
        </w:rPr>
        <w:t xml:space="preserve">DECRÉTASE </w:t>
      </w:r>
      <w:r w:rsidR="006E2E0B" w:rsidRPr="00E231F4">
        <w:rPr>
          <w:rFonts w:ascii="Book Antiqua" w:hAnsi="Book Antiqua"/>
          <w:i/>
          <w:szCs w:val="24"/>
          <w:lang w:val="es-ES"/>
        </w:rPr>
        <w:t>POR LA ASAMBLEA LEGISLATIVA DE PUERTO RICO:</w:t>
      </w:r>
    </w:p>
    <w:p w14:paraId="4064D83D" w14:textId="4AEB91FC" w:rsidR="00655B31" w:rsidRDefault="00655B31" w:rsidP="002D2870">
      <w:pPr>
        <w:widowControl w:val="0"/>
        <w:spacing w:line="480" w:lineRule="auto"/>
        <w:ind w:firstLine="720"/>
        <w:jc w:val="both"/>
        <w:rPr>
          <w:rFonts w:ascii="Book Antiqua" w:eastAsia="MS Mincho" w:hAnsi="Book Antiqua"/>
          <w:szCs w:val="24"/>
          <w:lang w:val="es-PR"/>
        </w:rPr>
      </w:pPr>
      <w:r w:rsidRPr="0067451E">
        <w:rPr>
          <w:rFonts w:ascii="Book Antiqua" w:eastAsia="MS Mincho" w:hAnsi="Book Antiqua"/>
          <w:szCs w:val="24"/>
          <w:lang w:val="es-PR"/>
        </w:rPr>
        <w:t>Sección 1.-</w:t>
      </w:r>
      <w:r w:rsidRPr="0067451E">
        <w:rPr>
          <w:rFonts w:ascii="Book Antiqua" w:eastAsia="MS Mincho" w:hAnsi="Book Antiqua"/>
          <w:szCs w:val="24"/>
          <w:lang w:val="es-ES_tradnl"/>
        </w:rPr>
        <w:t xml:space="preserve"> </w:t>
      </w:r>
      <w:r w:rsidR="002D2870" w:rsidRPr="002D2870">
        <w:rPr>
          <w:rFonts w:ascii="Book Antiqua" w:eastAsia="MS Mincho" w:hAnsi="Book Antiqua"/>
          <w:szCs w:val="24"/>
          <w:lang w:val="es-PR"/>
        </w:rPr>
        <w:t xml:space="preserve">Se </w:t>
      </w:r>
      <w:r w:rsidR="002D2870">
        <w:rPr>
          <w:rFonts w:ascii="Book Antiqua" w:eastAsia="MS Mincho" w:hAnsi="Book Antiqua"/>
          <w:szCs w:val="24"/>
          <w:lang w:val="es-PR"/>
        </w:rPr>
        <w:t>elimina</w:t>
      </w:r>
      <w:r w:rsidR="002D2870" w:rsidRPr="002D2870">
        <w:rPr>
          <w:rFonts w:ascii="Book Antiqua" w:eastAsia="MS Mincho" w:hAnsi="Book Antiqua"/>
          <w:szCs w:val="24"/>
          <w:lang w:val="es-PR"/>
        </w:rPr>
        <w:t xml:space="preserve"> el Artículo 4-A de la Ley Núm. 88-1986, según</w:t>
      </w:r>
      <w:r w:rsidR="002D2870">
        <w:rPr>
          <w:rFonts w:ascii="Book Antiqua" w:eastAsia="MS Mincho" w:hAnsi="Book Antiqua"/>
          <w:szCs w:val="24"/>
          <w:lang w:val="es-PR"/>
        </w:rPr>
        <w:t xml:space="preserve"> </w:t>
      </w:r>
      <w:r w:rsidR="002D2870" w:rsidRPr="002D2870">
        <w:rPr>
          <w:rFonts w:ascii="Book Antiqua" w:eastAsia="MS Mincho" w:hAnsi="Book Antiqua"/>
          <w:szCs w:val="24"/>
          <w:lang w:val="es-PR"/>
        </w:rPr>
        <w:t>enmendada, conocida como “Ley de Menores”</w:t>
      </w:r>
      <w:r w:rsidR="00C637AC">
        <w:rPr>
          <w:rFonts w:ascii="Book Antiqua" w:eastAsia="MS Mincho" w:hAnsi="Book Antiqua"/>
          <w:szCs w:val="24"/>
          <w:lang w:val="es-PR"/>
        </w:rPr>
        <w:t>:</w:t>
      </w:r>
    </w:p>
    <w:p w14:paraId="46DFBC07" w14:textId="2A6A23DC" w:rsidR="00D31897" w:rsidRPr="00D31897" w:rsidRDefault="0096360B" w:rsidP="00D31897">
      <w:pPr>
        <w:widowControl w:val="0"/>
        <w:spacing w:line="480" w:lineRule="auto"/>
        <w:ind w:firstLine="720"/>
        <w:jc w:val="both"/>
        <w:rPr>
          <w:rFonts w:ascii="Book Antiqua" w:eastAsia="MS Mincho" w:hAnsi="Book Antiqua"/>
          <w:b/>
          <w:szCs w:val="24"/>
          <w:lang w:val="es-PR"/>
        </w:rPr>
      </w:pPr>
      <w:r>
        <w:rPr>
          <w:rFonts w:ascii="Book Antiqua" w:eastAsia="MS Mincho" w:hAnsi="Book Antiqua"/>
          <w:szCs w:val="24"/>
          <w:lang w:val="es-PR"/>
        </w:rPr>
        <w:t>“</w:t>
      </w:r>
      <w:r w:rsidR="00D31897" w:rsidRPr="00D31897">
        <w:rPr>
          <w:rFonts w:ascii="Book Antiqua" w:eastAsia="MS Mincho" w:hAnsi="Book Antiqua"/>
          <w:b/>
          <w:szCs w:val="24"/>
          <w:lang w:val="es-PR"/>
        </w:rPr>
        <w:t>[</w:t>
      </w:r>
      <w:r w:rsidR="00920B28" w:rsidRPr="00920B28">
        <w:rPr>
          <w:rFonts w:ascii="Book Antiqua" w:eastAsia="MS Mincho" w:hAnsi="Book Antiqua"/>
          <w:b/>
          <w:szCs w:val="24"/>
          <w:lang w:val="es-PR"/>
        </w:rPr>
        <w:t>Artículo 4-A. — Agotamiento de remedios administrativos.</w:t>
      </w:r>
    </w:p>
    <w:p w14:paraId="0F870B6C" w14:textId="0191A9ED" w:rsidR="00C637AC" w:rsidRPr="002D2870" w:rsidRDefault="003020DA" w:rsidP="0096360B">
      <w:pPr>
        <w:widowControl w:val="0"/>
        <w:spacing w:line="480" w:lineRule="auto"/>
        <w:ind w:firstLine="720"/>
        <w:jc w:val="both"/>
        <w:rPr>
          <w:rFonts w:ascii="Book Antiqua" w:eastAsia="MS Mincho" w:hAnsi="Book Antiqua"/>
          <w:szCs w:val="24"/>
          <w:lang w:val="es-PR"/>
        </w:rPr>
      </w:pPr>
      <w:r w:rsidRPr="003020DA">
        <w:rPr>
          <w:rFonts w:ascii="Book Antiqua" w:eastAsia="MS Mincho" w:hAnsi="Book Antiqua"/>
          <w:b/>
          <w:szCs w:val="24"/>
          <w:lang w:val="es-PR"/>
        </w:rPr>
        <w:lastRenderedPageBreak/>
        <w:t>Antes del Tribunal ejercer su jurisdicción sobre la persona menor de edad, deberá agotarse todo remedio administrativo establecido en el sistema de educación pública o privada, según sea el caso, cuando la falta que se impute haya tenido lugar en un plantel escolar, ya sea en las inmediaciones de la escuela, en la transportación escolar o en actividades escolares, deportivas con</w:t>
      </w:r>
      <w:r>
        <w:rPr>
          <w:rFonts w:ascii="Book Antiqua" w:eastAsia="MS Mincho" w:hAnsi="Book Antiqua"/>
          <w:b/>
          <w:szCs w:val="24"/>
          <w:lang w:val="es-PR"/>
        </w:rPr>
        <w:t xml:space="preserve"> </w:t>
      </w:r>
      <w:r w:rsidRPr="003020DA">
        <w:rPr>
          <w:rFonts w:ascii="Book Antiqua" w:eastAsia="MS Mincho" w:hAnsi="Book Antiqua"/>
          <w:b/>
          <w:szCs w:val="24"/>
          <w:lang w:val="es-PR"/>
        </w:rPr>
        <w:t>fin recreativo, cultural o académico. En caso del tribunal tener que asumir su jurisdicción sobre la persona menor, nada de esto se entenderá en menoscabo del derecho del</w:t>
      </w:r>
      <w:r>
        <w:rPr>
          <w:rFonts w:ascii="Book Antiqua" w:eastAsia="MS Mincho" w:hAnsi="Book Antiqua"/>
          <w:b/>
          <w:szCs w:val="24"/>
          <w:lang w:val="es-PR"/>
        </w:rPr>
        <w:t xml:space="preserve"> </w:t>
      </w:r>
      <w:r w:rsidRPr="003020DA">
        <w:rPr>
          <w:rFonts w:ascii="Book Antiqua" w:eastAsia="MS Mincho" w:hAnsi="Book Antiqua"/>
          <w:b/>
          <w:szCs w:val="24"/>
          <w:lang w:val="es-PR"/>
        </w:rPr>
        <w:t>(de la) menor a que su caso sea referido a mediación o desvío, si cualifica según lo establece esta Ley y las Reglas de Asuntos de Menores.</w:t>
      </w:r>
      <w:r w:rsidR="00D31897" w:rsidRPr="00D31897">
        <w:rPr>
          <w:rFonts w:ascii="Book Antiqua" w:eastAsia="MS Mincho" w:hAnsi="Book Antiqua"/>
          <w:b/>
          <w:szCs w:val="24"/>
          <w:lang w:val="es-PR"/>
        </w:rPr>
        <w:t>]</w:t>
      </w:r>
      <w:r w:rsidR="0096360B">
        <w:rPr>
          <w:rFonts w:ascii="Book Antiqua" w:eastAsia="MS Mincho" w:hAnsi="Book Antiqua"/>
          <w:szCs w:val="24"/>
          <w:lang w:val="es-PR"/>
        </w:rPr>
        <w:t>”</w:t>
      </w:r>
    </w:p>
    <w:p w14:paraId="60C46CE0" w14:textId="693448B3" w:rsidR="007B37B8" w:rsidRPr="0066715F" w:rsidRDefault="00655B31" w:rsidP="002D2870">
      <w:pPr>
        <w:spacing w:line="480" w:lineRule="auto"/>
        <w:ind w:firstLine="720"/>
        <w:jc w:val="both"/>
        <w:rPr>
          <w:rFonts w:ascii="Book Antiqua" w:eastAsia="MS Mincho" w:hAnsi="Book Antiqua"/>
          <w:szCs w:val="24"/>
          <w:lang w:val="es-ES_tradnl"/>
        </w:rPr>
      </w:pPr>
      <w:r w:rsidRPr="0067451E">
        <w:rPr>
          <w:rFonts w:ascii="Book Antiqua" w:eastAsia="Arial Unicode MS" w:hAnsi="Book Antiqua" w:cs="Arial Unicode MS"/>
          <w:color w:val="000000"/>
          <w:szCs w:val="24"/>
          <w:u w:color="000000"/>
          <w:lang w:val="es-PR"/>
        </w:rPr>
        <w:t xml:space="preserve">Sección </w:t>
      </w:r>
      <w:r w:rsidRPr="0067451E">
        <w:rPr>
          <w:rFonts w:ascii="Book Antiqua" w:eastAsia="MS Mincho" w:hAnsi="Book Antiqua"/>
          <w:szCs w:val="24"/>
          <w:lang w:val="es-PR"/>
        </w:rPr>
        <w:t xml:space="preserve">2.- </w:t>
      </w:r>
      <w:r w:rsidRPr="0067451E">
        <w:rPr>
          <w:rFonts w:ascii="Book Antiqua" w:eastAsia="MS Mincho" w:hAnsi="Book Antiqua"/>
          <w:szCs w:val="24"/>
          <w:lang w:val="es-ES_tradnl"/>
        </w:rPr>
        <w:t>Esta Ley comenzará a regir inmediatamente después de su aprobación.</w:t>
      </w:r>
    </w:p>
    <w:sectPr w:rsidR="007B37B8" w:rsidRPr="0066715F" w:rsidSect="00655B31">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81299" w14:textId="77777777" w:rsidR="009020E9" w:rsidRDefault="009020E9">
      <w:r>
        <w:separator/>
      </w:r>
    </w:p>
  </w:endnote>
  <w:endnote w:type="continuationSeparator" w:id="0">
    <w:p w14:paraId="011A1F5B" w14:textId="77777777" w:rsidR="009020E9" w:rsidRDefault="00902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45AD0" w14:textId="77777777" w:rsidR="009020E9" w:rsidRDefault="009020E9">
      <w:r>
        <w:separator/>
      </w:r>
    </w:p>
  </w:footnote>
  <w:footnote w:type="continuationSeparator" w:id="0">
    <w:p w14:paraId="30215FD7" w14:textId="77777777" w:rsidR="009020E9" w:rsidRDefault="009020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Header"/>
      <w:jc w:val="center"/>
    </w:pPr>
    <w:r>
      <w:rPr>
        <w:rStyle w:val="PageNumber"/>
      </w:rPr>
      <w:fldChar w:fldCharType="begin"/>
    </w:r>
    <w:r>
      <w:rPr>
        <w:rStyle w:val="PageNumber"/>
      </w:rPr>
      <w:instrText xml:space="preserve"> PAGE </w:instrText>
    </w:r>
    <w:r>
      <w:rPr>
        <w:rStyle w:val="PageNumber"/>
      </w:rPr>
      <w:fldChar w:fldCharType="separate"/>
    </w:r>
    <w:r w:rsidR="00BD695C">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2D1F9" w14:textId="77777777" w:rsidR="00495EF1" w:rsidRDefault="00495EF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7DEDEF" w14:textId="77777777" w:rsidR="00495EF1" w:rsidRDefault="00495E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19947" w14:textId="77777777" w:rsidR="00495EF1" w:rsidRDefault="00495EF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5AF216FA" w14:textId="7C31E2D8" w:rsidR="00495EF1" w:rsidRDefault="00655B31">
    <w:r>
      <w:rPr>
        <w:noProof/>
      </w:rPr>
      <mc:AlternateContent>
        <mc:Choice Requires="wps">
          <w:drawing>
            <wp:anchor distT="0" distB="0" distL="114300" distR="114300" simplePos="0" relativeHeight="251659264" behindDoc="0" locked="0" layoutInCell="0" allowOverlap="1" wp14:anchorId="48E79FE6" wp14:editId="4991DF57">
              <wp:simplePos x="0" y="0"/>
              <wp:positionH relativeFrom="margin">
                <wp:posOffset>0</wp:posOffset>
              </wp:positionH>
              <wp:positionV relativeFrom="paragraph">
                <wp:posOffset>-914400</wp:posOffset>
              </wp:positionV>
              <wp:extent cx="5943600" cy="1524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EE2028" w14:textId="77777777" w:rsidR="00495EF1" w:rsidRDefault="00495EF1"/>
                        <w:p w14:paraId="6254840F" w14:textId="77777777" w:rsidR="00495EF1" w:rsidRDefault="00495EF1">
                          <w:pPr>
                            <w:tabs>
                              <w:tab w:val="left" w:pos="0"/>
                              <w:tab w:val="center" w:pos="4680"/>
                              <w:tab w:val="right" w:pos="936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79FE6" id="_x0000_t202" coordsize="21600,21600" o:spt="202" path="m,l,21600r21600,l21600,xe">
              <v:stroke joinstyle="miter"/>
              <v:path gradientshapeok="t" o:connecttype="rect"/>
            </v:shapetype>
            <v:shape id="Text Box 2"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78EE2028" w14:textId="77777777" w:rsidR="00495EF1" w:rsidRDefault="00495EF1"/>
                  <w:p w14:paraId="6254840F" w14:textId="77777777" w:rsidR="00495EF1" w:rsidRDefault="00495EF1">
                    <w:pPr>
                      <w:tabs>
                        <w:tab w:val="left" w:pos="0"/>
                        <w:tab w:val="center" w:pos="4680"/>
                        <w:tab w:val="right" w:pos="9360"/>
                      </w:tabs>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32F47C63"/>
    <w:multiLevelType w:val="multilevel"/>
    <w:tmpl w:val="21C4E75E"/>
    <w:lvl w:ilvl="0">
      <w:start w:val="1"/>
      <w:numFmt w:val="lowerLetter"/>
      <w:lvlText w:val="%1)"/>
      <w:lvlJc w:val="left"/>
      <w:pPr>
        <w:tabs>
          <w:tab w:val="num" w:pos="720"/>
        </w:tabs>
        <w:ind w:left="720" w:hanging="360"/>
      </w:pPr>
      <w:rPr>
        <w:rFonts w:ascii="Book Antiqua" w:eastAsia="Times New Roman" w:hAnsi="Book Antiqua" w:cs="Times New Roman"/>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E7956DF"/>
    <w:multiLevelType w:val="hybridMultilevel"/>
    <w:tmpl w:val="4302FF98"/>
    <w:lvl w:ilvl="0" w:tplc="084CCA6C">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7"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47943FB8"/>
    <w:multiLevelType w:val="hybridMultilevel"/>
    <w:tmpl w:val="E0526050"/>
    <w:lvl w:ilvl="0" w:tplc="0A7C8F3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4A92035F"/>
    <w:multiLevelType w:val="hybridMultilevel"/>
    <w:tmpl w:val="DEA4E41E"/>
    <w:lvl w:ilvl="0" w:tplc="C144036E">
      <w:start w:val="1"/>
      <w:numFmt w:val="decimal"/>
      <w:lvlText w:val="(%1)"/>
      <w:lvlJc w:val="left"/>
      <w:pPr>
        <w:ind w:left="2160" w:hanging="72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0"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585FB3"/>
    <w:multiLevelType w:val="hybridMultilevel"/>
    <w:tmpl w:val="033EA046"/>
    <w:lvl w:ilvl="0" w:tplc="50D45CFE">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2"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7C060D"/>
    <w:multiLevelType w:val="hybridMultilevel"/>
    <w:tmpl w:val="BD12E44C"/>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24" w15:restartNumberingAfterBreak="0">
    <w:nsid w:val="592D4AB9"/>
    <w:multiLevelType w:val="hybridMultilevel"/>
    <w:tmpl w:val="5FF6F49E"/>
    <w:lvl w:ilvl="0" w:tplc="39280490">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5"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6"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0"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1" w15:restartNumberingAfterBreak="0">
    <w:nsid w:val="762664BB"/>
    <w:multiLevelType w:val="hybridMultilevel"/>
    <w:tmpl w:val="6A7CB094"/>
    <w:lvl w:ilvl="0" w:tplc="A0F44782">
      <w:start w:val="1"/>
      <w:numFmt w:val="lowerLetter"/>
      <w:lvlText w:val="%1."/>
      <w:lvlJc w:val="left"/>
      <w:pPr>
        <w:ind w:left="1800" w:hanging="360"/>
      </w:pPr>
      <w:rPr>
        <w:rFonts w:hint="default"/>
        <w:sz w:val="24"/>
        <w:szCs w:val="24"/>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2"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1201717">
    <w:abstractNumId w:val="26"/>
  </w:num>
  <w:num w:numId="2" w16cid:durableId="697586941">
    <w:abstractNumId w:val="5"/>
  </w:num>
  <w:num w:numId="3" w16cid:durableId="332269631">
    <w:abstractNumId w:val="29"/>
  </w:num>
  <w:num w:numId="4" w16cid:durableId="1988435194">
    <w:abstractNumId w:val="10"/>
  </w:num>
  <w:num w:numId="5" w16cid:durableId="1506554439">
    <w:abstractNumId w:val="3"/>
  </w:num>
  <w:num w:numId="6" w16cid:durableId="1340735769">
    <w:abstractNumId w:val="9"/>
  </w:num>
  <w:num w:numId="7" w16cid:durableId="1413890633">
    <w:abstractNumId w:val="2"/>
  </w:num>
  <w:num w:numId="8" w16cid:durableId="138766629">
    <w:abstractNumId w:val="7"/>
  </w:num>
  <w:num w:numId="9" w16cid:durableId="1069427180">
    <w:abstractNumId w:val="13"/>
  </w:num>
  <w:num w:numId="10" w16cid:durableId="937828662">
    <w:abstractNumId w:val="12"/>
  </w:num>
  <w:num w:numId="11" w16cid:durableId="97599510">
    <w:abstractNumId w:val="20"/>
  </w:num>
  <w:num w:numId="12" w16cid:durableId="1700276230">
    <w:abstractNumId w:val="22"/>
  </w:num>
  <w:num w:numId="13" w16cid:durableId="639072555">
    <w:abstractNumId w:val="27"/>
  </w:num>
  <w:num w:numId="14" w16cid:durableId="630980633">
    <w:abstractNumId w:val="30"/>
  </w:num>
  <w:num w:numId="15" w16cid:durableId="357895331">
    <w:abstractNumId w:val="1"/>
  </w:num>
  <w:num w:numId="16" w16cid:durableId="784229085">
    <w:abstractNumId w:val="0"/>
  </w:num>
  <w:num w:numId="17" w16cid:durableId="1395353111">
    <w:abstractNumId w:val="25"/>
  </w:num>
  <w:num w:numId="18" w16cid:durableId="793408005">
    <w:abstractNumId w:val="17"/>
  </w:num>
  <w:num w:numId="19" w16cid:durableId="2056612077">
    <w:abstractNumId w:val="4"/>
  </w:num>
  <w:num w:numId="20" w16cid:durableId="231933052">
    <w:abstractNumId w:val="32"/>
  </w:num>
  <w:num w:numId="21" w16cid:durableId="1504396896">
    <w:abstractNumId w:val="28"/>
  </w:num>
  <w:num w:numId="22" w16cid:durableId="1639148181">
    <w:abstractNumId w:val="33"/>
  </w:num>
  <w:num w:numId="23" w16cid:durableId="2010785594">
    <w:abstractNumId w:val="15"/>
  </w:num>
  <w:num w:numId="24" w16cid:durableId="1688559439">
    <w:abstractNumId w:val="6"/>
  </w:num>
  <w:num w:numId="25" w16cid:durableId="1936745992">
    <w:abstractNumId w:val="8"/>
  </w:num>
  <w:num w:numId="26" w16cid:durableId="136579474">
    <w:abstractNumId w:val="14"/>
  </w:num>
  <w:num w:numId="27" w16cid:durableId="1718701748">
    <w:abstractNumId w:val="18"/>
  </w:num>
  <w:num w:numId="28" w16cid:durableId="325866007">
    <w:abstractNumId w:val="11"/>
  </w:num>
  <w:num w:numId="29" w16cid:durableId="869339891">
    <w:abstractNumId w:val="21"/>
  </w:num>
  <w:num w:numId="30" w16cid:durableId="1057165684">
    <w:abstractNumId w:val="31"/>
  </w:num>
  <w:num w:numId="31" w16cid:durableId="662470264">
    <w:abstractNumId w:val="16"/>
  </w:num>
  <w:num w:numId="32" w16cid:durableId="1332559746">
    <w:abstractNumId w:val="24"/>
  </w:num>
  <w:num w:numId="33" w16cid:durableId="1362363751">
    <w:abstractNumId w:val="19"/>
  </w:num>
  <w:num w:numId="34" w16cid:durableId="118667671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05B65"/>
    <w:rsid w:val="000135D2"/>
    <w:rsid w:val="0001546B"/>
    <w:rsid w:val="00020BBB"/>
    <w:rsid w:val="000279EC"/>
    <w:rsid w:val="00031B0A"/>
    <w:rsid w:val="000356A6"/>
    <w:rsid w:val="00035F66"/>
    <w:rsid w:val="000421C2"/>
    <w:rsid w:val="00047EA7"/>
    <w:rsid w:val="00051E2A"/>
    <w:rsid w:val="000531C8"/>
    <w:rsid w:val="00053756"/>
    <w:rsid w:val="000551F0"/>
    <w:rsid w:val="00056DF7"/>
    <w:rsid w:val="00066ECA"/>
    <w:rsid w:val="00070D7E"/>
    <w:rsid w:val="0008343D"/>
    <w:rsid w:val="0008430E"/>
    <w:rsid w:val="00085877"/>
    <w:rsid w:val="00085D0C"/>
    <w:rsid w:val="00086A26"/>
    <w:rsid w:val="00091EDE"/>
    <w:rsid w:val="00094F34"/>
    <w:rsid w:val="00095A87"/>
    <w:rsid w:val="00095FDE"/>
    <w:rsid w:val="000979DA"/>
    <w:rsid w:val="00097FEF"/>
    <w:rsid w:val="000A142D"/>
    <w:rsid w:val="000A163F"/>
    <w:rsid w:val="000A71F1"/>
    <w:rsid w:val="000B2013"/>
    <w:rsid w:val="000B2F40"/>
    <w:rsid w:val="000B37AF"/>
    <w:rsid w:val="000B4C8D"/>
    <w:rsid w:val="000B72B3"/>
    <w:rsid w:val="000C0F27"/>
    <w:rsid w:val="000C54EE"/>
    <w:rsid w:val="000C6B43"/>
    <w:rsid w:val="000E0ADE"/>
    <w:rsid w:val="000E1061"/>
    <w:rsid w:val="000E194C"/>
    <w:rsid w:val="000E2B87"/>
    <w:rsid w:val="000F0FDF"/>
    <w:rsid w:val="000F27DA"/>
    <w:rsid w:val="000F3E2B"/>
    <w:rsid w:val="000F4469"/>
    <w:rsid w:val="000F4F79"/>
    <w:rsid w:val="000F5275"/>
    <w:rsid w:val="000F63CF"/>
    <w:rsid w:val="000F7631"/>
    <w:rsid w:val="001007CE"/>
    <w:rsid w:val="00102916"/>
    <w:rsid w:val="001044B2"/>
    <w:rsid w:val="00111E71"/>
    <w:rsid w:val="00111F48"/>
    <w:rsid w:val="00113AFB"/>
    <w:rsid w:val="0011583D"/>
    <w:rsid w:val="001204DC"/>
    <w:rsid w:val="00122D54"/>
    <w:rsid w:val="00125AE7"/>
    <w:rsid w:val="00126546"/>
    <w:rsid w:val="00131AA2"/>
    <w:rsid w:val="00133DB0"/>
    <w:rsid w:val="001340A4"/>
    <w:rsid w:val="00136037"/>
    <w:rsid w:val="00140B3D"/>
    <w:rsid w:val="001512DF"/>
    <w:rsid w:val="001552C2"/>
    <w:rsid w:val="00157DE2"/>
    <w:rsid w:val="0016094B"/>
    <w:rsid w:val="0016230C"/>
    <w:rsid w:val="00166D5C"/>
    <w:rsid w:val="00171BBE"/>
    <w:rsid w:val="00183C65"/>
    <w:rsid w:val="00186363"/>
    <w:rsid w:val="00186EDC"/>
    <w:rsid w:val="00190CD3"/>
    <w:rsid w:val="001916FC"/>
    <w:rsid w:val="001A7FAF"/>
    <w:rsid w:val="001B6DC6"/>
    <w:rsid w:val="001B6FF0"/>
    <w:rsid w:val="001D1142"/>
    <w:rsid w:val="001D36DD"/>
    <w:rsid w:val="001D37B8"/>
    <w:rsid w:val="001D5FB9"/>
    <w:rsid w:val="001E2456"/>
    <w:rsid w:val="001E45F8"/>
    <w:rsid w:val="001E7A73"/>
    <w:rsid w:val="001F2FA8"/>
    <w:rsid w:val="00201F21"/>
    <w:rsid w:val="00206C76"/>
    <w:rsid w:val="00210BFC"/>
    <w:rsid w:val="00211368"/>
    <w:rsid w:val="00211396"/>
    <w:rsid w:val="00211507"/>
    <w:rsid w:val="002117F1"/>
    <w:rsid w:val="00212AE2"/>
    <w:rsid w:val="00216056"/>
    <w:rsid w:val="0021619B"/>
    <w:rsid w:val="00216674"/>
    <w:rsid w:val="00216C57"/>
    <w:rsid w:val="002212DF"/>
    <w:rsid w:val="0022565F"/>
    <w:rsid w:val="00225F10"/>
    <w:rsid w:val="00227192"/>
    <w:rsid w:val="0022720D"/>
    <w:rsid w:val="00236BE8"/>
    <w:rsid w:val="00240393"/>
    <w:rsid w:val="0024191D"/>
    <w:rsid w:val="002444B3"/>
    <w:rsid w:val="00245982"/>
    <w:rsid w:val="0024787F"/>
    <w:rsid w:val="002568CF"/>
    <w:rsid w:val="002573C2"/>
    <w:rsid w:val="0026022B"/>
    <w:rsid w:val="00260B75"/>
    <w:rsid w:val="00262050"/>
    <w:rsid w:val="00266608"/>
    <w:rsid w:val="00271F90"/>
    <w:rsid w:val="00280873"/>
    <w:rsid w:val="002837C0"/>
    <w:rsid w:val="00284261"/>
    <w:rsid w:val="00286284"/>
    <w:rsid w:val="00291AA3"/>
    <w:rsid w:val="002A01E9"/>
    <w:rsid w:val="002A4BEC"/>
    <w:rsid w:val="002A5832"/>
    <w:rsid w:val="002A5E83"/>
    <w:rsid w:val="002A7D61"/>
    <w:rsid w:val="002B3666"/>
    <w:rsid w:val="002B74B3"/>
    <w:rsid w:val="002C15C3"/>
    <w:rsid w:val="002D2870"/>
    <w:rsid w:val="002D4AC8"/>
    <w:rsid w:val="002D7A14"/>
    <w:rsid w:val="002E0450"/>
    <w:rsid w:val="002E5971"/>
    <w:rsid w:val="002E7042"/>
    <w:rsid w:val="002F5211"/>
    <w:rsid w:val="002F6F03"/>
    <w:rsid w:val="003020DA"/>
    <w:rsid w:val="003033A5"/>
    <w:rsid w:val="00304BAD"/>
    <w:rsid w:val="003055B5"/>
    <w:rsid w:val="00313BCD"/>
    <w:rsid w:val="00317030"/>
    <w:rsid w:val="0031717B"/>
    <w:rsid w:val="0032039D"/>
    <w:rsid w:val="003209EB"/>
    <w:rsid w:val="00323870"/>
    <w:rsid w:val="00327E4E"/>
    <w:rsid w:val="00335835"/>
    <w:rsid w:val="00340658"/>
    <w:rsid w:val="0034731A"/>
    <w:rsid w:val="00352B89"/>
    <w:rsid w:val="00355C24"/>
    <w:rsid w:val="00356A39"/>
    <w:rsid w:val="00361354"/>
    <w:rsid w:val="0036577F"/>
    <w:rsid w:val="00367243"/>
    <w:rsid w:val="00367514"/>
    <w:rsid w:val="003719F8"/>
    <w:rsid w:val="00372687"/>
    <w:rsid w:val="00373275"/>
    <w:rsid w:val="003733EA"/>
    <w:rsid w:val="00374DA7"/>
    <w:rsid w:val="00377E11"/>
    <w:rsid w:val="00384054"/>
    <w:rsid w:val="00386270"/>
    <w:rsid w:val="003864C4"/>
    <w:rsid w:val="003865FE"/>
    <w:rsid w:val="0039357A"/>
    <w:rsid w:val="003956E4"/>
    <w:rsid w:val="0039747B"/>
    <w:rsid w:val="003A11DD"/>
    <w:rsid w:val="003A2B71"/>
    <w:rsid w:val="003A51CC"/>
    <w:rsid w:val="003A7E15"/>
    <w:rsid w:val="003B120A"/>
    <w:rsid w:val="003C4BF9"/>
    <w:rsid w:val="003C7026"/>
    <w:rsid w:val="003E6F08"/>
    <w:rsid w:val="003F0138"/>
    <w:rsid w:val="003F6768"/>
    <w:rsid w:val="004041B0"/>
    <w:rsid w:val="00405DAD"/>
    <w:rsid w:val="00416DD1"/>
    <w:rsid w:val="00417428"/>
    <w:rsid w:val="00422961"/>
    <w:rsid w:val="004257AF"/>
    <w:rsid w:val="00425DEE"/>
    <w:rsid w:val="00430000"/>
    <w:rsid w:val="004306BE"/>
    <w:rsid w:val="00431606"/>
    <w:rsid w:val="0043293B"/>
    <w:rsid w:val="0043686B"/>
    <w:rsid w:val="0043699C"/>
    <w:rsid w:val="00436FC5"/>
    <w:rsid w:val="00441D8E"/>
    <w:rsid w:val="00442E8D"/>
    <w:rsid w:val="00443CFF"/>
    <w:rsid w:val="004440CB"/>
    <w:rsid w:val="00447833"/>
    <w:rsid w:val="00450DC0"/>
    <w:rsid w:val="00454153"/>
    <w:rsid w:val="00463BA9"/>
    <w:rsid w:val="00465108"/>
    <w:rsid w:val="00466B64"/>
    <w:rsid w:val="004713D2"/>
    <w:rsid w:val="00474B6E"/>
    <w:rsid w:val="004803EF"/>
    <w:rsid w:val="0048314C"/>
    <w:rsid w:val="00484C80"/>
    <w:rsid w:val="0049190B"/>
    <w:rsid w:val="004925C2"/>
    <w:rsid w:val="00495EF1"/>
    <w:rsid w:val="004A45CC"/>
    <w:rsid w:val="004A5A1C"/>
    <w:rsid w:val="004A700E"/>
    <w:rsid w:val="004A75C2"/>
    <w:rsid w:val="004A7E55"/>
    <w:rsid w:val="004B1555"/>
    <w:rsid w:val="004B184E"/>
    <w:rsid w:val="004B4F54"/>
    <w:rsid w:val="004B57F1"/>
    <w:rsid w:val="004B5F48"/>
    <w:rsid w:val="004B5FF6"/>
    <w:rsid w:val="004B73C3"/>
    <w:rsid w:val="004C1E96"/>
    <w:rsid w:val="004C3646"/>
    <w:rsid w:val="004C5C04"/>
    <w:rsid w:val="004D0C31"/>
    <w:rsid w:val="004D2E44"/>
    <w:rsid w:val="004E6939"/>
    <w:rsid w:val="004F116C"/>
    <w:rsid w:val="004F2167"/>
    <w:rsid w:val="004F6FCA"/>
    <w:rsid w:val="004F7715"/>
    <w:rsid w:val="004F7A8E"/>
    <w:rsid w:val="00500124"/>
    <w:rsid w:val="00511F62"/>
    <w:rsid w:val="005162CD"/>
    <w:rsid w:val="00522F58"/>
    <w:rsid w:val="005271FC"/>
    <w:rsid w:val="00531FC9"/>
    <w:rsid w:val="00533EA6"/>
    <w:rsid w:val="00537BE2"/>
    <w:rsid w:val="005420F8"/>
    <w:rsid w:val="0054464C"/>
    <w:rsid w:val="00546E6B"/>
    <w:rsid w:val="00547023"/>
    <w:rsid w:val="00551BE9"/>
    <w:rsid w:val="0055373A"/>
    <w:rsid w:val="00554062"/>
    <w:rsid w:val="00555018"/>
    <w:rsid w:val="00555895"/>
    <w:rsid w:val="005652E9"/>
    <w:rsid w:val="00567C7F"/>
    <w:rsid w:val="0057027A"/>
    <w:rsid w:val="005723DC"/>
    <w:rsid w:val="00573B7F"/>
    <w:rsid w:val="00582DD0"/>
    <w:rsid w:val="00586EC8"/>
    <w:rsid w:val="00591533"/>
    <w:rsid w:val="00596B28"/>
    <w:rsid w:val="005B0E94"/>
    <w:rsid w:val="005B1744"/>
    <w:rsid w:val="005B6234"/>
    <w:rsid w:val="005B66A6"/>
    <w:rsid w:val="005C09CD"/>
    <w:rsid w:val="005C1C36"/>
    <w:rsid w:val="005C4B68"/>
    <w:rsid w:val="005C4D4A"/>
    <w:rsid w:val="005D16AE"/>
    <w:rsid w:val="005D3419"/>
    <w:rsid w:val="005D5756"/>
    <w:rsid w:val="005D74B5"/>
    <w:rsid w:val="005E2888"/>
    <w:rsid w:val="005F6061"/>
    <w:rsid w:val="005F7758"/>
    <w:rsid w:val="006060E8"/>
    <w:rsid w:val="00616564"/>
    <w:rsid w:val="00620654"/>
    <w:rsid w:val="006240DF"/>
    <w:rsid w:val="00625BEF"/>
    <w:rsid w:val="0063493D"/>
    <w:rsid w:val="0064709E"/>
    <w:rsid w:val="006476BA"/>
    <w:rsid w:val="00647EF3"/>
    <w:rsid w:val="00650CC1"/>
    <w:rsid w:val="006538DD"/>
    <w:rsid w:val="00655B31"/>
    <w:rsid w:val="00660BE9"/>
    <w:rsid w:val="00666B20"/>
    <w:rsid w:val="0066715F"/>
    <w:rsid w:val="00672428"/>
    <w:rsid w:val="00672B31"/>
    <w:rsid w:val="00672BDB"/>
    <w:rsid w:val="00672F34"/>
    <w:rsid w:val="00681404"/>
    <w:rsid w:val="0068389B"/>
    <w:rsid w:val="00684045"/>
    <w:rsid w:val="00691253"/>
    <w:rsid w:val="006A4E82"/>
    <w:rsid w:val="006A5408"/>
    <w:rsid w:val="006B6547"/>
    <w:rsid w:val="006B6AD1"/>
    <w:rsid w:val="006C08BE"/>
    <w:rsid w:val="006C35F0"/>
    <w:rsid w:val="006C7F58"/>
    <w:rsid w:val="006D0A11"/>
    <w:rsid w:val="006E2E0B"/>
    <w:rsid w:val="006E4533"/>
    <w:rsid w:val="006F1AC4"/>
    <w:rsid w:val="006F1BF4"/>
    <w:rsid w:val="006F2754"/>
    <w:rsid w:val="007029CB"/>
    <w:rsid w:val="00704838"/>
    <w:rsid w:val="00710733"/>
    <w:rsid w:val="00721538"/>
    <w:rsid w:val="007245A7"/>
    <w:rsid w:val="00725E15"/>
    <w:rsid w:val="00732000"/>
    <w:rsid w:val="00732046"/>
    <w:rsid w:val="0073291B"/>
    <w:rsid w:val="00734F14"/>
    <w:rsid w:val="0073726B"/>
    <w:rsid w:val="00747EF5"/>
    <w:rsid w:val="007552A4"/>
    <w:rsid w:val="00787CE1"/>
    <w:rsid w:val="00794163"/>
    <w:rsid w:val="007955EB"/>
    <w:rsid w:val="007969FA"/>
    <w:rsid w:val="007A440C"/>
    <w:rsid w:val="007A65B7"/>
    <w:rsid w:val="007B0216"/>
    <w:rsid w:val="007B29C5"/>
    <w:rsid w:val="007B37B8"/>
    <w:rsid w:val="007C0E48"/>
    <w:rsid w:val="007C1F1D"/>
    <w:rsid w:val="007C424D"/>
    <w:rsid w:val="007C4E3F"/>
    <w:rsid w:val="007D2A1C"/>
    <w:rsid w:val="007D3268"/>
    <w:rsid w:val="007D3A72"/>
    <w:rsid w:val="007D781C"/>
    <w:rsid w:val="007E4961"/>
    <w:rsid w:val="007F4D01"/>
    <w:rsid w:val="007F51BB"/>
    <w:rsid w:val="007F7E09"/>
    <w:rsid w:val="008030D0"/>
    <w:rsid w:val="008036FA"/>
    <w:rsid w:val="008055E5"/>
    <w:rsid w:val="00810058"/>
    <w:rsid w:val="0081473A"/>
    <w:rsid w:val="008150C5"/>
    <w:rsid w:val="008151E7"/>
    <w:rsid w:val="00820C41"/>
    <w:rsid w:val="00820FB1"/>
    <w:rsid w:val="00822D6D"/>
    <w:rsid w:val="008249FB"/>
    <w:rsid w:val="00825EDE"/>
    <w:rsid w:val="00826F21"/>
    <w:rsid w:val="00833C7C"/>
    <w:rsid w:val="00834490"/>
    <w:rsid w:val="00846BCC"/>
    <w:rsid w:val="00847031"/>
    <w:rsid w:val="00847DFA"/>
    <w:rsid w:val="00851399"/>
    <w:rsid w:val="00852066"/>
    <w:rsid w:val="008539BD"/>
    <w:rsid w:val="008608CF"/>
    <w:rsid w:val="00861BE2"/>
    <w:rsid w:val="00863042"/>
    <w:rsid w:val="00864AB6"/>
    <w:rsid w:val="00865B71"/>
    <w:rsid w:val="00867E18"/>
    <w:rsid w:val="008716C9"/>
    <w:rsid w:val="00872BBB"/>
    <w:rsid w:val="008809B7"/>
    <w:rsid w:val="00891A43"/>
    <w:rsid w:val="0089391E"/>
    <w:rsid w:val="00894D95"/>
    <w:rsid w:val="008A39ED"/>
    <w:rsid w:val="008B0A93"/>
    <w:rsid w:val="008B0B86"/>
    <w:rsid w:val="008B468A"/>
    <w:rsid w:val="008B4BD8"/>
    <w:rsid w:val="008B5847"/>
    <w:rsid w:val="008C0030"/>
    <w:rsid w:val="008C0E91"/>
    <w:rsid w:val="008C4566"/>
    <w:rsid w:val="008D3334"/>
    <w:rsid w:val="008D7BBF"/>
    <w:rsid w:val="008E1EBA"/>
    <w:rsid w:val="008E224C"/>
    <w:rsid w:val="008F1C5C"/>
    <w:rsid w:val="008F5D43"/>
    <w:rsid w:val="008F6C2E"/>
    <w:rsid w:val="00900BBC"/>
    <w:rsid w:val="00900E67"/>
    <w:rsid w:val="009020E9"/>
    <w:rsid w:val="00902500"/>
    <w:rsid w:val="00905CE5"/>
    <w:rsid w:val="00907032"/>
    <w:rsid w:val="00907AB7"/>
    <w:rsid w:val="00913A92"/>
    <w:rsid w:val="00917CC1"/>
    <w:rsid w:val="00920B28"/>
    <w:rsid w:val="00923770"/>
    <w:rsid w:val="0092428A"/>
    <w:rsid w:val="009242BD"/>
    <w:rsid w:val="0092735F"/>
    <w:rsid w:val="00933FCA"/>
    <w:rsid w:val="009431BD"/>
    <w:rsid w:val="009459C5"/>
    <w:rsid w:val="00946F1E"/>
    <w:rsid w:val="009522B0"/>
    <w:rsid w:val="00955961"/>
    <w:rsid w:val="009568D4"/>
    <w:rsid w:val="0096360B"/>
    <w:rsid w:val="00982C1A"/>
    <w:rsid w:val="00983AB6"/>
    <w:rsid w:val="0098541C"/>
    <w:rsid w:val="00992E7E"/>
    <w:rsid w:val="009931FA"/>
    <w:rsid w:val="00994622"/>
    <w:rsid w:val="00994F91"/>
    <w:rsid w:val="0099635E"/>
    <w:rsid w:val="009A0459"/>
    <w:rsid w:val="009A1696"/>
    <w:rsid w:val="009A1B28"/>
    <w:rsid w:val="009A25AD"/>
    <w:rsid w:val="009A3F77"/>
    <w:rsid w:val="009A46B2"/>
    <w:rsid w:val="009A7260"/>
    <w:rsid w:val="009B32C3"/>
    <w:rsid w:val="009B3EC9"/>
    <w:rsid w:val="009B5C4F"/>
    <w:rsid w:val="009B7621"/>
    <w:rsid w:val="009C04F0"/>
    <w:rsid w:val="009C05CC"/>
    <w:rsid w:val="009C3CA3"/>
    <w:rsid w:val="009C5037"/>
    <w:rsid w:val="009C7613"/>
    <w:rsid w:val="009D179A"/>
    <w:rsid w:val="009E0352"/>
    <w:rsid w:val="009E283A"/>
    <w:rsid w:val="009E61F3"/>
    <w:rsid w:val="009F0960"/>
    <w:rsid w:val="009F299E"/>
    <w:rsid w:val="00A01401"/>
    <w:rsid w:val="00A06136"/>
    <w:rsid w:val="00A10332"/>
    <w:rsid w:val="00A20F36"/>
    <w:rsid w:val="00A2408B"/>
    <w:rsid w:val="00A24FF0"/>
    <w:rsid w:val="00A31043"/>
    <w:rsid w:val="00A31728"/>
    <w:rsid w:val="00A3463D"/>
    <w:rsid w:val="00A3526E"/>
    <w:rsid w:val="00A42870"/>
    <w:rsid w:val="00A5002D"/>
    <w:rsid w:val="00A50C6B"/>
    <w:rsid w:val="00A51E6A"/>
    <w:rsid w:val="00A53C3E"/>
    <w:rsid w:val="00A55696"/>
    <w:rsid w:val="00A5635B"/>
    <w:rsid w:val="00A573F4"/>
    <w:rsid w:val="00A601FB"/>
    <w:rsid w:val="00A63DA1"/>
    <w:rsid w:val="00A652F4"/>
    <w:rsid w:val="00A71420"/>
    <w:rsid w:val="00A7172C"/>
    <w:rsid w:val="00A76B35"/>
    <w:rsid w:val="00A85B33"/>
    <w:rsid w:val="00A87421"/>
    <w:rsid w:val="00A9029D"/>
    <w:rsid w:val="00A96AFE"/>
    <w:rsid w:val="00AA0572"/>
    <w:rsid w:val="00AA5403"/>
    <w:rsid w:val="00AA747B"/>
    <w:rsid w:val="00AA7C09"/>
    <w:rsid w:val="00AA7D33"/>
    <w:rsid w:val="00AB116C"/>
    <w:rsid w:val="00AB2211"/>
    <w:rsid w:val="00AB3E72"/>
    <w:rsid w:val="00AB47B7"/>
    <w:rsid w:val="00AE0816"/>
    <w:rsid w:val="00AE502C"/>
    <w:rsid w:val="00AE61B7"/>
    <w:rsid w:val="00AF6B6E"/>
    <w:rsid w:val="00AF78F5"/>
    <w:rsid w:val="00B01E59"/>
    <w:rsid w:val="00B025F1"/>
    <w:rsid w:val="00B06551"/>
    <w:rsid w:val="00B07557"/>
    <w:rsid w:val="00B10CFD"/>
    <w:rsid w:val="00B12CB1"/>
    <w:rsid w:val="00B16332"/>
    <w:rsid w:val="00B1727E"/>
    <w:rsid w:val="00B25D7F"/>
    <w:rsid w:val="00B26C1A"/>
    <w:rsid w:val="00B27A23"/>
    <w:rsid w:val="00B31424"/>
    <w:rsid w:val="00B31666"/>
    <w:rsid w:val="00B379CD"/>
    <w:rsid w:val="00B41B01"/>
    <w:rsid w:val="00B464F4"/>
    <w:rsid w:val="00B55A2E"/>
    <w:rsid w:val="00B5619A"/>
    <w:rsid w:val="00B61D17"/>
    <w:rsid w:val="00B667AD"/>
    <w:rsid w:val="00B677A5"/>
    <w:rsid w:val="00B70D78"/>
    <w:rsid w:val="00B80495"/>
    <w:rsid w:val="00B82E15"/>
    <w:rsid w:val="00B85CAD"/>
    <w:rsid w:val="00B86DAF"/>
    <w:rsid w:val="00B96183"/>
    <w:rsid w:val="00BA02D1"/>
    <w:rsid w:val="00BA1637"/>
    <w:rsid w:val="00BA4773"/>
    <w:rsid w:val="00BA50A7"/>
    <w:rsid w:val="00BA50FB"/>
    <w:rsid w:val="00BB11DD"/>
    <w:rsid w:val="00BB51F9"/>
    <w:rsid w:val="00BC13E4"/>
    <w:rsid w:val="00BC1413"/>
    <w:rsid w:val="00BC1CC8"/>
    <w:rsid w:val="00BC219F"/>
    <w:rsid w:val="00BC2FF9"/>
    <w:rsid w:val="00BC5327"/>
    <w:rsid w:val="00BC5366"/>
    <w:rsid w:val="00BC6644"/>
    <w:rsid w:val="00BD3E7C"/>
    <w:rsid w:val="00BD3EDB"/>
    <w:rsid w:val="00BD41EE"/>
    <w:rsid w:val="00BD695C"/>
    <w:rsid w:val="00BE3C56"/>
    <w:rsid w:val="00BE7F3F"/>
    <w:rsid w:val="00BF2D9E"/>
    <w:rsid w:val="00BF5118"/>
    <w:rsid w:val="00BF730D"/>
    <w:rsid w:val="00C02317"/>
    <w:rsid w:val="00C03D0E"/>
    <w:rsid w:val="00C05F5F"/>
    <w:rsid w:val="00C07219"/>
    <w:rsid w:val="00C10130"/>
    <w:rsid w:val="00C10670"/>
    <w:rsid w:val="00C1245E"/>
    <w:rsid w:val="00C13304"/>
    <w:rsid w:val="00C17EFC"/>
    <w:rsid w:val="00C24E03"/>
    <w:rsid w:val="00C25A59"/>
    <w:rsid w:val="00C325CD"/>
    <w:rsid w:val="00C33ADE"/>
    <w:rsid w:val="00C413BE"/>
    <w:rsid w:val="00C4227C"/>
    <w:rsid w:val="00C51640"/>
    <w:rsid w:val="00C51A98"/>
    <w:rsid w:val="00C51F05"/>
    <w:rsid w:val="00C551BC"/>
    <w:rsid w:val="00C5636E"/>
    <w:rsid w:val="00C56E89"/>
    <w:rsid w:val="00C575C3"/>
    <w:rsid w:val="00C57B47"/>
    <w:rsid w:val="00C62936"/>
    <w:rsid w:val="00C637AC"/>
    <w:rsid w:val="00C679E6"/>
    <w:rsid w:val="00C71022"/>
    <w:rsid w:val="00C83326"/>
    <w:rsid w:val="00C9798D"/>
    <w:rsid w:val="00CA313F"/>
    <w:rsid w:val="00CA73C3"/>
    <w:rsid w:val="00CB2471"/>
    <w:rsid w:val="00CB2CEB"/>
    <w:rsid w:val="00CB3363"/>
    <w:rsid w:val="00CB4C6F"/>
    <w:rsid w:val="00CB5029"/>
    <w:rsid w:val="00CC0A38"/>
    <w:rsid w:val="00CC2425"/>
    <w:rsid w:val="00CC29FD"/>
    <w:rsid w:val="00CC5096"/>
    <w:rsid w:val="00CC6A98"/>
    <w:rsid w:val="00CD1C8C"/>
    <w:rsid w:val="00CD2DE7"/>
    <w:rsid w:val="00CF1FA0"/>
    <w:rsid w:val="00CF2E92"/>
    <w:rsid w:val="00CF635C"/>
    <w:rsid w:val="00CF656F"/>
    <w:rsid w:val="00D04026"/>
    <w:rsid w:val="00D044DF"/>
    <w:rsid w:val="00D074DC"/>
    <w:rsid w:val="00D11EE6"/>
    <w:rsid w:val="00D12D27"/>
    <w:rsid w:val="00D163DC"/>
    <w:rsid w:val="00D21706"/>
    <w:rsid w:val="00D22881"/>
    <w:rsid w:val="00D23610"/>
    <w:rsid w:val="00D31897"/>
    <w:rsid w:val="00D3281A"/>
    <w:rsid w:val="00D41EE9"/>
    <w:rsid w:val="00D4695C"/>
    <w:rsid w:val="00D52740"/>
    <w:rsid w:val="00D52967"/>
    <w:rsid w:val="00D62BD8"/>
    <w:rsid w:val="00D648D2"/>
    <w:rsid w:val="00D724A7"/>
    <w:rsid w:val="00D729D7"/>
    <w:rsid w:val="00D74C61"/>
    <w:rsid w:val="00D764B2"/>
    <w:rsid w:val="00D77F6B"/>
    <w:rsid w:val="00D800A0"/>
    <w:rsid w:val="00D825F4"/>
    <w:rsid w:val="00D90C2A"/>
    <w:rsid w:val="00D9162E"/>
    <w:rsid w:val="00D921D7"/>
    <w:rsid w:val="00D93FCD"/>
    <w:rsid w:val="00D944EF"/>
    <w:rsid w:val="00D95B55"/>
    <w:rsid w:val="00DA2E24"/>
    <w:rsid w:val="00DA4832"/>
    <w:rsid w:val="00DA50E1"/>
    <w:rsid w:val="00DA5289"/>
    <w:rsid w:val="00DA53BF"/>
    <w:rsid w:val="00DA6D52"/>
    <w:rsid w:val="00DA6E2C"/>
    <w:rsid w:val="00DB0AC6"/>
    <w:rsid w:val="00DC2188"/>
    <w:rsid w:val="00DC23FD"/>
    <w:rsid w:val="00DD1A22"/>
    <w:rsid w:val="00DD4992"/>
    <w:rsid w:val="00DE06CE"/>
    <w:rsid w:val="00DF3052"/>
    <w:rsid w:val="00DF76AE"/>
    <w:rsid w:val="00E00D79"/>
    <w:rsid w:val="00E01085"/>
    <w:rsid w:val="00E01E0D"/>
    <w:rsid w:val="00E03133"/>
    <w:rsid w:val="00E07038"/>
    <w:rsid w:val="00E122F8"/>
    <w:rsid w:val="00E1539E"/>
    <w:rsid w:val="00E231F4"/>
    <w:rsid w:val="00E23330"/>
    <w:rsid w:val="00E24F85"/>
    <w:rsid w:val="00E30776"/>
    <w:rsid w:val="00E32245"/>
    <w:rsid w:val="00E33AAB"/>
    <w:rsid w:val="00E36F69"/>
    <w:rsid w:val="00E37DFA"/>
    <w:rsid w:val="00E37F0A"/>
    <w:rsid w:val="00E43766"/>
    <w:rsid w:val="00E51AF5"/>
    <w:rsid w:val="00E5754E"/>
    <w:rsid w:val="00E6600C"/>
    <w:rsid w:val="00E72D08"/>
    <w:rsid w:val="00E74FE2"/>
    <w:rsid w:val="00E81D63"/>
    <w:rsid w:val="00E82964"/>
    <w:rsid w:val="00E832F8"/>
    <w:rsid w:val="00E91552"/>
    <w:rsid w:val="00E919C9"/>
    <w:rsid w:val="00E9335B"/>
    <w:rsid w:val="00E93639"/>
    <w:rsid w:val="00E97310"/>
    <w:rsid w:val="00EA3D72"/>
    <w:rsid w:val="00EB05C9"/>
    <w:rsid w:val="00EB0E66"/>
    <w:rsid w:val="00EB5B70"/>
    <w:rsid w:val="00EB7E17"/>
    <w:rsid w:val="00EC711D"/>
    <w:rsid w:val="00EC78B0"/>
    <w:rsid w:val="00ED25CF"/>
    <w:rsid w:val="00ED730C"/>
    <w:rsid w:val="00EE37F1"/>
    <w:rsid w:val="00EE4109"/>
    <w:rsid w:val="00EE4273"/>
    <w:rsid w:val="00EE77C9"/>
    <w:rsid w:val="00EF0F6B"/>
    <w:rsid w:val="00EF30EB"/>
    <w:rsid w:val="00F00D28"/>
    <w:rsid w:val="00F01751"/>
    <w:rsid w:val="00F024FA"/>
    <w:rsid w:val="00F042CB"/>
    <w:rsid w:val="00F05138"/>
    <w:rsid w:val="00F06528"/>
    <w:rsid w:val="00F1001A"/>
    <w:rsid w:val="00F10B0A"/>
    <w:rsid w:val="00F12BB4"/>
    <w:rsid w:val="00F205AE"/>
    <w:rsid w:val="00F257D7"/>
    <w:rsid w:val="00F30892"/>
    <w:rsid w:val="00F32A02"/>
    <w:rsid w:val="00F35BC6"/>
    <w:rsid w:val="00F40C6E"/>
    <w:rsid w:val="00F4279B"/>
    <w:rsid w:val="00F4582D"/>
    <w:rsid w:val="00F5105E"/>
    <w:rsid w:val="00F51457"/>
    <w:rsid w:val="00F524DA"/>
    <w:rsid w:val="00F60BB0"/>
    <w:rsid w:val="00F640E0"/>
    <w:rsid w:val="00F70BCF"/>
    <w:rsid w:val="00F710E9"/>
    <w:rsid w:val="00F7392D"/>
    <w:rsid w:val="00F75CEC"/>
    <w:rsid w:val="00F86609"/>
    <w:rsid w:val="00F87D0C"/>
    <w:rsid w:val="00F94690"/>
    <w:rsid w:val="00F96D77"/>
    <w:rsid w:val="00FA0B16"/>
    <w:rsid w:val="00FA3215"/>
    <w:rsid w:val="00FA377D"/>
    <w:rsid w:val="00FA6DF1"/>
    <w:rsid w:val="00FA7708"/>
    <w:rsid w:val="00FB33D3"/>
    <w:rsid w:val="00FB4DFD"/>
    <w:rsid w:val="00FB585D"/>
    <w:rsid w:val="00FB690E"/>
    <w:rsid w:val="00FC0BF4"/>
    <w:rsid w:val="00FC3DDF"/>
    <w:rsid w:val="00FC53C5"/>
    <w:rsid w:val="00FD14DB"/>
    <w:rsid w:val="00FD3033"/>
    <w:rsid w:val="00FD50C7"/>
    <w:rsid w:val="00FE0B43"/>
    <w:rsid w:val="00FE1845"/>
    <w:rsid w:val="00FF1960"/>
    <w:rsid w:val="00FF4DD7"/>
    <w:rsid w:val="00FF4E3B"/>
    <w:rsid w:val="00FF6C2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Heading1">
    <w:name w:val="heading 1"/>
    <w:basedOn w:val="Normal"/>
    <w:next w:val="Normal"/>
    <w:qFormat/>
    <w:rsid w:val="00B41B01"/>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DA6D52"/>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41B01"/>
  </w:style>
  <w:style w:type="paragraph" w:customStyle="1" w:styleId="Title2">
    <w:name w:val="Title2"/>
    <w:basedOn w:val="Normal"/>
    <w:next w:val="Normal"/>
    <w:rsid w:val="00B41B01"/>
    <w:pPr>
      <w:tabs>
        <w:tab w:val="left" w:pos="648"/>
        <w:tab w:val="right" w:pos="7776"/>
        <w:tab w:val="left" w:pos="7848"/>
      </w:tabs>
    </w:pPr>
  </w:style>
  <w:style w:type="paragraph" w:styleId="Header">
    <w:name w:val="header"/>
    <w:basedOn w:val="Normal"/>
    <w:link w:val="HeaderChar"/>
    <w:uiPriority w:val="99"/>
    <w:rsid w:val="00B41B01"/>
    <w:pPr>
      <w:tabs>
        <w:tab w:val="center" w:pos="4320"/>
        <w:tab w:val="right" w:pos="8640"/>
      </w:tabs>
    </w:pPr>
    <w:rPr>
      <w:lang w:val="x-none" w:eastAsia="x-none"/>
    </w:rPr>
  </w:style>
  <w:style w:type="paragraph" w:styleId="Footer">
    <w:name w:val="footer"/>
    <w:basedOn w:val="Normal"/>
    <w:rsid w:val="00B41B01"/>
    <w:pPr>
      <w:tabs>
        <w:tab w:val="center" w:pos="4320"/>
        <w:tab w:val="right" w:pos="8640"/>
      </w:tabs>
    </w:pPr>
  </w:style>
  <w:style w:type="character" w:styleId="PageNumber">
    <w:name w:val="page number"/>
    <w:basedOn w:val="DefaultParagraphFont"/>
    <w:uiPriority w:val="99"/>
    <w:rsid w:val="00B41B01"/>
  </w:style>
  <w:style w:type="paragraph" w:styleId="BodyText2">
    <w:name w:val="Body Text 2"/>
    <w:basedOn w:val="Normal"/>
    <w:link w:val="BodyText2Ch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BodyText2Char">
    <w:name w:val="Body Text 2 Char"/>
    <w:link w:val="BodyText2"/>
    <w:rsid w:val="00891A43"/>
    <w:rPr>
      <w:sz w:val="24"/>
      <w:lang w:val="es-ES_tradnl"/>
    </w:rPr>
  </w:style>
  <w:style w:type="paragraph" w:styleId="BodyTextIndent2">
    <w:name w:val="Body Text Indent 2"/>
    <w:basedOn w:val="Normal"/>
    <w:link w:val="BodyTextIndent2Char"/>
    <w:uiPriority w:val="99"/>
    <w:semiHidden/>
    <w:unhideWhenUsed/>
    <w:rsid w:val="008E1EBA"/>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8E1EBA"/>
    <w:rPr>
      <w:sz w:val="24"/>
    </w:rPr>
  </w:style>
  <w:style w:type="paragraph" w:styleId="BodyTextIndent">
    <w:name w:val="Body Text Indent"/>
    <w:basedOn w:val="Normal"/>
    <w:link w:val="BodyTextIndentChar"/>
    <w:uiPriority w:val="99"/>
    <w:semiHidden/>
    <w:unhideWhenUsed/>
    <w:rsid w:val="008E1EBA"/>
    <w:pPr>
      <w:spacing w:after="120"/>
      <w:ind w:left="360"/>
    </w:pPr>
    <w:rPr>
      <w:lang w:val="x-none" w:eastAsia="x-none"/>
    </w:rPr>
  </w:style>
  <w:style w:type="character" w:customStyle="1" w:styleId="BodyTextIndentChar">
    <w:name w:val="Body Text Indent Char"/>
    <w:link w:val="BodyTextIndent"/>
    <w:uiPriority w:val="99"/>
    <w:semiHidden/>
    <w:rsid w:val="008E1EBA"/>
    <w:rPr>
      <w:sz w:val="24"/>
    </w:rPr>
  </w:style>
  <w:style w:type="table" w:styleId="TableGrid">
    <w:name w:val="Table Grid"/>
    <w:basedOn w:val="Table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133"/>
    <w:pPr>
      <w:ind w:left="720"/>
      <w:contextualSpacing/>
    </w:pPr>
  </w:style>
  <w:style w:type="paragraph" w:styleId="BalloonText">
    <w:name w:val="Balloon Text"/>
    <w:basedOn w:val="Normal"/>
    <w:link w:val="BalloonTextChar"/>
    <w:uiPriority w:val="99"/>
    <w:semiHidden/>
    <w:unhideWhenUsed/>
    <w:rsid w:val="00D52967"/>
    <w:rPr>
      <w:rFonts w:ascii="Tahoma" w:hAnsi="Tahoma"/>
      <w:sz w:val="16"/>
      <w:szCs w:val="16"/>
      <w:lang w:val="x-none" w:eastAsia="x-none"/>
    </w:rPr>
  </w:style>
  <w:style w:type="character" w:customStyle="1" w:styleId="BalloonTextChar">
    <w:name w:val="Balloon Text Char"/>
    <w:link w:val="BalloonText"/>
    <w:uiPriority w:val="99"/>
    <w:semiHidden/>
    <w:rsid w:val="00D52967"/>
    <w:rPr>
      <w:rFonts w:ascii="Tahoma" w:hAnsi="Tahoma" w:cs="Tahoma"/>
      <w:sz w:val="16"/>
      <w:szCs w:val="16"/>
    </w:rPr>
  </w:style>
  <w:style w:type="character" w:customStyle="1" w:styleId="HeaderChar">
    <w:name w:val="Header Char"/>
    <w:link w:val="Header"/>
    <w:uiPriority w:val="99"/>
    <w:rsid w:val="00C56E89"/>
    <w:rPr>
      <w:sz w:val="24"/>
    </w:rPr>
  </w:style>
  <w:style w:type="character" w:styleId="CommentReference">
    <w:name w:val="annotation reference"/>
    <w:uiPriority w:val="99"/>
    <w:semiHidden/>
    <w:unhideWhenUsed/>
    <w:rsid w:val="00DA6D52"/>
    <w:rPr>
      <w:sz w:val="16"/>
      <w:szCs w:val="16"/>
    </w:rPr>
  </w:style>
  <w:style w:type="paragraph" w:styleId="CommentText">
    <w:name w:val="annotation text"/>
    <w:basedOn w:val="Normal"/>
    <w:link w:val="CommentTextChar"/>
    <w:uiPriority w:val="99"/>
    <w:semiHidden/>
    <w:unhideWhenUsed/>
    <w:rsid w:val="00DA6D52"/>
    <w:rPr>
      <w:sz w:val="20"/>
    </w:rPr>
  </w:style>
  <w:style w:type="character" w:customStyle="1" w:styleId="CommentTextChar">
    <w:name w:val="Comment Text Char"/>
    <w:basedOn w:val="DefaultParagraphFont"/>
    <w:link w:val="CommentText"/>
    <w:uiPriority w:val="99"/>
    <w:semiHidden/>
    <w:rsid w:val="00DA6D52"/>
  </w:style>
  <w:style w:type="paragraph" w:styleId="CommentSubject">
    <w:name w:val="annotation subject"/>
    <w:basedOn w:val="CommentText"/>
    <w:next w:val="CommentText"/>
    <w:link w:val="CommentSubjectChar"/>
    <w:uiPriority w:val="99"/>
    <w:semiHidden/>
    <w:unhideWhenUsed/>
    <w:rsid w:val="00DA6D52"/>
    <w:rPr>
      <w:b/>
      <w:bCs/>
    </w:rPr>
  </w:style>
  <w:style w:type="character" w:customStyle="1" w:styleId="CommentSubjectChar">
    <w:name w:val="Comment Subject Char"/>
    <w:link w:val="CommentSubject"/>
    <w:uiPriority w:val="99"/>
    <w:semiHidden/>
    <w:rsid w:val="00DA6D52"/>
    <w:rPr>
      <w:b/>
      <w:bCs/>
    </w:rPr>
  </w:style>
  <w:style w:type="character" w:customStyle="1" w:styleId="Heading2Char">
    <w:name w:val="Heading 2 Char"/>
    <w:link w:val="Heading2"/>
    <w:uiPriority w:val="9"/>
    <w:semiHidden/>
    <w:rsid w:val="00DA6D52"/>
    <w:rPr>
      <w:rFonts w:ascii="Calibri Light" w:eastAsia="Times New Roman" w:hAnsi="Calibri Light" w:cs="Times New Roman"/>
      <w:b/>
      <w:bCs/>
      <w:i/>
      <w:iCs/>
      <w:sz w:val="28"/>
      <w:szCs w:val="28"/>
    </w:rPr>
  </w:style>
  <w:style w:type="paragraph" w:styleId="Revision">
    <w:name w:val="Revision"/>
    <w:hidden/>
    <w:uiPriority w:val="99"/>
    <w:semiHidden/>
    <w:rsid w:val="00DA6D52"/>
    <w:rPr>
      <w:sz w:val="24"/>
    </w:rPr>
  </w:style>
  <w:style w:type="character" w:styleId="Hyperlink">
    <w:name w:val="Hyperlink"/>
    <w:basedOn w:val="DefaultParagraphFont"/>
    <w:uiPriority w:val="99"/>
    <w:unhideWhenUsed/>
    <w:rsid w:val="00CC29FD"/>
    <w:rPr>
      <w:color w:val="0563C1" w:themeColor="hyperlink"/>
      <w:u w:val="single"/>
    </w:rPr>
  </w:style>
  <w:style w:type="character" w:styleId="UnresolvedMention">
    <w:name w:val="Unresolved Mention"/>
    <w:basedOn w:val="DefaultParagraphFont"/>
    <w:uiPriority w:val="99"/>
    <w:semiHidden/>
    <w:unhideWhenUsed/>
    <w:rsid w:val="00CC29FD"/>
    <w:rPr>
      <w:color w:val="605E5C"/>
      <w:shd w:val="clear" w:color="auto" w:fill="E1DFDD"/>
    </w:rPr>
  </w:style>
  <w:style w:type="paragraph" w:styleId="NormalWeb">
    <w:name w:val="Normal (Web)"/>
    <w:basedOn w:val="Normal"/>
    <w:uiPriority w:val="99"/>
    <w:semiHidden/>
    <w:unhideWhenUsed/>
    <w:rsid w:val="00070D7E"/>
    <w:rPr>
      <w:szCs w:val="24"/>
    </w:rPr>
  </w:style>
  <w:style w:type="paragraph" w:styleId="FootnoteText">
    <w:name w:val="footnote text"/>
    <w:basedOn w:val="Normal"/>
    <w:link w:val="FootnoteTextChar"/>
    <w:uiPriority w:val="99"/>
    <w:semiHidden/>
    <w:unhideWhenUsed/>
    <w:rsid w:val="00085877"/>
    <w:rPr>
      <w:sz w:val="20"/>
    </w:rPr>
  </w:style>
  <w:style w:type="character" w:customStyle="1" w:styleId="FootnoteTextChar">
    <w:name w:val="Footnote Text Char"/>
    <w:basedOn w:val="DefaultParagraphFont"/>
    <w:link w:val="FootnoteText"/>
    <w:uiPriority w:val="99"/>
    <w:semiHidden/>
    <w:rsid w:val="00085877"/>
  </w:style>
  <w:style w:type="character" w:styleId="FootnoteReference">
    <w:name w:val="footnote reference"/>
    <w:basedOn w:val="DefaultParagraphFont"/>
    <w:uiPriority w:val="99"/>
    <w:semiHidden/>
    <w:unhideWhenUsed/>
    <w:rsid w:val="000858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4840">
      <w:bodyDiv w:val="1"/>
      <w:marLeft w:val="0"/>
      <w:marRight w:val="0"/>
      <w:marTop w:val="0"/>
      <w:marBottom w:val="0"/>
      <w:divBdr>
        <w:top w:val="none" w:sz="0" w:space="0" w:color="auto"/>
        <w:left w:val="none" w:sz="0" w:space="0" w:color="auto"/>
        <w:bottom w:val="none" w:sz="0" w:space="0" w:color="auto"/>
        <w:right w:val="none" w:sz="0" w:space="0" w:color="auto"/>
      </w:divBdr>
    </w:div>
    <w:div w:id="92670310">
      <w:bodyDiv w:val="1"/>
      <w:marLeft w:val="0"/>
      <w:marRight w:val="0"/>
      <w:marTop w:val="0"/>
      <w:marBottom w:val="0"/>
      <w:divBdr>
        <w:top w:val="none" w:sz="0" w:space="0" w:color="auto"/>
        <w:left w:val="none" w:sz="0" w:space="0" w:color="auto"/>
        <w:bottom w:val="none" w:sz="0" w:space="0" w:color="auto"/>
        <w:right w:val="none" w:sz="0" w:space="0" w:color="auto"/>
      </w:divBdr>
    </w:div>
    <w:div w:id="126093817">
      <w:bodyDiv w:val="1"/>
      <w:marLeft w:val="0"/>
      <w:marRight w:val="0"/>
      <w:marTop w:val="0"/>
      <w:marBottom w:val="0"/>
      <w:divBdr>
        <w:top w:val="none" w:sz="0" w:space="0" w:color="auto"/>
        <w:left w:val="none" w:sz="0" w:space="0" w:color="auto"/>
        <w:bottom w:val="none" w:sz="0" w:space="0" w:color="auto"/>
        <w:right w:val="none" w:sz="0" w:space="0" w:color="auto"/>
      </w:divBdr>
    </w:div>
    <w:div w:id="178659773">
      <w:bodyDiv w:val="1"/>
      <w:marLeft w:val="0"/>
      <w:marRight w:val="0"/>
      <w:marTop w:val="0"/>
      <w:marBottom w:val="0"/>
      <w:divBdr>
        <w:top w:val="none" w:sz="0" w:space="0" w:color="auto"/>
        <w:left w:val="none" w:sz="0" w:space="0" w:color="auto"/>
        <w:bottom w:val="none" w:sz="0" w:space="0" w:color="auto"/>
        <w:right w:val="none" w:sz="0" w:space="0" w:color="auto"/>
      </w:divBdr>
    </w:div>
    <w:div w:id="337004153">
      <w:bodyDiv w:val="1"/>
      <w:marLeft w:val="0"/>
      <w:marRight w:val="0"/>
      <w:marTop w:val="0"/>
      <w:marBottom w:val="0"/>
      <w:divBdr>
        <w:top w:val="none" w:sz="0" w:space="0" w:color="auto"/>
        <w:left w:val="none" w:sz="0" w:space="0" w:color="auto"/>
        <w:bottom w:val="none" w:sz="0" w:space="0" w:color="auto"/>
        <w:right w:val="none" w:sz="0" w:space="0" w:color="auto"/>
      </w:divBdr>
    </w:div>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30323979">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458232624">
      <w:bodyDiv w:val="1"/>
      <w:marLeft w:val="0"/>
      <w:marRight w:val="0"/>
      <w:marTop w:val="0"/>
      <w:marBottom w:val="0"/>
      <w:divBdr>
        <w:top w:val="none" w:sz="0" w:space="0" w:color="auto"/>
        <w:left w:val="none" w:sz="0" w:space="0" w:color="auto"/>
        <w:bottom w:val="none" w:sz="0" w:space="0" w:color="auto"/>
        <w:right w:val="none" w:sz="0" w:space="0" w:color="auto"/>
      </w:divBdr>
    </w:div>
    <w:div w:id="461046575">
      <w:bodyDiv w:val="1"/>
      <w:marLeft w:val="0"/>
      <w:marRight w:val="0"/>
      <w:marTop w:val="0"/>
      <w:marBottom w:val="0"/>
      <w:divBdr>
        <w:top w:val="none" w:sz="0" w:space="0" w:color="auto"/>
        <w:left w:val="none" w:sz="0" w:space="0" w:color="auto"/>
        <w:bottom w:val="none" w:sz="0" w:space="0" w:color="auto"/>
        <w:right w:val="none" w:sz="0" w:space="0" w:color="auto"/>
      </w:divBdr>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559169963">
      <w:bodyDiv w:val="1"/>
      <w:marLeft w:val="0"/>
      <w:marRight w:val="0"/>
      <w:marTop w:val="0"/>
      <w:marBottom w:val="0"/>
      <w:divBdr>
        <w:top w:val="none" w:sz="0" w:space="0" w:color="auto"/>
        <w:left w:val="none" w:sz="0" w:space="0" w:color="auto"/>
        <w:bottom w:val="none" w:sz="0" w:space="0" w:color="auto"/>
        <w:right w:val="none" w:sz="0" w:space="0" w:color="auto"/>
      </w:divBdr>
      <w:divsChild>
        <w:div w:id="135996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9866088">
      <w:bodyDiv w:val="1"/>
      <w:marLeft w:val="0"/>
      <w:marRight w:val="0"/>
      <w:marTop w:val="0"/>
      <w:marBottom w:val="0"/>
      <w:divBdr>
        <w:top w:val="none" w:sz="0" w:space="0" w:color="auto"/>
        <w:left w:val="none" w:sz="0" w:space="0" w:color="auto"/>
        <w:bottom w:val="none" w:sz="0" w:space="0" w:color="auto"/>
        <w:right w:val="none" w:sz="0" w:space="0" w:color="auto"/>
      </w:divBdr>
    </w:div>
    <w:div w:id="690956705">
      <w:bodyDiv w:val="1"/>
      <w:marLeft w:val="0"/>
      <w:marRight w:val="0"/>
      <w:marTop w:val="0"/>
      <w:marBottom w:val="0"/>
      <w:divBdr>
        <w:top w:val="none" w:sz="0" w:space="0" w:color="auto"/>
        <w:left w:val="none" w:sz="0" w:space="0" w:color="auto"/>
        <w:bottom w:val="none" w:sz="0" w:space="0" w:color="auto"/>
        <w:right w:val="none" w:sz="0" w:space="0" w:color="auto"/>
      </w:divBdr>
    </w:div>
    <w:div w:id="781531462">
      <w:bodyDiv w:val="1"/>
      <w:marLeft w:val="0"/>
      <w:marRight w:val="0"/>
      <w:marTop w:val="0"/>
      <w:marBottom w:val="0"/>
      <w:divBdr>
        <w:top w:val="none" w:sz="0" w:space="0" w:color="auto"/>
        <w:left w:val="none" w:sz="0" w:space="0" w:color="auto"/>
        <w:bottom w:val="none" w:sz="0" w:space="0" w:color="auto"/>
        <w:right w:val="none" w:sz="0" w:space="0" w:color="auto"/>
      </w:divBdr>
    </w:div>
    <w:div w:id="855655084">
      <w:bodyDiv w:val="1"/>
      <w:marLeft w:val="0"/>
      <w:marRight w:val="0"/>
      <w:marTop w:val="0"/>
      <w:marBottom w:val="0"/>
      <w:divBdr>
        <w:top w:val="none" w:sz="0" w:space="0" w:color="auto"/>
        <w:left w:val="none" w:sz="0" w:space="0" w:color="auto"/>
        <w:bottom w:val="none" w:sz="0" w:space="0" w:color="auto"/>
        <w:right w:val="none" w:sz="0" w:space="0" w:color="auto"/>
      </w:divBdr>
    </w:div>
    <w:div w:id="89346644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68900442">
      <w:bodyDiv w:val="1"/>
      <w:marLeft w:val="0"/>
      <w:marRight w:val="0"/>
      <w:marTop w:val="0"/>
      <w:marBottom w:val="0"/>
      <w:divBdr>
        <w:top w:val="none" w:sz="0" w:space="0" w:color="auto"/>
        <w:left w:val="none" w:sz="0" w:space="0" w:color="auto"/>
        <w:bottom w:val="none" w:sz="0" w:space="0" w:color="auto"/>
        <w:right w:val="none" w:sz="0" w:space="0" w:color="auto"/>
      </w:divBdr>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999429548">
      <w:bodyDiv w:val="1"/>
      <w:marLeft w:val="0"/>
      <w:marRight w:val="0"/>
      <w:marTop w:val="0"/>
      <w:marBottom w:val="0"/>
      <w:divBdr>
        <w:top w:val="none" w:sz="0" w:space="0" w:color="auto"/>
        <w:left w:val="none" w:sz="0" w:space="0" w:color="auto"/>
        <w:bottom w:val="none" w:sz="0" w:space="0" w:color="auto"/>
        <w:right w:val="none" w:sz="0" w:space="0" w:color="auto"/>
      </w:divBdr>
    </w:div>
    <w:div w:id="1001010730">
      <w:bodyDiv w:val="1"/>
      <w:marLeft w:val="0"/>
      <w:marRight w:val="0"/>
      <w:marTop w:val="0"/>
      <w:marBottom w:val="0"/>
      <w:divBdr>
        <w:top w:val="none" w:sz="0" w:space="0" w:color="auto"/>
        <w:left w:val="none" w:sz="0" w:space="0" w:color="auto"/>
        <w:bottom w:val="none" w:sz="0" w:space="0" w:color="auto"/>
        <w:right w:val="none" w:sz="0" w:space="0" w:color="auto"/>
      </w:divBdr>
    </w:div>
    <w:div w:id="1031078920">
      <w:bodyDiv w:val="1"/>
      <w:marLeft w:val="0"/>
      <w:marRight w:val="0"/>
      <w:marTop w:val="0"/>
      <w:marBottom w:val="0"/>
      <w:divBdr>
        <w:top w:val="none" w:sz="0" w:space="0" w:color="auto"/>
        <w:left w:val="none" w:sz="0" w:space="0" w:color="auto"/>
        <w:bottom w:val="none" w:sz="0" w:space="0" w:color="auto"/>
        <w:right w:val="none" w:sz="0" w:space="0" w:color="auto"/>
      </w:divBdr>
    </w:div>
    <w:div w:id="1079640910">
      <w:bodyDiv w:val="1"/>
      <w:marLeft w:val="0"/>
      <w:marRight w:val="0"/>
      <w:marTop w:val="0"/>
      <w:marBottom w:val="0"/>
      <w:divBdr>
        <w:top w:val="none" w:sz="0" w:space="0" w:color="auto"/>
        <w:left w:val="none" w:sz="0" w:space="0" w:color="auto"/>
        <w:bottom w:val="none" w:sz="0" w:space="0" w:color="auto"/>
        <w:right w:val="none" w:sz="0" w:space="0" w:color="auto"/>
      </w:divBdr>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368486468">
      <w:bodyDiv w:val="1"/>
      <w:marLeft w:val="0"/>
      <w:marRight w:val="0"/>
      <w:marTop w:val="0"/>
      <w:marBottom w:val="0"/>
      <w:divBdr>
        <w:top w:val="none" w:sz="0" w:space="0" w:color="auto"/>
        <w:left w:val="none" w:sz="0" w:space="0" w:color="auto"/>
        <w:bottom w:val="none" w:sz="0" w:space="0" w:color="auto"/>
        <w:right w:val="none" w:sz="0" w:space="0" w:color="auto"/>
      </w:divBdr>
      <w:divsChild>
        <w:div w:id="460803343">
          <w:marLeft w:val="0"/>
          <w:marRight w:val="0"/>
          <w:marTop w:val="0"/>
          <w:marBottom w:val="0"/>
          <w:divBdr>
            <w:top w:val="none" w:sz="0" w:space="0" w:color="auto"/>
            <w:left w:val="none" w:sz="0" w:space="0" w:color="auto"/>
            <w:bottom w:val="none" w:sz="0" w:space="0" w:color="auto"/>
            <w:right w:val="none" w:sz="0" w:space="0" w:color="auto"/>
          </w:divBdr>
        </w:div>
      </w:divsChild>
    </w:div>
    <w:div w:id="1412115229">
      <w:bodyDiv w:val="1"/>
      <w:marLeft w:val="0"/>
      <w:marRight w:val="0"/>
      <w:marTop w:val="0"/>
      <w:marBottom w:val="0"/>
      <w:divBdr>
        <w:top w:val="none" w:sz="0" w:space="0" w:color="auto"/>
        <w:left w:val="none" w:sz="0" w:space="0" w:color="auto"/>
        <w:bottom w:val="none" w:sz="0" w:space="0" w:color="auto"/>
        <w:right w:val="none" w:sz="0" w:space="0" w:color="auto"/>
      </w:divBdr>
    </w:div>
    <w:div w:id="1418675900">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619415719">
      <w:bodyDiv w:val="1"/>
      <w:marLeft w:val="0"/>
      <w:marRight w:val="0"/>
      <w:marTop w:val="0"/>
      <w:marBottom w:val="0"/>
      <w:divBdr>
        <w:top w:val="none" w:sz="0" w:space="0" w:color="auto"/>
        <w:left w:val="none" w:sz="0" w:space="0" w:color="auto"/>
        <w:bottom w:val="none" w:sz="0" w:space="0" w:color="auto"/>
        <w:right w:val="none" w:sz="0" w:space="0" w:color="auto"/>
      </w:divBdr>
      <w:divsChild>
        <w:div w:id="1237667478">
          <w:marLeft w:val="0"/>
          <w:marRight w:val="0"/>
          <w:marTop w:val="0"/>
          <w:marBottom w:val="0"/>
          <w:divBdr>
            <w:top w:val="none" w:sz="0" w:space="0" w:color="auto"/>
            <w:left w:val="none" w:sz="0" w:space="0" w:color="auto"/>
            <w:bottom w:val="none" w:sz="0" w:space="0" w:color="auto"/>
            <w:right w:val="none" w:sz="0" w:space="0" w:color="auto"/>
          </w:divBdr>
        </w:div>
      </w:divsChild>
    </w:div>
    <w:div w:id="1634213309">
      <w:bodyDiv w:val="1"/>
      <w:marLeft w:val="0"/>
      <w:marRight w:val="0"/>
      <w:marTop w:val="0"/>
      <w:marBottom w:val="0"/>
      <w:divBdr>
        <w:top w:val="none" w:sz="0" w:space="0" w:color="auto"/>
        <w:left w:val="none" w:sz="0" w:space="0" w:color="auto"/>
        <w:bottom w:val="none" w:sz="0" w:space="0" w:color="auto"/>
        <w:right w:val="none" w:sz="0" w:space="0" w:color="auto"/>
      </w:divBdr>
    </w:div>
    <w:div w:id="1645548350">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781219079">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1914780324">
      <w:bodyDiv w:val="1"/>
      <w:marLeft w:val="0"/>
      <w:marRight w:val="0"/>
      <w:marTop w:val="0"/>
      <w:marBottom w:val="0"/>
      <w:divBdr>
        <w:top w:val="none" w:sz="0" w:space="0" w:color="auto"/>
        <w:left w:val="none" w:sz="0" w:space="0" w:color="auto"/>
        <w:bottom w:val="none" w:sz="0" w:space="0" w:color="auto"/>
        <w:right w:val="none" w:sz="0" w:space="0" w:color="auto"/>
      </w:divBdr>
    </w:div>
    <w:div w:id="2024504273">
      <w:bodyDiv w:val="1"/>
      <w:marLeft w:val="0"/>
      <w:marRight w:val="0"/>
      <w:marTop w:val="0"/>
      <w:marBottom w:val="0"/>
      <w:divBdr>
        <w:top w:val="none" w:sz="0" w:space="0" w:color="auto"/>
        <w:left w:val="none" w:sz="0" w:space="0" w:color="auto"/>
        <w:bottom w:val="none" w:sz="0" w:space="0" w:color="auto"/>
        <w:right w:val="none" w:sz="0" w:space="0" w:color="auto"/>
      </w:divBdr>
    </w:div>
    <w:div w:id="2029024287">
      <w:bodyDiv w:val="1"/>
      <w:marLeft w:val="0"/>
      <w:marRight w:val="0"/>
      <w:marTop w:val="0"/>
      <w:marBottom w:val="0"/>
      <w:divBdr>
        <w:top w:val="none" w:sz="0" w:space="0" w:color="auto"/>
        <w:left w:val="none" w:sz="0" w:space="0" w:color="auto"/>
        <w:bottom w:val="none" w:sz="0" w:space="0" w:color="auto"/>
        <w:right w:val="none" w:sz="0" w:space="0" w:color="auto"/>
      </w:divBdr>
    </w:div>
    <w:div w:id="2058237671">
      <w:bodyDiv w:val="1"/>
      <w:marLeft w:val="0"/>
      <w:marRight w:val="0"/>
      <w:marTop w:val="0"/>
      <w:marBottom w:val="0"/>
      <w:divBdr>
        <w:top w:val="none" w:sz="0" w:space="0" w:color="auto"/>
        <w:left w:val="none" w:sz="0" w:space="0" w:color="auto"/>
        <w:bottom w:val="none" w:sz="0" w:space="0" w:color="auto"/>
        <w:right w:val="none" w:sz="0" w:space="0" w:color="auto"/>
      </w:divBdr>
    </w:div>
    <w:div w:id="2125463986">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2</TotalTime>
  <Pages>4</Pages>
  <Words>1276</Words>
  <Characters>6935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Gladys J. Burgos Torres</cp:lastModifiedBy>
  <cp:revision>4</cp:revision>
  <cp:lastPrinted>2025-08-21T18:22:00Z</cp:lastPrinted>
  <dcterms:created xsi:type="dcterms:W3CDTF">2025-08-21T19:04:00Z</dcterms:created>
  <dcterms:modified xsi:type="dcterms:W3CDTF">2025-08-22T13:49:00Z</dcterms:modified>
</cp:coreProperties>
</file>