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6080EE1D"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DF29E5">
        <w:rPr>
          <w:rFonts w:ascii="Book Antiqua" w:eastAsia="Book Antiqua" w:hAnsi="Book Antiqua" w:cs="Book Antiqua"/>
          <w:b/>
          <w:sz w:val="52"/>
          <w:szCs w:val="52"/>
        </w:rPr>
        <w:t>180</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56B797B7" w:rsidR="003867AC" w:rsidRPr="00700566" w:rsidRDefault="0035010C">
      <w:pPr>
        <w:spacing w:line="360" w:lineRule="auto"/>
        <w:jc w:val="center"/>
        <w:rPr>
          <w:rFonts w:ascii="Book Antiqua" w:eastAsia="Book Antiqua" w:hAnsi="Book Antiqua" w:cs="Book Antiqua"/>
          <w:b/>
        </w:rPr>
      </w:pPr>
      <w:r>
        <w:rPr>
          <w:rFonts w:ascii="Book Antiqua" w:eastAsia="Book Antiqua" w:hAnsi="Book Antiqua" w:cs="Book Antiqua"/>
        </w:rPr>
        <w:t>30</w:t>
      </w:r>
      <w:r w:rsidR="0085373F" w:rsidRPr="00700566">
        <w:rPr>
          <w:rFonts w:ascii="Book Antiqua" w:eastAsia="Book Antiqua" w:hAnsi="Book Antiqua" w:cs="Book Antiqua"/>
        </w:rPr>
        <w:t xml:space="preserve"> de </w:t>
      </w:r>
      <w:r w:rsidR="00790330">
        <w:rPr>
          <w:rFonts w:ascii="Book Antiqua" w:eastAsia="Book Antiqua" w:hAnsi="Book Antiqua" w:cs="Book Antiqua"/>
        </w:rPr>
        <w:t>octubre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4BE799AF"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DF29E5">
        <w:rPr>
          <w:rFonts w:ascii="Book Antiqua" w:eastAsia="Book Antiqua" w:hAnsi="Book Antiqua" w:cs="Book Antiqua"/>
          <w:color w:val="000000" w:themeColor="text1"/>
        </w:rPr>
        <w:t>180</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21207069" w14:textId="467D7591" w:rsidR="00DF29E5" w:rsidRPr="00DF29E5" w:rsidRDefault="009E6F04" w:rsidP="00DF29E5">
      <w:pPr>
        <w:ind w:firstLine="720"/>
        <w:jc w:val="both"/>
        <w:rPr>
          <w:rFonts w:ascii="Book Antiqua" w:eastAsia="Book Antiqua" w:hAnsi="Book Antiqua" w:cs="Book Antiqua"/>
          <w:color w:val="000000" w:themeColor="text1"/>
          <w:szCs w:val="24"/>
          <w:lang w:val="es-PR"/>
        </w:rPr>
      </w:pPr>
      <w:bookmarkStart w:id="0" w:name="_heading=h.gjdgxs" w:colFirst="0" w:colLast="0"/>
      <w:bookmarkEnd w:id="0"/>
      <w:r w:rsidRPr="00A343C6">
        <w:rPr>
          <w:rFonts w:ascii="Book Antiqua" w:eastAsia="Book Antiqua" w:hAnsi="Book Antiqua" w:cs="Book Antiqua"/>
          <w:color w:val="000000" w:themeColor="text1"/>
          <w:szCs w:val="24"/>
        </w:rPr>
        <w:t xml:space="preserve">La </w:t>
      </w:r>
      <w:r w:rsidR="00162E99" w:rsidRPr="00A343C6">
        <w:rPr>
          <w:rFonts w:ascii="Book Antiqua" w:eastAsia="Book Antiqua" w:hAnsi="Book Antiqua" w:cs="Book Antiqua"/>
          <w:color w:val="000000" w:themeColor="text1"/>
          <w:szCs w:val="24"/>
        </w:rPr>
        <w:t>Resolución</w:t>
      </w:r>
      <w:r w:rsidRPr="00A343C6">
        <w:rPr>
          <w:rFonts w:ascii="Book Antiqua" w:eastAsia="Book Antiqua" w:hAnsi="Book Antiqua" w:cs="Book Antiqua"/>
          <w:color w:val="000000" w:themeColor="text1"/>
          <w:szCs w:val="24"/>
        </w:rPr>
        <w:t xml:space="preserve"> Conj</w:t>
      </w:r>
      <w:r w:rsidR="00162E99" w:rsidRPr="00A343C6">
        <w:rPr>
          <w:rFonts w:ascii="Book Antiqua" w:eastAsia="Book Antiqua" w:hAnsi="Book Antiqua" w:cs="Book Antiqua"/>
          <w:color w:val="000000" w:themeColor="text1"/>
          <w:szCs w:val="24"/>
        </w:rPr>
        <w:t>unta de la Cámara</w:t>
      </w:r>
      <w:r w:rsidR="00A343C6">
        <w:rPr>
          <w:rFonts w:ascii="Book Antiqua" w:eastAsia="Book Antiqua" w:hAnsi="Book Antiqua" w:cs="Book Antiqua"/>
          <w:color w:val="000000" w:themeColor="text1"/>
          <w:szCs w:val="24"/>
        </w:rPr>
        <w:t xml:space="preserve"> Núm.</w:t>
      </w:r>
      <w:r w:rsidR="00162E99" w:rsidRPr="00A343C6">
        <w:rPr>
          <w:rFonts w:ascii="Book Antiqua" w:eastAsia="Book Antiqua" w:hAnsi="Book Antiqua" w:cs="Book Antiqua"/>
          <w:color w:val="000000" w:themeColor="text1"/>
          <w:szCs w:val="24"/>
        </w:rPr>
        <w:t xml:space="preserve"> </w:t>
      </w:r>
      <w:r w:rsidR="00DF29E5">
        <w:rPr>
          <w:rFonts w:ascii="Book Antiqua" w:eastAsia="Book Antiqua" w:hAnsi="Book Antiqua" w:cs="Book Antiqua"/>
          <w:color w:val="000000" w:themeColor="text1"/>
          <w:szCs w:val="24"/>
        </w:rPr>
        <w:t xml:space="preserve">180 </w:t>
      </w:r>
      <w:r w:rsidR="00DF29E5" w:rsidRPr="00DF29E5">
        <w:rPr>
          <w:rFonts w:ascii="Book Antiqua" w:eastAsia="Book Antiqua" w:hAnsi="Book Antiqua" w:cs="Book Antiqua"/>
          <w:color w:val="000000" w:themeColor="text1"/>
          <w:szCs w:val="24"/>
          <w:lang w:val="es-PR"/>
        </w:rPr>
        <w:t>propone designar el tramo de la Carretera Estatal PR-3336 desde el Km 0.0, intersección con la Carretera Luis Muñoz Rivera y la Carretera José de Diego (PR-127), hasta el Km 2.6, en el Municipio de Guayanilla, con el nombre “Carretera José Antonio Maíz Irizarry”.</w:t>
      </w:r>
    </w:p>
    <w:p w14:paraId="7485246A" w14:textId="77777777" w:rsidR="00DF29E5" w:rsidRPr="00DF29E5" w:rsidRDefault="00DF29E5" w:rsidP="00DF29E5">
      <w:pPr>
        <w:ind w:firstLine="720"/>
        <w:jc w:val="both"/>
        <w:rPr>
          <w:rFonts w:ascii="Book Antiqua" w:eastAsia="Book Antiqua" w:hAnsi="Book Antiqua" w:cs="Book Antiqua"/>
          <w:color w:val="000000" w:themeColor="text1"/>
          <w:szCs w:val="24"/>
          <w:lang w:val="es-PR"/>
        </w:rPr>
      </w:pPr>
    </w:p>
    <w:p w14:paraId="715A6225" w14:textId="67751AA9" w:rsidR="00D52A5D" w:rsidRPr="00D52A5D" w:rsidRDefault="00DF29E5" w:rsidP="006E76F1">
      <w:pPr>
        <w:ind w:firstLine="720"/>
        <w:jc w:val="both"/>
        <w:rPr>
          <w:rFonts w:ascii="Book Antiqua" w:eastAsia="Book Antiqua" w:hAnsi="Book Antiqua" w:cs="Book Antiqua"/>
          <w:color w:val="000000" w:themeColor="text1"/>
          <w:szCs w:val="24"/>
          <w:lang w:val="es-PR"/>
        </w:rPr>
      </w:pPr>
      <w:r w:rsidRPr="00DF29E5">
        <w:rPr>
          <w:rFonts w:ascii="Book Antiqua" w:eastAsia="Book Antiqua" w:hAnsi="Book Antiqua" w:cs="Book Antiqua"/>
          <w:color w:val="000000" w:themeColor="text1"/>
          <w:szCs w:val="24"/>
          <w:lang w:val="es-PR"/>
        </w:rPr>
        <w:t>La exposición de motivos establece que la PR-3336 formó parte de la ruta del ferrocarril en Guayanilla y que, en este corredor, se encontraba la antigua Estación del Tren del municipio, la cual jugó un rol significativo en el desarrollo económico y social durante décadas. José Antonio Maíz Irizarry fue su encargado por aproximadamente 27 años, siendo reconocido por la comunidad por su servicio al recibir y orientar a los pasajeros diariamente.</w:t>
      </w:r>
      <w:r w:rsidR="006E76F1">
        <w:rPr>
          <w:rFonts w:ascii="Book Antiqua" w:eastAsia="Book Antiqua" w:hAnsi="Book Antiqua" w:cs="Book Antiqua"/>
          <w:color w:val="000000" w:themeColor="text1"/>
          <w:szCs w:val="24"/>
          <w:lang w:val="es-PR"/>
        </w:rPr>
        <w:t xml:space="preserve"> </w:t>
      </w:r>
      <w:r w:rsidRPr="00DF29E5">
        <w:rPr>
          <w:rFonts w:ascii="Book Antiqua" w:eastAsia="Book Antiqua" w:hAnsi="Book Antiqua" w:cs="Book Antiqua"/>
          <w:color w:val="000000" w:themeColor="text1"/>
          <w:szCs w:val="24"/>
          <w:lang w:val="es-PR"/>
        </w:rPr>
        <w:t>La medida reconoce públicamente su legado, así como la aportación histórica del transporte ferroviario en la zona. </w:t>
      </w: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2D35DCA3" w14:textId="6A60950C" w:rsidR="00DC6066" w:rsidRDefault="00DC6066" w:rsidP="00C24F91">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6E76F1">
        <w:rPr>
          <w:rFonts w:ascii="Book Antiqua" w:eastAsia="Book Antiqua" w:hAnsi="Book Antiqua" w:cs="Book Antiqua"/>
        </w:rPr>
        <w:t>180</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w:t>
      </w:r>
      <w:r w:rsidR="002205F4">
        <w:rPr>
          <w:rFonts w:ascii="Book Antiqua" w:eastAsia="Book Antiqua" w:hAnsi="Book Antiqua" w:cs="Book Antiqua"/>
        </w:rPr>
        <w:t>es</w:t>
      </w:r>
      <w:r>
        <w:rPr>
          <w:rFonts w:ascii="Book Antiqua" w:eastAsia="Book Antiqua" w:hAnsi="Book Antiqua" w:cs="Book Antiqua"/>
        </w:rPr>
        <w:t xml:space="preserve"> explicativo</w:t>
      </w:r>
      <w:r w:rsidR="002205F4">
        <w:rPr>
          <w:rFonts w:ascii="Book Antiqua" w:eastAsia="Book Antiqua" w:hAnsi="Book Antiqua" w:cs="Book Antiqua"/>
        </w:rPr>
        <w:t xml:space="preserve">s </w:t>
      </w:r>
      <w:r w:rsidR="008E0700">
        <w:rPr>
          <w:rFonts w:ascii="Book Antiqua" w:eastAsia="Book Antiqua" w:hAnsi="Book Antiqua" w:cs="Book Antiqua"/>
        </w:rPr>
        <w:t xml:space="preserve">al </w:t>
      </w:r>
      <w:bookmarkStart w:id="3" w:name="_Hlk212561016"/>
      <w:r w:rsidR="008E0700">
        <w:rPr>
          <w:rFonts w:ascii="Book Antiqua" w:eastAsia="Book Antiqua" w:hAnsi="Book Antiqua" w:cs="Book Antiqua"/>
        </w:rPr>
        <w:t>Departamento de Transportación y Obras Públicas</w:t>
      </w:r>
      <w:r w:rsidR="00074381">
        <w:rPr>
          <w:rFonts w:ascii="Book Antiqua" w:eastAsia="Book Antiqua" w:hAnsi="Book Antiqua" w:cs="Book Antiqua"/>
        </w:rPr>
        <w:t xml:space="preserve"> (DTOP</w:t>
      </w:r>
      <w:r w:rsidR="00326545">
        <w:rPr>
          <w:rFonts w:ascii="Book Antiqua" w:eastAsia="Book Antiqua" w:hAnsi="Book Antiqua" w:cs="Book Antiqua"/>
        </w:rPr>
        <w:t>)</w:t>
      </w:r>
      <w:bookmarkEnd w:id="3"/>
      <w:r w:rsidR="00326545">
        <w:rPr>
          <w:rFonts w:ascii="Book Antiqua" w:eastAsia="Book Antiqua" w:hAnsi="Book Antiqua" w:cs="Book Antiqua"/>
        </w:rPr>
        <w:t>.</w:t>
      </w:r>
      <w:r w:rsidR="00E640A8">
        <w:rPr>
          <w:rFonts w:ascii="Book Antiqua" w:eastAsia="Book Antiqua" w:hAnsi="Book Antiqua" w:cs="Book Antiqua"/>
        </w:rPr>
        <w:t xml:space="preserve"> </w:t>
      </w: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lastRenderedPageBreak/>
        <w:t xml:space="preserve">                                    </w:t>
      </w:r>
      <w:r w:rsidR="00F841A9">
        <w:rPr>
          <w:rFonts w:ascii="Book Antiqua" w:hAnsi="Book Antiqua"/>
          <w:b/>
          <w:bCs/>
          <w:color w:val="000000" w:themeColor="text1"/>
        </w:rPr>
        <w:t xml:space="preserve">        </w:t>
      </w:r>
      <w:bookmarkStart w:id="4" w:name="_Hlk196743090"/>
    </w:p>
    <w:bookmarkEnd w:id="4"/>
    <w:p w14:paraId="3C15A384" w14:textId="385F97FF" w:rsidR="00DC6066" w:rsidRDefault="00326545" w:rsidP="00074381">
      <w:pPr>
        <w:jc w:val="center"/>
        <w:rPr>
          <w:rFonts w:ascii="Book Antiqua" w:hAnsi="Book Antiqua"/>
          <w:b/>
          <w:bCs/>
          <w:color w:val="000000" w:themeColor="text1"/>
          <w:u w:val="single"/>
        </w:rPr>
      </w:pPr>
      <w:r w:rsidRPr="00326545">
        <w:rPr>
          <w:rFonts w:ascii="Book Antiqua" w:hAnsi="Book Antiqua"/>
          <w:b/>
          <w:bCs/>
          <w:color w:val="000000" w:themeColor="text1"/>
          <w:u w:val="single"/>
        </w:rPr>
        <w:t>Departamento de Transportación y Obras Públicas (DTOP)</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1A8C6B07" w14:textId="77777777" w:rsidR="00C24F91" w:rsidRPr="00C24F91" w:rsidRDefault="007E0FCE" w:rsidP="00C24F91">
      <w:pPr>
        <w:jc w:val="both"/>
        <w:rPr>
          <w:rFonts w:ascii="Book Antiqua" w:hAnsi="Book Antiqua"/>
          <w:color w:val="000000" w:themeColor="text1"/>
          <w:lang w:val="es-PR"/>
        </w:rPr>
      </w:pPr>
      <w:r>
        <w:rPr>
          <w:rFonts w:ascii="Book Antiqua" w:hAnsi="Book Antiqua"/>
          <w:color w:val="000000" w:themeColor="text1"/>
        </w:rPr>
        <w:tab/>
      </w:r>
      <w:r w:rsidR="00C24F91" w:rsidRPr="00C24F91">
        <w:rPr>
          <w:rFonts w:ascii="Book Antiqua" w:hAnsi="Book Antiqua"/>
          <w:color w:val="000000" w:themeColor="text1"/>
          <w:lang w:val="es-PR"/>
        </w:rPr>
        <w:t>El DTOP expresó que la R. C. de la C. 180 tiene como propósito designar la Carretera PR-3336 con el nombre de “Carretera José Antonio Maíz Irizarry”, desde el Km 0.0 hasta el Km 2.6 en el Municipio de Guayanilla. El memorial destaca la aportación histórica de José Antonio Maíz Irizarry como administrador de la Estación del Tren en Guayanilla, siendo una figura reconocida por la comunidad.</w:t>
      </w:r>
    </w:p>
    <w:p w14:paraId="17F2B726" w14:textId="77777777" w:rsidR="00C24F91" w:rsidRPr="00C24F91" w:rsidRDefault="00C24F91" w:rsidP="00C24F91">
      <w:pPr>
        <w:jc w:val="both"/>
        <w:rPr>
          <w:rFonts w:ascii="Book Antiqua" w:hAnsi="Book Antiqua"/>
          <w:color w:val="000000" w:themeColor="text1"/>
          <w:lang w:val="es-PR"/>
        </w:rPr>
      </w:pPr>
    </w:p>
    <w:p w14:paraId="5568EAD8" w14:textId="77777777" w:rsidR="00C24F91" w:rsidRPr="00C24F91" w:rsidRDefault="00C24F91" w:rsidP="00C24F91">
      <w:pPr>
        <w:ind w:firstLine="720"/>
        <w:jc w:val="both"/>
        <w:rPr>
          <w:rFonts w:ascii="Book Antiqua" w:hAnsi="Book Antiqua"/>
          <w:color w:val="000000" w:themeColor="text1"/>
          <w:lang w:val="es-PR"/>
        </w:rPr>
      </w:pPr>
      <w:r w:rsidRPr="00C24F91">
        <w:rPr>
          <w:rFonts w:ascii="Book Antiqua" w:hAnsi="Book Antiqua"/>
          <w:color w:val="000000" w:themeColor="text1"/>
          <w:lang w:val="es-PR"/>
        </w:rPr>
        <w:t>Personal técnico de la Oficina de Tránsito evaluó el proyecto y concluyó que no existe objeción a la designación oficial de la vía pública. El DTOP indicó estar en disposición de colaborar en los procesos que correspondan para atender la rotulación asociada a la medida.</w:t>
      </w:r>
    </w:p>
    <w:p w14:paraId="35064998" w14:textId="77777777" w:rsidR="00C24F91" w:rsidRPr="00C24F91" w:rsidRDefault="00C24F91" w:rsidP="00C24F91">
      <w:pPr>
        <w:jc w:val="both"/>
        <w:rPr>
          <w:rFonts w:ascii="Book Antiqua" w:hAnsi="Book Antiqua"/>
          <w:color w:val="000000" w:themeColor="text1"/>
          <w:lang w:val="es-PR"/>
        </w:rPr>
      </w:pPr>
    </w:p>
    <w:p w14:paraId="4D421FFD" w14:textId="77777777" w:rsidR="00C24F91" w:rsidRPr="00C24F91" w:rsidRDefault="00C24F91" w:rsidP="00C24F91">
      <w:pPr>
        <w:ind w:firstLine="720"/>
        <w:jc w:val="both"/>
        <w:rPr>
          <w:rFonts w:ascii="Book Antiqua" w:hAnsi="Book Antiqua"/>
          <w:color w:val="000000" w:themeColor="text1"/>
          <w:lang w:val="es-PR"/>
        </w:rPr>
      </w:pPr>
      <w:r w:rsidRPr="00C24F91">
        <w:rPr>
          <w:rFonts w:ascii="Book Antiqua" w:hAnsi="Book Antiqua"/>
          <w:color w:val="000000" w:themeColor="text1"/>
          <w:lang w:val="es-PR"/>
        </w:rPr>
        <w:t xml:space="preserve">Finalmente, </w:t>
      </w:r>
      <w:r w:rsidRPr="00C24F91">
        <w:rPr>
          <w:rFonts w:ascii="Book Antiqua" w:hAnsi="Book Antiqua"/>
          <w:b/>
          <w:bCs/>
          <w:color w:val="000000" w:themeColor="text1"/>
          <w:lang w:val="es-PR"/>
        </w:rPr>
        <w:t>la agencia favorece la aprobación de la Resolución Conjunta</w:t>
      </w:r>
      <w:r w:rsidRPr="00C24F91">
        <w:rPr>
          <w:rFonts w:ascii="Book Antiqua" w:hAnsi="Book Antiqua"/>
          <w:color w:val="000000" w:themeColor="text1"/>
          <w:lang w:val="es-PR"/>
        </w:rPr>
        <w:t>, agradeciendo la oportunidad de emitir comentarios y señalando que la información provista debe ser útil para el proceso de evaluación legislativa.</w:t>
      </w:r>
    </w:p>
    <w:p w14:paraId="5ED2DB99" w14:textId="7CD20998" w:rsidR="009E3E69" w:rsidRPr="009E3E69" w:rsidRDefault="009E3E69" w:rsidP="00C24F91">
      <w:pPr>
        <w:jc w:val="both"/>
        <w:rPr>
          <w:rFonts w:ascii="Book Antiqua" w:hAnsi="Book Antiqua"/>
          <w:color w:val="000000" w:themeColor="text1"/>
          <w:lang w:val="es-PR"/>
        </w:rPr>
      </w:pPr>
    </w:p>
    <w:p w14:paraId="1DEF7D2C" w14:textId="77777777" w:rsidR="006D5E63" w:rsidRDefault="006D5E63" w:rsidP="00C24F91">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21B97967" w14:textId="77777777" w:rsidR="00610BDF" w:rsidRDefault="00610BDF" w:rsidP="006D5E63">
      <w:pPr>
        <w:jc w:val="both"/>
        <w:rPr>
          <w:rFonts w:ascii="Book Antiqua" w:hAnsi="Book Antiqua"/>
          <w:color w:val="000000" w:themeColor="text1"/>
          <w:lang w:val="es-PR"/>
        </w:rPr>
      </w:pPr>
    </w:p>
    <w:p w14:paraId="5595CDC1" w14:textId="77777777" w:rsidR="00610BDF" w:rsidRPr="006D5E63" w:rsidRDefault="00610BDF"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7A6BC0D0" w14:textId="7461A837" w:rsidR="000E1C5C" w:rsidRDefault="00987C5A" w:rsidP="000E1C5C">
      <w:pPr>
        <w:ind w:firstLine="720"/>
        <w:jc w:val="both"/>
        <w:rPr>
          <w:rFonts w:ascii="Book Antiqua" w:hAnsi="Book Antiqua"/>
          <w:lang w:val="es-PR"/>
        </w:rPr>
      </w:pPr>
      <w:r w:rsidRPr="00987C5A">
        <w:rPr>
          <w:rFonts w:ascii="Book Antiqua" w:eastAsia="Book Antiqua" w:hAnsi="Book Antiqua" w:cs="Book Antiqua"/>
        </w:rPr>
        <w:t xml:space="preserve">La Comisión de Transportación e Infraestructura, luego de evaluar la Resolución Conjunta de la Cámara Núm. </w:t>
      </w:r>
      <w:r w:rsidR="00DA250E">
        <w:rPr>
          <w:rFonts w:ascii="Book Antiqua" w:eastAsia="Book Antiqua" w:hAnsi="Book Antiqua" w:cs="Book Antiqua"/>
        </w:rPr>
        <w:t>180</w:t>
      </w:r>
      <w:r w:rsidRPr="00987C5A">
        <w:rPr>
          <w:rFonts w:ascii="Book Antiqua" w:eastAsia="Book Antiqua" w:hAnsi="Book Antiqua" w:cs="Book Antiqua"/>
        </w:rPr>
        <w:t>,</w:t>
      </w:r>
      <w:r w:rsidR="00E606CC" w:rsidRPr="00E606CC">
        <w:t xml:space="preserve"> </w:t>
      </w:r>
      <w:r w:rsidR="002E50D7" w:rsidRPr="002E50D7">
        <w:rPr>
          <w:rFonts w:ascii="Book Antiqua" w:hAnsi="Book Antiqua"/>
        </w:rPr>
        <w:t xml:space="preserve">concluye </w:t>
      </w:r>
      <w:r w:rsidR="000E1C5C" w:rsidRPr="002E50D7">
        <w:rPr>
          <w:rFonts w:ascii="Book Antiqua" w:hAnsi="Book Antiqua"/>
          <w:lang w:val="es-PR"/>
        </w:rPr>
        <w:t>que la medida es meritoria y cumple con los propósitos de reconocer y perpetuar la memoria de ciudadanos destacados cuyas aportaciones han tenido un impacto significativo en el desarrollo histórico y social de sus comunidades.</w:t>
      </w:r>
    </w:p>
    <w:p w14:paraId="60F83260" w14:textId="77777777" w:rsidR="002E50D7" w:rsidRPr="002E50D7" w:rsidRDefault="002E50D7" w:rsidP="000E1C5C">
      <w:pPr>
        <w:ind w:firstLine="720"/>
        <w:jc w:val="both"/>
        <w:rPr>
          <w:rFonts w:ascii="Book Antiqua" w:hAnsi="Book Antiqua"/>
          <w:lang w:val="es-PR"/>
        </w:rPr>
      </w:pPr>
    </w:p>
    <w:p w14:paraId="12D0E2ED" w14:textId="6F908CC2" w:rsidR="000E1C5C" w:rsidRDefault="000E1C5C" w:rsidP="000E1C5C">
      <w:pPr>
        <w:ind w:firstLine="720"/>
        <w:jc w:val="both"/>
        <w:rPr>
          <w:rFonts w:ascii="Book Antiqua" w:hAnsi="Book Antiqua"/>
          <w:lang w:val="es-PR"/>
        </w:rPr>
      </w:pPr>
      <w:r w:rsidRPr="000E1C5C">
        <w:rPr>
          <w:rFonts w:ascii="Book Antiqua" w:hAnsi="Book Antiqua"/>
          <w:lang w:val="es-PR"/>
        </w:rPr>
        <w:t xml:space="preserve">La designación de la PR-3336 como “Carretera José Antonio Maíz Irizarry” constituye un justo reconocimiento a un servidor público ejemplar y promueve el valor del patrimonio histórico de Guayanilla, particularmente vinculado al legado ferroviario del </w:t>
      </w:r>
      <w:r w:rsidR="00EF1C6B">
        <w:rPr>
          <w:rFonts w:ascii="Book Antiqua" w:hAnsi="Book Antiqua"/>
          <w:lang w:val="es-PR"/>
        </w:rPr>
        <w:t>M</w:t>
      </w:r>
      <w:r w:rsidRPr="000E1C5C">
        <w:rPr>
          <w:rFonts w:ascii="Book Antiqua" w:hAnsi="Book Antiqua"/>
          <w:lang w:val="es-PR"/>
        </w:rPr>
        <w:t>unicipio.</w:t>
      </w:r>
    </w:p>
    <w:p w14:paraId="55F331EE" w14:textId="77777777" w:rsidR="002E50D7" w:rsidRDefault="002E50D7" w:rsidP="000E1C5C">
      <w:pPr>
        <w:ind w:firstLine="720"/>
        <w:jc w:val="both"/>
        <w:rPr>
          <w:rFonts w:ascii="Book Antiqua" w:hAnsi="Book Antiqua"/>
          <w:lang w:val="es-PR"/>
        </w:rPr>
      </w:pPr>
    </w:p>
    <w:p w14:paraId="460441EB" w14:textId="77777777" w:rsidR="002E50D7" w:rsidRDefault="002E50D7" w:rsidP="000E1C5C">
      <w:pPr>
        <w:ind w:firstLine="720"/>
        <w:jc w:val="both"/>
        <w:rPr>
          <w:rFonts w:ascii="Book Antiqua" w:hAnsi="Book Antiqua"/>
          <w:lang w:val="es-PR"/>
        </w:rPr>
      </w:pPr>
    </w:p>
    <w:p w14:paraId="3CBB0464" w14:textId="77777777" w:rsidR="002E50D7" w:rsidRPr="000E1C5C" w:rsidRDefault="002E50D7" w:rsidP="000E1C5C">
      <w:pPr>
        <w:ind w:firstLine="720"/>
        <w:jc w:val="both"/>
        <w:rPr>
          <w:rFonts w:ascii="Book Antiqua" w:hAnsi="Book Antiqua"/>
          <w:lang w:val="es-PR"/>
        </w:rPr>
      </w:pPr>
    </w:p>
    <w:p w14:paraId="6F7F137F" w14:textId="024F1F46" w:rsidR="00D862EE" w:rsidRDefault="00D862EE" w:rsidP="00454E88">
      <w:pPr>
        <w:jc w:val="both"/>
        <w:rPr>
          <w:rFonts w:ascii="Book Antiqua" w:eastAsia="Book Antiqua" w:hAnsi="Book Antiqua" w:cs="Book Antiqua"/>
        </w:rPr>
      </w:pPr>
    </w:p>
    <w:p w14:paraId="6A2D18C1" w14:textId="77777777" w:rsidR="00E52E49" w:rsidRDefault="00E52E49" w:rsidP="004C1B5A">
      <w:pPr>
        <w:ind w:firstLine="720"/>
        <w:jc w:val="both"/>
        <w:rPr>
          <w:rFonts w:ascii="Book Antiqua" w:eastAsia="Book Antiqua" w:hAnsi="Book Antiqua" w:cs="Book Antiqua"/>
        </w:rPr>
      </w:pPr>
    </w:p>
    <w:p w14:paraId="00000025" w14:textId="5F8771FE"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DA250E">
        <w:rPr>
          <w:rFonts w:ascii="Book Antiqua" w:eastAsia="Book Antiqua" w:hAnsi="Book Antiqua" w:cs="Book Antiqua"/>
        </w:rPr>
        <w:t>180</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6EEAC" w14:textId="77777777" w:rsidR="00BE221F" w:rsidRDefault="00BE221F">
      <w:r>
        <w:separator/>
      </w:r>
    </w:p>
  </w:endnote>
  <w:endnote w:type="continuationSeparator" w:id="0">
    <w:p w14:paraId="41A292D6" w14:textId="77777777" w:rsidR="00BE221F" w:rsidRDefault="00BE2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9E0F0EB-160C-4735-8FB9-B8A0A0757B74}"/>
  </w:font>
  <w:font w:name="Helvetica">
    <w:panose1 w:val="020B0604020202020204"/>
    <w:charset w:val="00"/>
    <w:family w:val="swiss"/>
    <w:pitch w:val="variable"/>
    <w:sig w:usb0="E0002EFF" w:usb1="C000785B" w:usb2="00000009" w:usb3="00000000" w:csb0="000001FF" w:csb1="00000000"/>
    <w:embedRegular r:id="rId2" w:fontKey="{FEBA4D63-23A6-4F3C-A95E-7EE90F1B1F72}"/>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3B013F47-59CB-42D2-892C-C39E58BD50CD}"/>
  </w:font>
  <w:font w:name="Georgia">
    <w:panose1 w:val="02040502050405020303"/>
    <w:charset w:val="00"/>
    <w:family w:val="roman"/>
    <w:pitch w:val="variable"/>
    <w:sig w:usb0="00000287" w:usb1="00000000" w:usb2="00000000" w:usb3="00000000" w:csb0="0000009F" w:csb1="00000000"/>
    <w:embedRegular r:id="rId4" w:fontKey="{413CBEE6-28FD-47DE-9386-AB8F4C63E7A5}"/>
    <w:embedItalic r:id="rId5" w:fontKey="{D06FAE6B-0AB8-4BFD-8C53-DD7608BB391C}"/>
  </w:font>
  <w:font w:name="Book Antiqua">
    <w:panose1 w:val="02040602050305030304"/>
    <w:charset w:val="00"/>
    <w:family w:val="roman"/>
    <w:pitch w:val="variable"/>
    <w:sig w:usb0="00000287" w:usb1="00000000" w:usb2="00000000" w:usb3="00000000" w:csb0="0000009F" w:csb1="00000000"/>
    <w:embedRegular r:id="rId6" w:fontKey="{3D334866-7D90-49FE-8D61-5B7A5CC981DB}"/>
    <w:embedBold r:id="rId7" w:fontKey="{38CD5C48-49A1-4F91-AC24-51D3868039E7}"/>
  </w:font>
  <w:font w:name="Helvetica Neue">
    <w:charset w:val="00"/>
    <w:family w:val="auto"/>
    <w:pitch w:val="default"/>
    <w:embedRegular r:id="rId8" w:fontKey="{5215B6F2-976A-4575-8A71-9390E0472AC8}"/>
  </w:font>
  <w:font w:name="Lustria">
    <w:altName w:val="Calibri"/>
    <w:charset w:val="00"/>
    <w:family w:val="auto"/>
    <w:pitch w:val="default"/>
    <w:embedRegular r:id="rId9" w:fontKey="{ABD1C7D5-92A5-4609-9AEE-AD49E75A6033}"/>
    <w:embedBoldItalic r:id="rId10" w:fontKey="{CDB8E4AC-360F-4671-83DF-A42C42EC9D6D}"/>
  </w:font>
  <w:font w:name="Cambria">
    <w:panose1 w:val="02040503050406030204"/>
    <w:charset w:val="00"/>
    <w:family w:val="roman"/>
    <w:pitch w:val="variable"/>
    <w:sig w:usb0="E00006FF" w:usb1="420024FF" w:usb2="02000000" w:usb3="00000000" w:csb0="0000019F" w:csb1="00000000"/>
    <w:embedRegular r:id="rId11" w:fontKey="{E4245850-6416-4764-A5F2-58039F0B1B4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C18EB" w14:textId="77777777" w:rsidR="00BE221F" w:rsidRDefault="00BE221F">
      <w:r>
        <w:separator/>
      </w:r>
    </w:p>
  </w:footnote>
  <w:footnote w:type="continuationSeparator" w:id="0">
    <w:p w14:paraId="3B5689B5" w14:textId="77777777" w:rsidR="00BE221F" w:rsidRDefault="00BE2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29A207A"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276ED0">
      <w:rPr>
        <w:rFonts w:ascii="Lustria" w:eastAsia="Lustria" w:hAnsi="Lustria" w:cs="Lustria"/>
        <w:b/>
        <w:i/>
        <w:sz w:val="22"/>
        <w:szCs w:val="22"/>
      </w:rPr>
      <w:t>180</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1335"/>
    <w:rsid w:val="00014F74"/>
    <w:rsid w:val="0001669D"/>
    <w:rsid w:val="0002716B"/>
    <w:rsid w:val="000474BF"/>
    <w:rsid w:val="0005078D"/>
    <w:rsid w:val="00073383"/>
    <w:rsid w:val="00074381"/>
    <w:rsid w:val="00081999"/>
    <w:rsid w:val="000954FA"/>
    <w:rsid w:val="000A24B5"/>
    <w:rsid w:val="000D0AEC"/>
    <w:rsid w:val="000D6E2D"/>
    <w:rsid w:val="000E1C5C"/>
    <w:rsid w:val="001120D5"/>
    <w:rsid w:val="00123556"/>
    <w:rsid w:val="0012621A"/>
    <w:rsid w:val="00136F66"/>
    <w:rsid w:val="00142992"/>
    <w:rsid w:val="00162E99"/>
    <w:rsid w:val="00166443"/>
    <w:rsid w:val="00166DBA"/>
    <w:rsid w:val="001740BA"/>
    <w:rsid w:val="001B7B4C"/>
    <w:rsid w:val="001D2E22"/>
    <w:rsid w:val="001E27E2"/>
    <w:rsid w:val="001F4438"/>
    <w:rsid w:val="002205F4"/>
    <w:rsid w:val="0022375C"/>
    <w:rsid w:val="00223F0B"/>
    <w:rsid w:val="002360DD"/>
    <w:rsid w:val="0025299B"/>
    <w:rsid w:val="00262649"/>
    <w:rsid w:val="00276ED0"/>
    <w:rsid w:val="00294E5A"/>
    <w:rsid w:val="002E50D7"/>
    <w:rsid w:val="002F1B49"/>
    <w:rsid w:val="00326545"/>
    <w:rsid w:val="00330BEF"/>
    <w:rsid w:val="00333C82"/>
    <w:rsid w:val="00336056"/>
    <w:rsid w:val="00337D03"/>
    <w:rsid w:val="0035010C"/>
    <w:rsid w:val="0036416B"/>
    <w:rsid w:val="00371165"/>
    <w:rsid w:val="003867AC"/>
    <w:rsid w:val="003C7C26"/>
    <w:rsid w:val="003D5C07"/>
    <w:rsid w:val="003E1347"/>
    <w:rsid w:val="0043560D"/>
    <w:rsid w:val="00452828"/>
    <w:rsid w:val="00454E88"/>
    <w:rsid w:val="00465ECA"/>
    <w:rsid w:val="00483EF1"/>
    <w:rsid w:val="004C1B5A"/>
    <w:rsid w:val="004D4B21"/>
    <w:rsid w:val="00507562"/>
    <w:rsid w:val="00515AD9"/>
    <w:rsid w:val="00517E2C"/>
    <w:rsid w:val="005416C7"/>
    <w:rsid w:val="0054777A"/>
    <w:rsid w:val="00563BA1"/>
    <w:rsid w:val="00577950"/>
    <w:rsid w:val="00577FD5"/>
    <w:rsid w:val="005A68D3"/>
    <w:rsid w:val="005E1146"/>
    <w:rsid w:val="005F333D"/>
    <w:rsid w:val="00610BDF"/>
    <w:rsid w:val="006212C5"/>
    <w:rsid w:val="00627800"/>
    <w:rsid w:val="006D110C"/>
    <w:rsid w:val="006D5E63"/>
    <w:rsid w:val="006E76F1"/>
    <w:rsid w:val="00700566"/>
    <w:rsid w:val="007017B9"/>
    <w:rsid w:val="00726DD5"/>
    <w:rsid w:val="007276A1"/>
    <w:rsid w:val="00734787"/>
    <w:rsid w:val="0076596B"/>
    <w:rsid w:val="00770E7B"/>
    <w:rsid w:val="00782181"/>
    <w:rsid w:val="00785D01"/>
    <w:rsid w:val="00790330"/>
    <w:rsid w:val="007C60D2"/>
    <w:rsid w:val="007D7D6A"/>
    <w:rsid w:val="007E0FCE"/>
    <w:rsid w:val="00806873"/>
    <w:rsid w:val="008258F9"/>
    <w:rsid w:val="008355BE"/>
    <w:rsid w:val="008434BF"/>
    <w:rsid w:val="0085373F"/>
    <w:rsid w:val="0087061E"/>
    <w:rsid w:val="008E0700"/>
    <w:rsid w:val="008F30F0"/>
    <w:rsid w:val="009078E7"/>
    <w:rsid w:val="00914A7F"/>
    <w:rsid w:val="0094342D"/>
    <w:rsid w:val="00943961"/>
    <w:rsid w:val="009551DF"/>
    <w:rsid w:val="00965742"/>
    <w:rsid w:val="00987C5A"/>
    <w:rsid w:val="009A5A17"/>
    <w:rsid w:val="009B476A"/>
    <w:rsid w:val="009C2352"/>
    <w:rsid w:val="009E3E69"/>
    <w:rsid w:val="009E6F04"/>
    <w:rsid w:val="009F0BB7"/>
    <w:rsid w:val="00A343C6"/>
    <w:rsid w:val="00A42594"/>
    <w:rsid w:val="00A44A22"/>
    <w:rsid w:val="00A75C45"/>
    <w:rsid w:val="00AC77D8"/>
    <w:rsid w:val="00AD5D26"/>
    <w:rsid w:val="00AF6BB6"/>
    <w:rsid w:val="00B03AA1"/>
    <w:rsid w:val="00B172FA"/>
    <w:rsid w:val="00B32650"/>
    <w:rsid w:val="00B54CC1"/>
    <w:rsid w:val="00B61637"/>
    <w:rsid w:val="00B73354"/>
    <w:rsid w:val="00B83F9F"/>
    <w:rsid w:val="00B90788"/>
    <w:rsid w:val="00B94F42"/>
    <w:rsid w:val="00BE221F"/>
    <w:rsid w:val="00C24F91"/>
    <w:rsid w:val="00C3772E"/>
    <w:rsid w:val="00C577BB"/>
    <w:rsid w:val="00C86EC0"/>
    <w:rsid w:val="00C9741A"/>
    <w:rsid w:val="00CB45A2"/>
    <w:rsid w:val="00CC0F52"/>
    <w:rsid w:val="00CE31D2"/>
    <w:rsid w:val="00CE34E6"/>
    <w:rsid w:val="00CE3E07"/>
    <w:rsid w:val="00CE5944"/>
    <w:rsid w:val="00D14ED7"/>
    <w:rsid w:val="00D4238A"/>
    <w:rsid w:val="00D51C4E"/>
    <w:rsid w:val="00D52A5D"/>
    <w:rsid w:val="00D7350C"/>
    <w:rsid w:val="00D74285"/>
    <w:rsid w:val="00D862EE"/>
    <w:rsid w:val="00D92BD8"/>
    <w:rsid w:val="00DA0DAF"/>
    <w:rsid w:val="00DA250E"/>
    <w:rsid w:val="00DA2B1C"/>
    <w:rsid w:val="00DB2246"/>
    <w:rsid w:val="00DC6066"/>
    <w:rsid w:val="00DD6D1E"/>
    <w:rsid w:val="00DE6D37"/>
    <w:rsid w:val="00DF29E5"/>
    <w:rsid w:val="00DF2F20"/>
    <w:rsid w:val="00E04691"/>
    <w:rsid w:val="00E1221C"/>
    <w:rsid w:val="00E13DED"/>
    <w:rsid w:val="00E20394"/>
    <w:rsid w:val="00E21032"/>
    <w:rsid w:val="00E27ECE"/>
    <w:rsid w:val="00E34937"/>
    <w:rsid w:val="00E52E49"/>
    <w:rsid w:val="00E606CC"/>
    <w:rsid w:val="00E611E8"/>
    <w:rsid w:val="00E640A8"/>
    <w:rsid w:val="00EB0218"/>
    <w:rsid w:val="00EC70DA"/>
    <w:rsid w:val="00EE4E71"/>
    <w:rsid w:val="00EF1C6B"/>
    <w:rsid w:val="00F2205D"/>
    <w:rsid w:val="00F42078"/>
    <w:rsid w:val="00F81223"/>
    <w:rsid w:val="00F841A9"/>
    <w:rsid w:val="00F86041"/>
    <w:rsid w:val="00F96E64"/>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614</Words>
  <Characters>3505</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2025-10-28T20:27:00Z</cp:lastPrinted>
  <dcterms:created xsi:type="dcterms:W3CDTF">2025-10-30T18:27:00Z</dcterms:created>
  <dcterms:modified xsi:type="dcterms:W3CDTF">2025-10-30T18:27:00Z</dcterms:modified>
</cp:coreProperties>
</file>