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2E9A" w14:textId="77777777" w:rsidR="00673C93" w:rsidRPr="00E564E6" w:rsidRDefault="00673C93" w:rsidP="00673C93">
      <w:pPr>
        <w:jc w:val="center"/>
        <w:rPr>
          <w:rFonts w:ascii="Book Antiqua" w:hAnsi="Book Antiqua"/>
          <w:caps/>
          <w:sz w:val="28"/>
          <w:szCs w:val="28"/>
          <w:lang w:val="es-ES"/>
        </w:rPr>
      </w:pPr>
      <w:r w:rsidRPr="00E564E6">
        <w:rPr>
          <w:rFonts w:ascii="Book Antiqua" w:hAnsi="Book Antiqua"/>
          <w:caps/>
          <w:sz w:val="28"/>
          <w:szCs w:val="28"/>
          <w:lang w:val="es-ES"/>
        </w:rPr>
        <w:t>GOBIERNO de Puerto Rico</w:t>
      </w:r>
    </w:p>
    <w:p w14:paraId="39C794E0" w14:textId="77777777" w:rsidR="00673C93" w:rsidRPr="00E564E6" w:rsidRDefault="00673C93" w:rsidP="00673C93">
      <w:pPr>
        <w:jc w:val="center"/>
        <w:rPr>
          <w:rFonts w:ascii="Book Antiqua" w:hAnsi="Book Antiqua"/>
          <w:caps/>
          <w:szCs w:val="24"/>
          <w:lang w:val="es-ES"/>
        </w:rPr>
      </w:pPr>
    </w:p>
    <w:p w14:paraId="38A7216E" w14:textId="1C01060B" w:rsidR="00673C93" w:rsidRPr="00E564E6" w:rsidRDefault="00C23B64" w:rsidP="00673C93">
      <w:pPr>
        <w:jc w:val="both"/>
        <w:rPr>
          <w:rFonts w:ascii="Book Antiqua" w:hAnsi="Book Antiqua"/>
          <w:sz w:val="24"/>
          <w:szCs w:val="32"/>
          <w:lang w:val="es-ES"/>
        </w:rPr>
      </w:pPr>
      <w:r w:rsidRPr="00E564E6">
        <w:rPr>
          <w:rFonts w:ascii="Book Antiqua" w:hAnsi="Book Antiqua"/>
          <w:sz w:val="24"/>
          <w:szCs w:val="32"/>
          <w:lang w:val="es-ES"/>
        </w:rPr>
        <w:t>20m</w:t>
      </w:r>
      <w:r w:rsidR="00673C93" w:rsidRPr="00E564E6">
        <w:rPr>
          <w:rFonts w:ascii="Book Antiqua" w:hAnsi="Book Antiqua"/>
          <w:sz w:val="24"/>
          <w:szCs w:val="32"/>
          <w:lang w:val="es-ES"/>
        </w:rPr>
        <w:t>a. Asamblea</w:t>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t xml:space="preserve">           </w:t>
      </w:r>
      <w:r w:rsidR="00A31F93">
        <w:rPr>
          <w:rFonts w:ascii="Book Antiqua" w:hAnsi="Book Antiqua"/>
          <w:sz w:val="24"/>
          <w:szCs w:val="32"/>
          <w:lang w:val="es-ES"/>
        </w:rPr>
        <w:t>2d</w:t>
      </w:r>
      <w:r w:rsidR="00673C93" w:rsidRPr="00E564E6">
        <w:rPr>
          <w:rFonts w:ascii="Book Antiqua" w:hAnsi="Book Antiqua"/>
          <w:sz w:val="24"/>
          <w:szCs w:val="32"/>
          <w:lang w:val="es-ES"/>
        </w:rPr>
        <w:t>a. Sesión</w:t>
      </w:r>
    </w:p>
    <w:p w14:paraId="7EBA3A72" w14:textId="77777777" w:rsidR="00673C93" w:rsidRPr="00E564E6" w:rsidRDefault="00673C93" w:rsidP="00673C93">
      <w:pPr>
        <w:ind w:firstLine="561"/>
        <w:jc w:val="both"/>
        <w:rPr>
          <w:rFonts w:ascii="Book Antiqua" w:hAnsi="Book Antiqua"/>
          <w:sz w:val="24"/>
          <w:szCs w:val="32"/>
          <w:lang w:val="es-ES"/>
        </w:rPr>
      </w:pPr>
      <w:r w:rsidRPr="00E564E6">
        <w:rPr>
          <w:rFonts w:ascii="Book Antiqua" w:hAnsi="Book Antiqua"/>
          <w:sz w:val="24"/>
          <w:szCs w:val="32"/>
          <w:lang w:val="es-ES"/>
        </w:rPr>
        <w:t xml:space="preserve"> Legislativa</w:t>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t xml:space="preserve">      Ordinaria</w:t>
      </w:r>
    </w:p>
    <w:p w14:paraId="49611E2D" w14:textId="77777777" w:rsidR="00673C93" w:rsidRPr="00E564E6" w:rsidRDefault="00673C93" w:rsidP="00673C93">
      <w:pPr>
        <w:ind w:firstLine="561"/>
        <w:jc w:val="both"/>
        <w:rPr>
          <w:rFonts w:ascii="Book Antiqua" w:hAnsi="Book Antiqua"/>
          <w:sz w:val="24"/>
          <w:szCs w:val="24"/>
          <w:lang w:val="es-ES"/>
        </w:rPr>
      </w:pPr>
    </w:p>
    <w:p w14:paraId="2DCF7A71" w14:textId="77777777" w:rsidR="00673C93" w:rsidRPr="00E564E6" w:rsidRDefault="00673C93" w:rsidP="00673C93">
      <w:pPr>
        <w:jc w:val="center"/>
        <w:rPr>
          <w:rFonts w:ascii="Book Antiqua" w:hAnsi="Book Antiqua"/>
          <w:b/>
          <w:sz w:val="36"/>
          <w:szCs w:val="36"/>
          <w:lang w:val="es-ES"/>
        </w:rPr>
      </w:pPr>
      <w:r w:rsidRPr="00E564E6">
        <w:rPr>
          <w:rFonts w:ascii="Book Antiqua" w:hAnsi="Book Antiqua"/>
          <w:b/>
          <w:caps/>
          <w:sz w:val="36"/>
          <w:szCs w:val="36"/>
          <w:lang w:val="es-ES"/>
        </w:rPr>
        <w:t>Cámara</w:t>
      </w:r>
      <w:r w:rsidRPr="00E564E6">
        <w:rPr>
          <w:rFonts w:ascii="Book Antiqua" w:hAnsi="Book Antiqua"/>
          <w:b/>
          <w:sz w:val="36"/>
          <w:szCs w:val="36"/>
          <w:lang w:val="es-ES"/>
        </w:rPr>
        <w:t xml:space="preserve"> DE REPRESENTANTES</w:t>
      </w:r>
    </w:p>
    <w:p w14:paraId="0B990F94" w14:textId="77777777" w:rsidR="00673C93" w:rsidRPr="00E564E6" w:rsidRDefault="00673C93" w:rsidP="00673C93">
      <w:pPr>
        <w:jc w:val="center"/>
        <w:rPr>
          <w:rFonts w:ascii="Book Antiqua" w:hAnsi="Book Antiqua"/>
          <w:b/>
          <w:szCs w:val="24"/>
          <w:lang w:val="es-ES"/>
        </w:rPr>
      </w:pPr>
    </w:p>
    <w:p w14:paraId="09F76208" w14:textId="561C496F" w:rsidR="00673C93" w:rsidRPr="00E564E6" w:rsidRDefault="00124F63" w:rsidP="00673C93">
      <w:pPr>
        <w:jc w:val="center"/>
        <w:rPr>
          <w:rFonts w:ascii="Book Antiqua" w:hAnsi="Book Antiqua"/>
          <w:b/>
          <w:szCs w:val="24"/>
          <w:lang w:val="es-ES"/>
        </w:rPr>
      </w:pPr>
      <w:r w:rsidRPr="00E564E6">
        <w:rPr>
          <w:rFonts w:ascii="Book Antiqua" w:hAnsi="Book Antiqua"/>
          <w:b/>
          <w:sz w:val="52"/>
          <w:szCs w:val="52"/>
          <w:lang w:val="es-ES"/>
        </w:rPr>
        <w:t xml:space="preserve">P. de la C. </w:t>
      </w:r>
      <w:r w:rsidR="00B536C6">
        <w:rPr>
          <w:rFonts w:ascii="Book Antiqua" w:hAnsi="Book Antiqua"/>
          <w:b/>
          <w:sz w:val="52"/>
          <w:szCs w:val="52"/>
          <w:lang w:val="es-ES"/>
        </w:rPr>
        <w:t>813</w:t>
      </w:r>
    </w:p>
    <w:p w14:paraId="72788866" w14:textId="77777777" w:rsidR="00673C93" w:rsidRPr="00E564E6" w:rsidRDefault="00673C93" w:rsidP="00673C93">
      <w:pPr>
        <w:jc w:val="center"/>
        <w:rPr>
          <w:rFonts w:ascii="Book Antiqua" w:hAnsi="Book Antiqua" w:cs="Arial"/>
          <w:caps/>
          <w:szCs w:val="24"/>
          <w:lang w:val="es-ES"/>
        </w:rPr>
      </w:pPr>
    </w:p>
    <w:p w14:paraId="15159370" w14:textId="6E1A4007" w:rsidR="00673C93" w:rsidRPr="00E564E6" w:rsidRDefault="00B536C6" w:rsidP="00673C93">
      <w:pPr>
        <w:jc w:val="center"/>
        <w:rPr>
          <w:rFonts w:ascii="Book Antiqua" w:hAnsi="Book Antiqua" w:cs="Arial"/>
          <w:caps/>
          <w:sz w:val="24"/>
          <w:szCs w:val="32"/>
          <w:lang w:val="es-ES"/>
        </w:rPr>
      </w:pPr>
      <w:r>
        <w:rPr>
          <w:rFonts w:ascii="Book Antiqua" w:hAnsi="Book Antiqua" w:cs="Arial"/>
          <w:caps/>
          <w:sz w:val="24"/>
          <w:szCs w:val="32"/>
          <w:lang w:val="es-ES"/>
        </w:rPr>
        <w:t>22</w:t>
      </w:r>
      <w:r w:rsidR="00C23B64" w:rsidRPr="00E564E6">
        <w:rPr>
          <w:rFonts w:ascii="Book Antiqua" w:hAnsi="Book Antiqua" w:cs="Arial"/>
          <w:caps/>
          <w:sz w:val="24"/>
          <w:szCs w:val="32"/>
          <w:lang w:val="es-ES"/>
        </w:rPr>
        <w:t xml:space="preserve"> de </w:t>
      </w:r>
      <w:r w:rsidR="00A31F93">
        <w:rPr>
          <w:rFonts w:ascii="Book Antiqua" w:hAnsi="Book Antiqua" w:cs="Arial"/>
          <w:caps/>
          <w:sz w:val="24"/>
          <w:szCs w:val="32"/>
          <w:lang w:val="es-ES"/>
        </w:rPr>
        <w:t>AGOSTO</w:t>
      </w:r>
      <w:r w:rsidR="00C23B64" w:rsidRPr="00E564E6">
        <w:rPr>
          <w:rFonts w:ascii="Book Antiqua" w:hAnsi="Book Antiqua" w:cs="Arial"/>
          <w:caps/>
          <w:sz w:val="24"/>
          <w:szCs w:val="32"/>
          <w:lang w:val="es-ES"/>
        </w:rPr>
        <w:t xml:space="preserve"> de 2025</w:t>
      </w:r>
    </w:p>
    <w:p w14:paraId="77C5F631" w14:textId="77777777" w:rsidR="00673C93" w:rsidRPr="00E564E6" w:rsidRDefault="00673C93" w:rsidP="00673C93">
      <w:pPr>
        <w:jc w:val="center"/>
        <w:rPr>
          <w:rFonts w:ascii="Book Antiqua" w:hAnsi="Book Antiqua" w:cs="Arial"/>
          <w:caps/>
          <w:sz w:val="24"/>
          <w:szCs w:val="32"/>
          <w:lang w:val="es-ES"/>
        </w:rPr>
      </w:pPr>
    </w:p>
    <w:p w14:paraId="0082B316" w14:textId="62FDF4E1" w:rsidR="00673C93" w:rsidRPr="00A31F93" w:rsidRDefault="00673C93" w:rsidP="00673C93">
      <w:pPr>
        <w:jc w:val="center"/>
        <w:rPr>
          <w:rFonts w:ascii="Book Antiqua" w:hAnsi="Book Antiqua" w:cs="Arial"/>
          <w:i/>
          <w:iCs/>
          <w:sz w:val="24"/>
          <w:szCs w:val="32"/>
          <w:lang w:val="es-ES"/>
        </w:rPr>
      </w:pPr>
      <w:r w:rsidRPr="00E564E6">
        <w:rPr>
          <w:rFonts w:ascii="Book Antiqua" w:hAnsi="Book Antiqua" w:cs="Arial"/>
          <w:sz w:val="24"/>
          <w:szCs w:val="32"/>
          <w:lang w:val="es-ES"/>
        </w:rPr>
        <w:t>Presentado por l</w:t>
      </w:r>
      <w:r w:rsidR="00447932">
        <w:rPr>
          <w:rFonts w:ascii="Book Antiqua" w:hAnsi="Book Antiqua" w:cs="Arial"/>
          <w:sz w:val="24"/>
          <w:szCs w:val="32"/>
          <w:lang w:val="es-ES"/>
        </w:rPr>
        <w:t>os</w:t>
      </w:r>
      <w:r w:rsidRPr="00E564E6">
        <w:rPr>
          <w:rFonts w:ascii="Book Antiqua" w:hAnsi="Book Antiqua" w:cs="Arial"/>
          <w:sz w:val="24"/>
          <w:szCs w:val="32"/>
          <w:lang w:val="es-ES"/>
        </w:rPr>
        <w:t xml:space="preserve"> representante</w:t>
      </w:r>
      <w:r w:rsidR="00447932">
        <w:rPr>
          <w:rFonts w:ascii="Book Antiqua" w:hAnsi="Book Antiqua" w:cs="Arial"/>
          <w:sz w:val="24"/>
          <w:szCs w:val="32"/>
          <w:lang w:val="es-ES"/>
        </w:rPr>
        <w:t>s</w:t>
      </w:r>
      <w:r w:rsidRPr="00E564E6">
        <w:rPr>
          <w:rFonts w:ascii="Book Antiqua" w:hAnsi="Book Antiqua" w:cs="Arial"/>
          <w:sz w:val="24"/>
          <w:szCs w:val="32"/>
          <w:lang w:val="es-ES"/>
        </w:rPr>
        <w:t xml:space="preserve"> </w:t>
      </w:r>
      <w:r w:rsidR="00A31F93">
        <w:rPr>
          <w:rFonts w:ascii="Book Antiqua" w:hAnsi="Book Antiqua" w:cs="Arial"/>
          <w:i/>
          <w:iCs/>
          <w:sz w:val="24"/>
          <w:szCs w:val="32"/>
          <w:lang w:val="es-ES"/>
        </w:rPr>
        <w:t xml:space="preserve">Nieves Rosario, </w:t>
      </w:r>
      <w:r w:rsidR="0062797C">
        <w:rPr>
          <w:rFonts w:ascii="Book Antiqua" w:hAnsi="Book Antiqua" w:cs="Arial"/>
          <w:i/>
          <w:iCs/>
          <w:sz w:val="24"/>
          <w:szCs w:val="32"/>
          <w:lang w:val="es-ES"/>
        </w:rPr>
        <w:t>Jiménez Torres</w:t>
      </w:r>
      <w:r w:rsidR="008E3201">
        <w:rPr>
          <w:rFonts w:ascii="Book Antiqua" w:hAnsi="Book Antiqua" w:cs="Arial"/>
          <w:i/>
          <w:iCs/>
          <w:sz w:val="24"/>
          <w:szCs w:val="32"/>
          <w:lang w:val="es-ES"/>
        </w:rPr>
        <w:t xml:space="preserve"> y Colón Rodríguez</w:t>
      </w:r>
    </w:p>
    <w:p w14:paraId="311CFB14" w14:textId="77777777" w:rsidR="00673C93" w:rsidRPr="00E564E6" w:rsidRDefault="00673C93" w:rsidP="00673C93">
      <w:pPr>
        <w:jc w:val="center"/>
        <w:rPr>
          <w:rFonts w:ascii="Book Antiqua" w:hAnsi="Book Antiqua" w:cs="Arial"/>
          <w:sz w:val="24"/>
          <w:szCs w:val="32"/>
          <w:lang w:val="es-ES"/>
        </w:rPr>
      </w:pPr>
    </w:p>
    <w:p w14:paraId="3FD90EED" w14:textId="69E8A47B" w:rsidR="00673C93" w:rsidRPr="00E564E6" w:rsidRDefault="00673C93" w:rsidP="00673C93">
      <w:pPr>
        <w:jc w:val="center"/>
        <w:rPr>
          <w:rFonts w:ascii="Book Antiqua" w:hAnsi="Book Antiqua"/>
          <w:b/>
          <w:sz w:val="24"/>
          <w:szCs w:val="24"/>
          <w:lang w:val="es-ES"/>
        </w:rPr>
      </w:pPr>
      <w:r w:rsidRPr="00E564E6">
        <w:rPr>
          <w:rFonts w:ascii="Book Antiqua" w:hAnsi="Book Antiqua"/>
          <w:sz w:val="24"/>
          <w:szCs w:val="24"/>
          <w:lang w:val="es-ES"/>
        </w:rPr>
        <w:t xml:space="preserve">Referido a </w:t>
      </w:r>
      <w:r w:rsidR="00911F9E" w:rsidRPr="00E564E6">
        <w:rPr>
          <w:rFonts w:ascii="Book Antiqua" w:hAnsi="Book Antiqua"/>
          <w:sz w:val="24"/>
          <w:szCs w:val="24"/>
          <w:lang w:val="es-ES"/>
        </w:rPr>
        <w:t xml:space="preserve">la Comisión </w:t>
      </w:r>
      <w:r w:rsidR="00C23B64" w:rsidRPr="00E564E6">
        <w:rPr>
          <w:rFonts w:ascii="Book Antiqua" w:hAnsi="Book Antiqua"/>
          <w:sz w:val="24"/>
          <w:szCs w:val="24"/>
          <w:lang w:val="es-ES"/>
        </w:rPr>
        <w:t xml:space="preserve">de </w:t>
      </w:r>
      <w:r w:rsidR="00A301B1">
        <w:rPr>
          <w:rFonts w:ascii="Book Antiqua" w:hAnsi="Book Antiqua"/>
          <w:sz w:val="24"/>
          <w:szCs w:val="24"/>
          <w:lang w:val="es-ES"/>
        </w:rPr>
        <w:t>Asuntos del Consumidor</w:t>
      </w:r>
    </w:p>
    <w:p w14:paraId="051E6538" w14:textId="77777777" w:rsidR="00673C93" w:rsidRPr="00E564E6" w:rsidRDefault="00673C93" w:rsidP="00673C93">
      <w:pPr>
        <w:jc w:val="center"/>
        <w:rPr>
          <w:rFonts w:ascii="Book Antiqua" w:hAnsi="Book Antiqua"/>
          <w:b/>
          <w:sz w:val="24"/>
          <w:szCs w:val="32"/>
          <w:lang w:val="es-ES"/>
        </w:rPr>
      </w:pPr>
    </w:p>
    <w:p w14:paraId="7A1DB94E" w14:textId="77777777" w:rsidR="00673C93" w:rsidRPr="00E564E6" w:rsidRDefault="00673C93" w:rsidP="00673C93">
      <w:pPr>
        <w:jc w:val="center"/>
        <w:rPr>
          <w:rFonts w:ascii="Book Antiqua" w:hAnsi="Book Antiqua"/>
          <w:b/>
          <w:sz w:val="28"/>
          <w:szCs w:val="28"/>
          <w:lang w:val="es-ES"/>
        </w:rPr>
      </w:pPr>
      <w:r w:rsidRPr="00E564E6">
        <w:rPr>
          <w:rFonts w:ascii="Book Antiqua" w:hAnsi="Book Antiqua"/>
          <w:b/>
          <w:sz w:val="28"/>
          <w:szCs w:val="28"/>
          <w:lang w:val="es-ES"/>
        </w:rPr>
        <w:t>LEY</w:t>
      </w:r>
    </w:p>
    <w:p w14:paraId="615AECBB" w14:textId="77777777" w:rsidR="00673C93" w:rsidRPr="00E564E6" w:rsidRDefault="00673C93" w:rsidP="00673C93">
      <w:pPr>
        <w:jc w:val="center"/>
        <w:rPr>
          <w:rFonts w:ascii="Book Antiqua" w:hAnsi="Book Antiqua"/>
          <w:b/>
          <w:szCs w:val="24"/>
          <w:lang w:val="es-ES"/>
        </w:rPr>
      </w:pPr>
    </w:p>
    <w:p w14:paraId="1B6C5DF4" w14:textId="064D1ED6" w:rsidR="003843AC" w:rsidRPr="00E564E6" w:rsidRDefault="003843AC" w:rsidP="006110C4">
      <w:pPr>
        <w:pStyle w:val="BodyTextIndent2"/>
        <w:spacing w:after="0" w:line="240" w:lineRule="auto"/>
        <w:ind w:left="630" w:hanging="630"/>
        <w:jc w:val="both"/>
        <w:rPr>
          <w:rFonts w:ascii="Book Antiqua" w:hAnsi="Book Antiqua"/>
          <w:sz w:val="24"/>
          <w:szCs w:val="24"/>
          <w:lang w:val="es-ES"/>
        </w:rPr>
      </w:pPr>
      <w:r w:rsidRPr="00E564E6">
        <w:rPr>
          <w:rFonts w:ascii="Book Antiqua" w:hAnsi="Book Antiqua"/>
          <w:sz w:val="24"/>
          <w:szCs w:val="24"/>
          <w:lang w:val="es-ES"/>
        </w:rPr>
        <w:t xml:space="preserve">Para </w:t>
      </w:r>
      <w:r w:rsidR="002735A9" w:rsidRPr="002735A9">
        <w:rPr>
          <w:rFonts w:ascii="Book Antiqua" w:hAnsi="Book Antiqua"/>
          <w:sz w:val="24"/>
          <w:szCs w:val="24"/>
          <w:lang w:val="es-ES"/>
        </w:rPr>
        <w:t>crear la “Ley de Transparencia y Notificación en Contratos de Arrendamiento Financiero con Opción a Compra Temprana”, a fin de requerir a las compañías arrendadoras que notifiquen a los consumidores sobre la culminación inminente del período promocional para saldar su deuda sin incurrir en la totalidad de los intereses; establecer el contenido y los métodos de dicha notificación; disponer remedios y penalidades</w:t>
      </w:r>
      <w:r w:rsidR="00D556B6">
        <w:rPr>
          <w:rFonts w:ascii="Book Antiqua" w:hAnsi="Book Antiqua"/>
          <w:sz w:val="24"/>
          <w:szCs w:val="24"/>
          <w:lang w:val="es-ES"/>
        </w:rPr>
        <w:t>;</w:t>
      </w:r>
      <w:r w:rsidR="002735A9" w:rsidRPr="002735A9">
        <w:rPr>
          <w:rFonts w:ascii="Book Antiqua" w:hAnsi="Book Antiqua"/>
          <w:sz w:val="24"/>
          <w:szCs w:val="24"/>
          <w:lang w:val="es-ES"/>
        </w:rPr>
        <w:t xml:space="preserve"> </w:t>
      </w:r>
      <w:r w:rsidR="00B77FF1" w:rsidRPr="00E564E6">
        <w:rPr>
          <w:rFonts w:ascii="Book Antiqua" w:hAnsi="Book Antiqua"/>
          <w:sz w:val="24"/>
          <w:szCs w:val="24"/>
          <w:lang w:val="es-ES"/>
        </w:rPr>
        <w:t xml:space="preserve">y para otros fines relacionados. </w:t>
      </w:r>
      <w:r w:rsidR="001A1640" w:rsidRPr="00E564E6">
        <w:rPr>
          <w:rFonts w:ascii="Book Antiqua" w:hAnsi="Book Antiqua"/>
          <w:sz w:val="24"/>
          <w:szCs w:val="24"/>
          <w:lang w:val="es-ES"/>
        </w:rPr>
        <w:t xml:space="preserve"> </w:t>
      </w:r>
      <w:r w:rsidRPr="00E564E6">
        <w:rPr>
          <w:rFonts w:ascii="Book Antiqua" w:hAnsi="Book Antiqua"/>
          <w:sz w:val="24"/>
          <w:szCs w:val="24"/>
          <w:u w:val="single"/>
          <w:lang w:val="es-ES"/>
        </w:rPr>
        <w:t xml:space="preserve"> </w:t>
      </w:r>
    </w:p>
    <w:p w14:paraId="275D1A4E" w14:textId="77777777" w:rsidR="003843AC" w:rsidRPr="00E564E6" w:rsidRDefault="003843AC" w:rsidP="00BB2D32">
      <w:pPr>
        <w:pStyle w:val="BodyTextIndent2"/>
        <w:spacing w:after="0" w:line="240" w:lineRule="auto"/>
        <w:ind w:left="540" w:hanging="540"/>
        <w:jc w:val="both"/>
        <w:rPr>
          <w:rFonts w:ascii="Book Antiqua" w:hAnsi="Book Antiqua"/>
          <w:sz w:val="24"/>
          <w:szCs w:val="24"/>
          <w:lang w:val="es-ES"/>
        </w:rPr>
      </w:pPr>
    </w:p>
    <w:p w14:paraId="39C6F2CF" w14:textId="77777777" w:rsidR="00F85F88" w:rsidRPr="00E564E6" w:rsidRDefault="003843AC" w:rsidP="00F85F88">
      <w:pPr>
        <w:jc w:val="center"/>
        <w:rPr>
          <w:rFonts w:ascii="Book Antiqua" w:hAnsi="Book Antiqua"/>
          <w:sz w:val="24"/>
          <w:szCs w:val="24"/>
          <w:lang w:val="es-ES"/>
        </w:rPr>
      </w:pPr>
      <w:r w:rsidRPr="00E564E6">
        <w:rPr>
          <w:rFonts w:ascii="Book Antiqua" w:hAnsi="Book Antiqua"/>
          <w:sz w:val="24"/>
          <w:szCs w:val="24"/>
          <w:lang w:val="es-ES"/>
        </w:rPr>
        <w:t>EXPOSICIÓN DE MOTIVOS</w:t>
      </w:r>
    </w:p>
    <w:p w14:paraId="21E74D19" w14:textId="77777777" w:rsidR="000B5FE3" w:rsidRDefault="003676C0" w:rsidP="000B5FE3">
      <w:pPr>
        <w:jc w:val="both"/>
        <w:rPr>
          <w:rFonts w:ascii="Book Antiqua" w:hAnsi="Book Antiqua"/>
          <w:sz w:val="24"/>
          <w:szCs w:val="24"/>
          <w:lang w:val="es-ES"/>
        </w:rPr>
      </w:pPr>
      <w:r w:rsidRPr="00E564E6">
        <w:rPr>
          <w:rFonts w:ascii="Book Antiqua" w:hAnsi="Book Antiqua"/>
          <w:sz w:val="24"/>
          <w:szCs w:val="24"/>
          <w:lang w:val="es-ES"/>
        </w:rPr>
        <w:tab/>
      </w:r>
    </w:p>
    <w:p w14:paraId="5E6D2C6A" w14:textId="415026C2" w:rsidR="008D5726" w:rsidRDefault="00CD1259" w:rsidP="00D556B6">
      <w:pPr>
        <w:ind w:firstLine="720"/>
        <w:jc w:val="both"/>
        <w:rPr>
          <w:rFonts w:ascii="Book Antiqua" w:hAnsi="Book Antiqua"/>
          <w:sz w:val="24"/>
          <w:szCs w:val="24"/>
          <w:lang w:val="es-ES"/>
        </w:rPr>
      </w:pPr>
      <w:r w:rsidRPr="00CD1259">
        <w:rPr>
          <w:rFonts w:ascii="Book Antiqua" w:hAnsi="Book Antiqua"/>
          <w:sz w:val="24"/>
          <w:szCs w:val="24"/>
          <w:lang w:val="es-ES"/>
        </w:rPr>
        <w:t>Esta medida busca establecer un marco claro y equitativo para las transacciones comerciales en Puerto Rico, específicamente en lo concerniente al derecho del consumidor en los contratos de arrendamiento con opción a compra, conocidos como arrendamiento financiero.  En la actualidad, estos contratos a menudo incluyen una cláusula de “Opción de Compra Temprana” que permite al consumidor adquirir el bien pagando una cantidad cercana al precio en efectivo original dentro de un período promocional específico</w:t>
      </w:r>
      <w:r>
        <w:rPr>
          <w:rFonts w:ascii="Book Antiqua" w:hAnsi="Book Antiqua"/>
          <w:sz w:val="24"/>
          <w:szCs w:val="24"/>
          <w:lang w:val="es-ES"/>
        </w:rPr>
        <w:t>.</w:t>
      </w:r>
    </w:p>
    <w:p w14:paraId="710B5E73" w14:textId="77777777" w:rsidR="00A00C32" w:rsidRDefault="00A00C32" w:rsidP="00D556B6">
      <w:pPr>
        <w:ind w:firstLine="720"/>
        <w:jc w:val="both"/>
        <w:rPr>
          <w:rFonts w:ascii="Book Antiqua" w:hAnsi="Book Antiqua"/>
          <w:sz w:val="24"/>
          <w:szCs w:val="24"/>
          <w:lang w:val="es-ES"/>
        </w:rPr>
      </w:pPr>
    </w:p>
    <w:p w14:paraId="4E444E05" w14:textId="211E99A0" w:rsidR="00A00C32" w:rsidRDefault="00A00C32" w:rsidP="00D556B6">
      <w:pPr>
        <w:ind w:firstLine="720"/>
        <w:jc w:val="both"/>
        <w:rPr>
          <w:rFonts w:ascii="Book Antiqua" w:hAnsi="Book Antiqua"/>
          <w:sz w:val="24"/>
          <w:szCs w:val="24"/>
          <w:lang w:val="es-ES"/>
        </w:rPr>
      </w:pPr>
      <w:r w:rsidRPr="00A00C32">
        <w:rPr>
          <w:rFonts w:ascii="Book Antiqua" w:hAnsi="Book Antiqua"/>
          <w:sz w:val="24"/>
          <w:szCs w:val="24"/>
          <w:lang w:val="es-ES"/>
        </w:rPr>
        <w:t>Si bien esta opción ofrece un beneficio tangible, su valor se pierde si el consumidor no la ejerce a tiempo por desconocimiento u olvido. La diferencia económica puede ser sustancial, donde un bien con un precio en efectivo determinado puede terminar costando más del doble si no se ejerce la opción de compra temprana. Esta desproporción subraya la importancia crítica de que el consumidor esté plenamente consciente de la fecha límite para ejercer su opción.</w:t>
      </w:r>
    </w:p>
    <w:p w14:paraId="5FFF43C1" w14:textId="77777777" w:rsidR="00A00C32" w:rsidRDefault="00A00C32" w:rsidP="00D556B6">
      <w:pPr>
        <w:ind w:firstLine="720"/>
        <w:jc w:val="both"/>
        <w:rPr>
          <w:rFonts w:ascii="Book Antiqua" w:hAnsi="Book Antiqua"/>
          <w:sz w:val="24"/>
          <w:szCs w:val="24"/>
          <w:lang w:val="es-ES"/>
        </w:rPr>
      </w:pPr>
    </w:p>
    <w:p w14:paraId="01CE2CE5" w14:textId="77777777" w:rsidR="00447932" w:rsidRDefault="00447932" w:rsidP="00D556B6">
      <w:pPr>
        <w:ind w:firstLine="720"/>
        <w:jc w:val="both"/>
        <w:rPr>
          <w:rFonts w:ascii="Book Antiqua" w:hAnsi="Book Antiqua"/>
          <w:sz w:val="24"/>
          <w:szCs w:val="24"/>
          <w:lang w:val="es-ES"/>
        </w:rPr>
      </w:pPr>
    </w:p>
    <w:p w14:paraId="7E5064DE" w14:textId="444AB227" w:rsidR="00A00C32" w:rsidRDefault="00A00C32" w:rsidP="00D556B6">
      <w:pPr>
        <w:ind w:firstLine="720"/>
        <w:jc w:val="both"/>
        <w:rPr>
          <w:rFonts w:ascii="Book Antiqua" w:hAnsi="Book Antiqua"/>
          <w:sz w:val="24"/>
          <w:szCs w:val="24"/>
          <w:lang w:val="es-ES"/>
        </w:rPr>
      </w:pPr>
      <w:r w:rsidRPr="00A00C32">
        <w:rPr>
          <w:rFonts w:ascii="Book Antiqua" w:hAnsi="Book Antiqua"/>
          <w:sz w:val="24"/>
          <w:szCs w:val="24"/>
          <w:lang w:val="es-ES"/>
        </w:rPr>
        <w:lastRenderedPageBreak/>
        <w:t>Frecuentemente, estos acuerdos son contratos de adhesión, en los que el consumidor no tiene la oportunidad de negociar los términos y condiciones.  En tales casos, el principio de buena fe contractual exige una mayor protección para la parte más vulnerable. La jurisprudencia en Puerto Rico ha reconocido la necesidad de interpretar estos contratos de manera que se restablezca el equilibrio entre las partes</w:t>
      </w:r>
      <w:r>
        <w:rPr>
          <w:rFonts w:ascii="Book Antiqua" w:hAnsi="Book Antiqua"/>
          <w:sz w:val="24"/>
          <w:szCs w:val="24"/>
          <w:lang w:val="es-ES"/>
        </w:rPr>
        <w:t>.</w:t>
      </w:r>
    </w:p>
    <w:p w14:paraId="49EEC36A" w14:textId="77777777" w:rsidR="00A00C32" w:rsidRDefault="00A00C32" w:rsidP="00D556B6">
      <w:pPr>
        <w:ind w:firstLine="720"/>
        <w:jc w:val="both"/>
        <w:rPr>
          <w:rFonts w:ascii="Book Antiqua" w:hAnsi="Book Antiqua"/>
          <w:sz w:val="24"/>
          <w:szCs w:val="24"/>
          <w:lang w:val="es-ES"/>
        </w:rPr>
      </w:pPr>
    </w:p>
    <w:p w14:paraId="0D50F589" w14:textId="032A82FD" w:rsidR="00536AF2" w:rsidRPr="00E564E6" w:rsidRDefault="00536AF2" w:rsidP="00D556B6">
      <w:pPr>
        <w:ind w:firstLine="720"/>
        <w:jc w:val="both"/>
        <w:rPr>
          <w:rFonts w:ascii="Book Antiqua" w:hAnsi="Book Antiqua"/>
          <w:sz w:val="24"/>
          <w:szCs w:val="24"/>
          <w:lang w:val="es-ES"/>
        </w:rPr>
      </w:pPr>
      <w:r w:rsidRPr="00536AF2">
        <w:rPr>
          <w:rFonts w:ascii="Book Antiqua" w:hAnsi="Book Antiqua"/>
          <w:sz w:val="24"/>
          <w:szCs w:val="24"/>
          <w:lang w:val="es-ES"/>
        </w:rPr>
        <w:t>Esta Asamblea Legislativa considera imperativo establecer un mecanismo de notificación mandatorio y confiable. El propósito de esta Ley es asegurar que el consumidor reciba un aviso claro y oportuno antes de que venza su período de compra temprana, brindándole la información necesaria para tomar una decisión financiera informada. Al exigir una notificación proactiva por parte del arrendador, se promueve la transparencia, se protege al consumidor de costos excesivos no anticipados y se fortalece la equidad en las relaciones contractuales en consonancia con las mejores prácticas de protección al consumidor.</w:t>
      </w:r>
    </w:p>
    <w:p w14:paraId="496F10DF" w14:textId="319363A8" w:rsidR="00EB49EF" w:rsidRPr="00E564E6" w:rsidRDefault="003676C0" w:rsidP="00EB49EF">
      <w:pPr>
        <w:jc w:val="both"/>
        <w:rPr>
          <w:rFonts w:ascii="Book Antiqua" w:hAnsi="Book Antiqua"/>
          <w:sz w:val="24"/>
          <w:szCs w:val="24"/>
          <w:lang w:val="es-ES"/>
        </w:rPr>
      </w:pPr>
      <w:r w:rsidRPr="00E564E6">
        <w:rPr>
          <w:rFonts w:ascii="Book Antiqua" w:hAnsi="Book Antiqua"/>
          <w:sz w:val="24"/>
          <w:szCs w:val="24"/>
          <w:lang w:val="es-ES"/>
        </w:rPr>
        <w:tab/>
      </w:r>
    </w:p>
    <w:p w14:paraId="508769C2" w14:textId="0AF47258" w:rsidR="003843AC" w:rsidRPr="00E564E6" w:rsidRDefault="005A27CB" w:rsidP="00BB2D32">
      <w:pPr>
        <w:suppressAutoHyphens/>
        <w:spacing w:line="480" w:lineRule="auto"/>
        <w:jc w:val="both"/>
        <w:rPr>
          <w:rFonts w:ascii="Book Antiqua" w:hAnsi="Book Antiqua"/>
          <w:i/>
          <w:sz w:val="24"/>
          <w:szCs w:val="24"/>
          <w:lang w:val="es-ES"/>
        </w:rPr>
      </w:pPr>
      <w:r w:rsidRPr="00E564E6">
        <w:rPr>
          <w:rFonts w:ascii="Book Antiqua" w:hAnsi="Book Antiqua"/>
          <w:i/>
          <w:sz w:val="24"/>
          <w:szCs w:val="24"/>
          <w:lang w:val="es-ES"/>
        </w:rPr>
        <w:t>DECR</w:t>
      </w:r>
      <w:r w:rsidR="00447932">
        <w:rPr>
          <w:rFonts w:ascii="Book Antiqua" w:hAnsi="Book Antiqua"/>
          <w:i/>
          <w:sz w:val="24"/>
          <w:szCs w:val="24"/>
          <w:lang w:val="es-ES"/>
        </w:rPr>
        <w:t>É</w:t>
      </w:r>
      <w:r w:rsidRPr="00E564E6">
        <w:rPr>
          <w:rFonts w:ascii="Book Antiqua" w:hAnsi="Book Antiqua"/>
          <w:i/>
          <w:sz w:val="24"/>
          <w:szCs w:val="24"/>
          <w:lang w:val="es-ES"/>
        </w:rPr>
        <w:t>T</w:t>
      </w:r>
      <w:r w:rsidR="00447932">
        <w:rPr>
          <w:rFonts w:ascii="Book Antiqua" w:hAnsi="Book Antiqua"/>
          <w:i/>
          <w:sz w:val="24"/>
          <w:szCs w:val="24"/>
          <w:lang w:val="es-ES"/>
        </w:rPr>
        <w:t>A</w:t>
      </w:r>
      <w:r w:rsidR="003843AC" w:rsidRPr="00E564E6">
        <w:rPr>
          <w:rFonts w:ascii="Book Antiqua" w:hAnsi="Book Antiqua"/>
          <w:i/>
          <w:sz w:val="24"/>
          <w:szCs w:val="24"/>
          <w:lang w:val="es-ES"/>
        </w:rPr>
        <w:t>SE POR LA</w:t>
      </w:r>
      <w:r w:rsidR="00A63B84" w:rsidRPr="00E564E6">
        <w:rPr>
          <w:rFonts w:ascii="Book Antiqua" w:hAnsi="Book Antiqua"/>
          <w:i/>
          <w:sz w:val="24"/>
          <w:szCs w:val="24"/>
          <w:lang w:val="es-ES"/>
        </w:rPr>
        <w:t xml:space="preserve"> </w:t>
      </w:r>
      <w:r w:rsidR="00700BEC" w:rsidRPr="00E564E6">
        <w:rPr>
          <w:rFonts w:ascii="Book Antiqua" w:hAnsi="Book Antiqua"/>
          <w:i/>
          <w:sz w:val="24"/>
          <w:szCs w:val="24"/>
          <w:lang w:val="es-ES"/>
        </w:rPr>
        <w:t>ASAMBLEA LEGISLATIVA DE PUERTO RICO</w:t>
      </w:r>
      <w:r w:rsidR="003843AC" w:rsidRPr="00E564E6">
        <w:rPr>
          <w:rFonts w:ascii="Book Antiqua" w:hAnsi="Book Antiqua"/>
          <w:i/>
          <w:sz w:val="24"/>
          <w:szCs w:val="24"/>
          <w:lang w:val="es-ES"/>
        </w:rPr>
        <w:t>:</w:t>
      </w:r>
    </w:p>
    <w:p w14:paraId="75F11150" w14:textId="77777777" w:rsidR="003843AC" w:rsidRPr="00E564E6" w:rsidRDefault="003843AC" w:rsidP="00BB2D32">
      <w:pPr>
        <w:pStyle w:val="BodyTextIndent"/>
        <w:spacing w:after="0" w:line="480" w:lineRule="auto"/>
        <w:ind w:left="0" w:firstLine="720"/>
        <w:jc w:val="both"/>
        <w:rPr>
          <w:rFonts w:ascii="Book Antiqua" w:hAnsi="Book Antiqua"/>
          <w:sz w:val="24"/>
          <w:szCs w:val="24"/>
          <w:lang w:val="es-ES"/>
        </w:rPr>
        <w:sectPr w:rsidR="003843AC" w:rsidRPr="00E564E6" w:rsidSect="00BB2D32">
          <w:headerReference w:type="even" r:id="rId7"/>
          <w:headerReference w:type="default" r:id="rId8"/>
          <w:type w:val="continuous"/>
          <w:pgSz w:w="12240" w:h="15840" w:code="1"/>
          <w:pgMar w:top="1440" w:right="1440" w:bottom="1440" w:left="1440" w:header="720" w:footer="720" w:gutter="0"/>
          <w:cols w:space="720"/>
          <w:titlePg/>
        </w:sectPr>
      </w:pPr>
    </w:p>
    <w:p w14:paraId="3C322219" w14:textId="77777777" w:rsidR="005A27CB" w:rsidRPr="00E564E6" w:rsidRDefault="005A27CB" w:rsidP="00BB2D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4532F2" w:rsidRPr="00E564E6">
        <w:rPr>
          <w:rFonts w:ascii="Book Antiqua" w:hAnsi="Book Antiqua"/>
          <w:sz w:val="24"/>
          <w:szCs w:val="24"/>
          <w:lang w:val="es-ES"/>
        </w:rPr>
        <w:t>1.-</w:t>
      </w:r>
      <w:r w:rsidRPr="00E564E6">
        <w:rPr>
          <w:rFonts w:ascii="Book Antiqua" w:hAnsi="Book Antiqua"/>
          <w:sz w:val="24"/>
          <w:szCs w:val="24"/>
          <w:lang w:val="es-ES"/>
        </w:rPr>
        <w:t xml:space="preserve">Título </w:t>
      </w:r>
    </w:p>
    <w:p w14:paraId="07A2D793" w14:textId="098CF4FA" w:rsidR="00BA5D25" w:rsidRDefault="005A27CB" w:rsidP="00447932">
      <w:pPr>
        <w:pStyle w:val="BodyTextIndent2"/>
        <w:spacing w:after="0"/>
        <w:ind w:left="720"/>
        <w:jc w:val="both"/>
        <w:rPr>
          <w:rFonts w:ascii="Book Antiqua" w:hAnsi="Book Antiqua"/>
          <w:sz w:val="24"/>
          <w:szCs w:val="24"/>
          <w:lang w:val="es-ES"/>
        </w:rPr>
      </w:pPr>
      <w:r w:rsidRPr="00E564E6">
        <w:rPr>
          <w:rFonts w:ascii="Book Antiqua" w:hAnsi="Book Antiqua"/>
          <w:sz w:val="24"/>
          <w:szCs w:val="24"/>
          <w:lang w:val="es-ES"/>
        </w:rPr>
        <w:t xml:space="preserve">Esta Ley se conocerá, y podrá ser citada como </w:t>
      </w:r>
      <w:r w:rsidR="00BA5D25" w:rsidRPr="00BA5D25">
        <w:rPr>
          <w:rFonts w:ascii="Book Antiqua" w:hAnsi="Book Antiqua"/>
          <w:sz w:val="24"/>
          <w:szCs w:val="24"/>
          <w:lang w:val="es-ES"/>
        </w:rPr>
        <w:t>“Ley de Notificación para la Opción</w:t>
      </w:r>
      <w:r w:rsidR="00A83DEF">
        <w:rPr>
          <w:rFonts w:ascii="Book Antiqua" w:hAnsi="Book Antiqua"/>
          <w:sz w:val="24"/>
          <w:szCs w:val="24"/>
          <w:lang w:val="es-ES"/>
        </w:rPr>
        <w:t xml:space="preserve"> </w:t>
      </w:r>
      <w:r w:rsidR="00BA5D25" w:rsidRPr="00BA5D25">
        <w:rPr>
          <w:rFonts w:ascii="Book Antiqua" w:hAnsi="Book Antiqua"/>
          <w:sz w:val="24"/>
          <w:szCs w:val="24"/>
          <w:lang w:val="es-ES"/>
        </w:rPr>
        <w:t>de Compra Temprana en Arrendamientos Financieros”.</w:t>
      </w:r>
    </w:p>
    <w:p w14:paraId="26C637E5" w14:textId="7311A98F" w:rsidR="00FA67AD" w:rsidRPr="00E564E6" w:rsidRDefault="005A27CB" w:rsidP="00447932">
      <w:pPr>
        <w:pStyle w:val="BodyTextIndent2"/>
        <w:spacing w:after="0"/>
        <w:ind w:left="720"/>
        <w:jc w:val="both"/>
        <w:rPr>
          <w:rFonts w:ascii="Book Antiqua" w:hAnsi="Book Antiqua"/>
          <w:sz w:val="24"/>
          <w:szCs w:val="24"/>
          <w:lang w:val="es-ES"/>
        </w:rPr>
      </w:pPr>
      <w:r w:rsidRPr="00E564E6">
        <w:rPr>
          <w:rFonts w:ascii="Book Antiqua" w:hAnsi="Book Antiqua"/>
          <w:sz w:val="24"/>
          <w:szCs w:val="24"/>
          <w:lang w:val="es-ES"/>
        </w:rPr>
        <w:t xml:space="preserve"> Artículo </w:t>
      </w:r>
      <w:r w:rsidR="003843AC" w:rsidRPr="00E564E6">
        <w:rPr>
          <w:rFonts w:ascii="Book Antiqua" w:hAnsi="Book Antiqua"/>
          <w:sz w:val="24"/>
          <w:szCs w:val="24"/>
          <w:lang w:val="es-ES"/>
        </w:rPr>
        <w:t>2.-</w:t>
      </w:r>
      <w:r w:rsidR="00281443" w:rsidRPr="00E564E6">
        <w:rPr>
          <w:rFonts w:ascii="Book Antiqua" w:hAnsi="Book Antiqua"/>
          <w:sz w:val="24"/>
          <w:szCs w:val="24"/>
          <w:lang w:val="es-ES"/>
        </w:rPr>
        <w:t xml:space="preserve"> </w:t>
      </w:r>
      <w:r w:rsidR="00FA67AD" w:rsidRPr="00E564E6">
        <w:rPr>
          <w:rFonts w:ascii="Book Antiqua" w:hAnsi="Book Antiqua"/>
          <w:sz w:val="24"/>
          <w:szCs w:val="24"/>
          <w:lang w:val="es-ES"/>
        </w:rPr>
        <w:t>Definiciones</w:t>
      </w:r>
    </w:p>
    <w:p w14:paraId="1D5B1DF1" w14:textId="77777777" w:rsidR="00281443" w:rsidRPr="00E564E6" w:rsidRDefault="00FA67AD" w:rsidP="004479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Para el propósito de la presente Ley, las palabras que se </w:t>
      </w:r>
      <w:r w:rsidR="00281443" w:rsidRPr="00E564E6">
        <w:rPr>
          <w:rFonts w:ascii="Book Antiqua" w:hAnsi="Book Antiqua"/>
          <w:sz w:val="24"/>
          <w:szCs w:val="24"/>
          <w:lang w:val="es-ES"/>
        </w:rPr>
        <w:t>exponen</w:t>
      </w:r>
      <w:r w:rsidRPr="00E564E6">
        <w:rPr>
          <w:rFonts w:ascii="Book Antiqua" w:hAnsi="Book Antiqua"/>
          <w:sz w:val="24"/>
          <w:szCs w:val="24"/>
          <w:lang w:val="es-ES"/>
        </w:rPr>
        <w:t xml:space="preserve"> a continuación tendrán el siguiente significado: </w:t>
      </w:r>
    </w:p>
    <w:p w14:paraId="75753C3D" w14:textId="6E52FED3" w:rsidR="00C42F89" w:rsidRPr="00C42F89" w:rsidRDefault="001F7CAC" w:rsidP="00447932">
      <w:pPr>
        <w:pStyle w:val="BodyTextIndent2"/>
        <w:spacing w:after="0"/>
        <w:jc w:val="both"/>
        <w:rPr>
          <w:rFonts w:ascii="Book Antiqua" w:hAnsi="Book Antiqua"/>
          <w:sz w:val="24"/>
          <w:szCs w:val="24"/>
          <w:lang w:val="es-ES"/>
        </w:rPr>
      </w:pPr>
      <w:r>
        <w:rPr>
          <w:rFonts w:ascii="Book Antiqua" w:hAnsi="Book Antiqua"/>
          <w:sz w:val="24"/>
          <w:szCs w:val="24"/>
          <w:lang w:val="es-ES"/>
        </w:rPr>
        <w:t>1.</w:t>
      </w:r>
      <w:r>
        <w:rPr>
          <w:rFonts w:ascii="Book Antiqua" w:hAnsi="Book Antiqua"/>
          <w:sz w:val="24"/>
          <w:szCs w:val="24"/>
          <w:lang w:val="es-ES"/>
        </w:rPr>
        <w:tab/>
      </w:r>
      <w:r w:rsidR="00C42F89" w:rsidRPr="00C42F89">
        <w:rPr>
          <w:rFonts w:ascii="Book Antiqua" w:hAnsi="Book Antiqua"/>
          <w:sz w:val="24"/>
          <w:szCs w:val="24"/>
          <w:lang w:val="es-ES"/>
        </w:rPr>
        <w:t xml:space="preserve">Comercio o Arrendador: toda persona natural o jurídica que, por sí misma o a través de un representante, ofrece para arrendamiento bienes a consumidores en Puerto Rico bajo un Contrato de Arrendamiento Financiero. </w:t>
      </w:r>
    </w:p>
    <w:p w14:paraId="44B67E77" w14:textId="778F0A39" w:rsidR="00C42F89" w:rsidRPr="00C42F89" w:rsidRDefault="001F7CAC" w:rsidP="00447932">
      <w:pPr>
        <w:pStyle w:val="BodyTextIndent2"/>
        <w:spacing w:after="0"/>
        <w:jc w:val="both"/>
        <w:rPr>
          <w:rFonts w:ascii="Book Antiqua" w:hAnsi="Book Antiqua"/>
          <w:sz w:val="24"/>
          <w:szCs w:val="24"/>
          <w:lang w:val="es-ES"/>
        </w:rPr>
      </w:pPr>
      <w:r>
        <w:rPr>
          <w:rFonts w:ascii="Book Antiqua" w:hAnsi="Book Antiqua"/>
          <w:sz w:val="24"/>
          <w:szCs w:val="24"/>
          <w:lang w:val="es-ES"/>
        </w:rPr>
        <w:t>2.</w:t>
      </w:r>
      <w:r>
        <w:rPr>
          <w:rFonts w:ascii="Book Antiqua" w:hAnsi="Book Antiqua"/>
          <w:sz w:val="24"/>
          <w:szCs w:val="24"/>
          <w:lang w:val="es-ES"/>
        </w:rPr>
        <w:tab/>
      </w:r>
      <w:r w:rsidR="00C42F89" w:rsidRPr="00C42F89">
        <w:rPr>
          <w:rFonts w:ascii="Book Antiqua" w:hAnsi="Book Antiqua"/>
          <w:sz w:val="24"/>
          <w:szCs w:val="24"/>
          <w:lang w:val="es-ES"/>
        </w:rPr>
        <w:t xml:space="preserve">Consumidor o Arrendatario: significará cualquier persona natural o jurídica quien, voluntariamente, realice alguna transacción de arrendamiento financiero con un comercio. </w:t>
      </w:r>
    </w:p>
    <w:p w14:paraId="32FCAB08" w14:textId="5D9DC642" w:rsidR="00C42F89" w:rsidRPr="00C42F89" w:rsidRDefault="001F7CAC" w:rsidP="00447932">
      <w:pPr>
        <w:pStyle w:val="BodyTextIndent2"/>
        <w:spacing w:after="0"/>
        <w:jc w:val="both"/>
        <w:rPr>
          <w:rFonts w:ascii="Book Antiqua" w:hAnsi="Book Antiqua"/>
          <w:sz w:val="24"/>
          <w:szCs w:val="24"/>
          <w:lang w:val="es-ES"/>
        </w:rPr>
      </w:pPr>
      <w:r>
        <w:rPr>
          <w:rFonts w:ascii="Book Antiqua" w:hAnsi="Book Antiqua"/>
          <w:sz w:val="24"/>
          <w:szCs w:val="24"/>
          <w:lang w:val="es-ES"/>
        </w:rPr>
        <w:t>3.</w:t>
      </w:r>
      <w:r>
        <w:rPr>
          <w:rFonts w:ascii="Book Antiqua" w:hAnsi="Book Antiqua"/>
          <w:sz w:val="24"/>
          <w:szCs w:val="24"/>
          <w:lang w:val="es-ES"/>
        </w:rPr>
        <w:tab/>
      </w:r>
      <w:r w:rsidR="00C42F89" w:rsidRPr="00C42F89">
        <w:rPr>
          <w:rFonts w:ascii="Book Antiqua" w:hAnsi="Book Antiqua"/>
          <w:sz w:val="24"/>
          <w:szCs w:val="24"/>
          <w:lang w:val="es-ES"/>
        </w:rPr>
        <w:t xml:space="preserve">Contrato de Arrendamiento Financiero: Todo contrato de arrendamiento de </w:t>
      </w:r>
      <w:r w:rsidR="00C42F89" w:rsidRPr="00C42F89">
        <w:rPr>
          <w:rFonts w:ascii="Book Antiqua" w:hAnsi="Book Antiqua"/>
          <w:sz w:val="24"/>
          <w:szCs w:val="24"/>
          <w:lang w:val="es-ES"/>
        </w:rPr>
        <w:lastRenderedPageBreak/>
        <w:t>bienes muebles con opción a compra, en el cual se establece un período inicial y plazos de renovación.</w:t>
      </w:r>
    </w:p>
    <w:p w14:paraId="3CF25A40" w14:textId="77777777" w:rsidR="001F7CAC" w:rsidRDefault="001F7CAC" w:rsidP="00447932">
      <w:pPr>
        <w:pStyle w:val="BodyTextIndent2"/>
        <w:spacing w:after="0"/>
        <w:jc w:val="both"/>
        <w:rPr>
          <w:rFonts w:ascii="Book Antiqua" w:hAnsi="Book Antiqua"/>
          <w:sz w:val="24"/>
          <w:szCs w:val="24"/>
          <w:lang w:val="es-ES"/>
        </w:rPr>
      </w:pPr>
      <w:r>
        <w:rPr>
          <w:rFonts w:ascii="Book Antiqua" w:hAnsi="Book Antiqua"/>
          <w:sz w:val="24"/>
          <w:szCs w:val="24"/>
          <w:lang w:val="es-ES"/>
        </w:rPr>
        <w:t>4.</w:t>
      </w:r>
      <w:r>
        <w:rPr>
          <w:rFonts w:ascii="Book Antiqua" w:hAnsi="Book Antiqua"/>
          <w:sz w:val="24"/>
          <w:szCs w:val="24"/>
          <w:lang w:val="es-ES"/>
        </w:rPr>
        <w:tab/>
      </w:r>
      <w:r w:rsidR="00C42F89" w:rsidRPr="00C42F89">
        <w:rPr>
          <w:rFonts w:ascii="Book Antiqua" w:hAnsi="Book Antiqua"/>
          <w:sz w:val="24"/>
          <w:szCs w:val="24"/>
          <w:lang w:val="es-ES"/>
        </w:rPr>
        <w:t>Período de Opción de Compra Temprana: El plazo inicial del contrato durante el cual el arrendatario puede adquirir la propiedad del bien arrendado pagando el precio en efectivo más otros cargos aplicables, evitando así el costo total de los pagos a plazos.</w:t>
      </w:r>
    </w:p>
    <w:p w14:paraId="7EB4BED5" w14:textId="77777777" w:rsidR="001F7CAC" w:rsidRDefault="001F7CAC" w:rsidP="00447932">
      <w:pPr>
        <w:pStyle w:val="BodyTextIndent2"/>
        <w:spacing w:after="0"/>
        <w:jc w:val="both"/>
        <w:rPr>
          <w:rFonts w:ascii="Book Antiqua" w:hAnsi="Book Antiqua"/>
          <w:sz w:val="24"/>
          <w:szCs w:val="24"/>
          <w:lang w:val="es-ES"/>
        </w:rPr>
      </w:pPr>
      <w:r>
        <w:rPr>
          <w:rFonts w:ascii="Book Antiqua" w:hAnsi="Book Antiqua"/>
          <w:sz w:val="24"/>
          <w:szCs w:val="24"/>
          <w:lang w:val="es-ES"/>
        </w:rPr>
        <w:t>5.</w:t>
      </w:r>
      <w:r>
        <w:rPr>
          <w:rFonts w:ascii="Book Antiqua" w:hAnsi="Book Antiqua"/>
          <w:sz w:val="24"/>
          <w:szCs w:val="24"/>
          <w:lang w:val="es-ES"/>
        </w:rPr>
        <w:tab/>
      </w:r>
      <w:r w:rsidR="00C42F89" w:rsidRPr="00C42F89">
        <w:rPr>
          <w:rFonts w:ascii="Book Antiqua" w:hAnsi="Book Antiqua"/>
          <w:sz w:val="24"/>
          <w:szCs w:val="24"/>
          <w:lang w:val="es-ES"/>
        </w:rPr>
        <w:t>Precio de Compra Temprana: La cantidad total que el arrendatario debe pagar para adquirir la propiedad del bien durante el Período de Opción de Compra Temprana.</w:t>
      </w:r>
    </w:p>
    <w:p w14:paraId="30F10FBF" w14:textId="77777777" w:rsidR="001F7CAC" w:rsidRDefault="001F7CAC" w:rsidP="00447932">
      <w:pPr>
        <w:pStyle w:val="BodyTextIndent2"/>
        <w:spacing w:after="0"/>
        <w:jc w:val="both"/>
        <w:rPr>
          <w:rFonts w:ascii="Book Antiqua" w:hAnsi="Book Antiqua"/>
          <w:sz w:val="24"/>
          <w:szCs w:val="24"/>
          <w:lang w:val="es-ES"/>
        </w:rPr>
      </w:pPr>
      <w:r>
        <w:rPr>
          <w:rFonts w:ascii="Book Antiqua" w:hAnsi="Book Antiqua"/>
          <w:sz w:val="24"/>
          <w:szCs w:val="24"/>
          <w:lang w:val="es-ES"/>
        </w:rPr>
        <w:t>6.</w:t>
      </w:r>
      <w:r>
        <w:rPr>
          <w:rFonts w:ascii="Book Antiqua" w:hAnsi="Book Antiqua"/>
          <w:sz w:val="24"/>
          <w:szCs w:val="24"/>
          <w:lang w:val="es-ES"/>
        </w:rPr>
        <w:tab/>
      </w:r>
      <w:r w:rsidR="00C42F89" w:rsidRPr="00C42F89">
        <w:rPr>
          <w:rFonts w:ascii="Book Antiqua" w:hAnsi="Book Antiqua"/>
          <w:sz w:val="24"/>
          <w:szCs w:val="24"/>
          <w:lang w:val="es-ES"/>
        </w:rPr>
        <w:t xml:space="preserve">Costo Total del Arrendamiento: La suma total de todos los pagos de arrendamiento necesarios para adquirir la propiedad si no se ejerce la Opción de Compra Temprana. </w:t>
      </w:r>
    </w:p>
    <w:p w14:paraId="6F8BFF3E" w14:textId="77777777" w:rsidR="00D65CD0" w:rsidRPr="00D65CD0" w:rsidRDefault="00D65CD0" w:rsidP="00447932">
      <w:pPr>
        <w:pStyle w:val="BodyTextIndent2"/>
        <w:spacing w:after="0"/>
        <w:ind w:firstLine="720"/>
        <w:jc w:val="both"/>
        <w:rPr>
          <w:rFonts w:ascii="Book Antiqua" w:hAnsi="Book Antiqua"/>
          <w:sz w:val="24"/>
          <w:szCs w:val="24"/>
          <w:lang w:val="es-ES"/>
        </w:rPr>
      </w:pPr>
      <w:r w:rsidRPr="00D65CD0">
        <w:rPr>
          <w:rFonts w:ascii="Book Antiqua" w:hAnsi="Book Antiqua"/>
          <w:sz w:val="24"/>
          <w:szCs w:val="24"/>
          <w:lang w:val="es-ES"/>
        </w:rPr>
        <w:t>Artículo 3.-Requisito y Contenido de la Notificación</w:t>
      </w:r>
    </w:p>
    <w:p w14:paraId="6F5DED7E" w14:textId="04572693" w:rsidR="00D65CD0" w:rsidRPr="00D65CD0" w:rsidRDefault="00D65CD0" w:rsidP="00447932">
      <w:pPr>
        <w:pStyle w:val="BodyTextIndent2"/>
        <w:spacing w:after="0"/>
        <w:ind w:firstLine="720"/>
        <w:jc w:val="both"/>
        <w:rPr>
          <w:rFonts w:ascii="Book Antiqua" w:hAnsi="Book Antiqua"/>
          <w:sz w:val="24"/>
          <w:szCs w:val="24"/>
          <w:lang w:val="es-ES"/>
        </w:rPr>
      </w:pPr>
      <w:r w:rsidRPr="00D65CD0">
        <w:rPr>
          <w:rFonts w:ascii="Book Antiqua" w:hAnsi="Book Antiqua"/>
          <w:sz w:val="24"/>
          <w:szCs w:val="24"/>
          <w:lang w:val="es-ES"/>
        </w:rPr>
        <w:t>Todo arrendador que ofrezca un Contrato de Arrendamiento Financiero con un Período de Opción de Compra Temprana deberá notificar por escrito al arrendatario sobre el vencimiento de dicho período. Esta notificación deberá ser enviada en un término no menor de quince (15) días calendario antes de la fecha de vencimiento.</w:t>
      </w:r>
    </w:p>
    <w:p w14:paraId="016CE387" w14:textId="0D8BC16A" w:rsidR="00D65CD0" w:rsidRPr="00D65CD0" w:rsidRDefault="00D65CD0" w:rsidP="00447932">
      <w:pPr>
        <w:pStyle w:val="BodyTextIndent2"/>
        <w:spacing w:after="0"/>
        <w:ind w:firstLine="720"/>
        <w:jc w:val="both"/>
        <w:rPr>
          <w:rFonts w:ascii="Book Antiqua" w:hAnsi="Book Antiqua"/>
          <w:sz w:val="24"/>
          <w:szCs w:val="24"/>
          <w:lang w:val="es-ES"/>
        </w:rPr>
      </w:pPr>
      <w:r w:rsidRPr="00D65CD0">
        <w:rPr>
          <w:rFonts w:ascii="Book Antiqua" w:hAnsi="Book Antiqua"/>
          <w:sz w:val="24"/>
          <w:szCs w:val="24"/>
          <w:lang w:val="es-ES"/>
        </w:rPr>
        <w:t>La notificación requerida deberá contener, como mínimo, la siguiente información:</w:t>
      </w:r>
    </w:p>
    <w:p w14:paraId="37CB10BF" w14:textId="0EDA0CF0" w:rsidR="00D65CD0" w:rsidRPr="00D65CD0" w:rsidRDefault="00D65CD0" w:rsidP="00447932">
      <w:pPr>
        <w:pStyle w:val="BodyTextIndent2"/>
        <w:spacing w:after="0"/>
        <w:ind w:firstLine="720"/>
        <w:jc w:val="both"/>
        <w:rPr>
          <w:rFonts w:ascii="Book Antiqua" w:hAnsi="Book Antiqua"/>
          <w:sz w:val="24"/>
          <w:szCs w:val="24"/>
          <w:lang w:val="es-ES"/>
        </w:rPr>
      </w:pPr>
      <w:r w:rsidRPr="00D65CD0">
        <w:rPr>
          <w:rFonts w:ascii="Book Antiqua" w:hAnsi="Book Antiqua"/>
          <w:sz w:val="24"/>
          <w:szCs w:val="24"/>
          <w:lang w:val="es-ES"/>
        </w:rPr>
        <w:t>a.</w:t>
      </w:r>
      <w:r w:rsidRPr="00D65CD0">
        <w:rPr>
          <w:rFonts w:ascii="Book Antiqua" w:hAnsi="Book Antiqua"/>
          <w:sz w:val="24"/>
          <w:szCs w:val="24"/>
          <w:lang w:val="es-ES"/>
        </w:rPr>
        <w:tab/>
        <w:t xml:space="preserve">Fecha de Vencimiento y Monto a Pagar: Indicar la fecha exacta en que culmina el Período de Opción de Compra Temprana y el monto total del Precio de </w:t>
      </w:r>
      <w:r w:rsidRPr="00D65CD0">
        <w:rPr>
          <w:rFonts w:ascii="Book Antiqua" w:hAnsi="Book Antiqua"/>
          <w:sz w:val="24"/>
          <w:szCs w:val="24"/>
          <w:lang w:val="es-ES"/>
        </w:rPr>
        <w:lastRenderedPageBreak/>
        <w:t xml:space="preserve">Compra Temprana que debe ser saldado. </w:t>
      </w:r>
    </w:p>
    <w:p w14:paraId="554FA8A3" w14:textId="2DEE7404" w:rsidR="00D65CD0" w:rsidRPr="00D65CD0" w:rsidRDefault="00D65CD0" w:rsidP="00447932">
      <w:pPr>
        <w:pStyle w:val="BodyTextIndent2"/>
        <w:spacing w:after="0"/>
        <w:ind w:firstLine="720"/>
        <w:jc w:val="both"/>
        <w:rPr>
          <w:rFonts w:ascii="Book Antiqua" w:hAnsi="Book Antiqua"/>
          <w:sz w:val="24"/>
          <w:szCs w:val="24"/>
          <w:lang w:val="es-ES"/>
        </w:rPr>
      </w:pPr>
      <w:r w:rsidRPr="00D65CD0">
        <w:rPr>
          <w:rFonts w:ascii="Book Antiqua" w:hAnsi="Book Antiqua"/>
          <w:sz w:val="24"/>
          <w:szCs w:val="24"/>
          <w:lang w:val="es-ES"/>
        </w:rPr>
        <w:t>b.</w:t>
      </w:r>
      <w:r w:rsidRPr="00D65CD0">
        <w:rPr>
          <w:rFonts w:ascii="Book Antiqua" w:hAnsi="Book Antiqua"/>
          <w:sz w:val="24"/>
          <w:szCs w:val="24"/>
          <w:lang w:val="es-ES"/>
        </w:rPr>
        <w:tab/>
        <w:t>Métodos de Pago: Proveer instrucciones claras y precisas sobre cómo el arrendatario puede efectuar el pago total, incluyendo números de teléfono, portales de internet, direcciones físicas o cualquier otro método aceptado por el arrendador.</w:t>
      </w:r>
      <w:r w:rsidR="00A379EB">
        <w:rPr>
          <w:rFonts w:ascii="Book Antiqua" w:hAnsi="Book Antiqua"/>
          <w:sz w:val="24"/>
          <w:szCs w:val="24"/>
          <w:lang w:val="es-ES"/>
        </w:rPr>
        <w:t xml:space="preserve"> El método de pago </w:t>
      </w:r>
      <w:r w:rsidR="00170098">
        <w:rPr>
          <w:rFonts w:ascii="Book Antiqua" w:hAnsi="Book Antiqua"/>
          <w:sz w:val="24"/>
          <w:szCs w:val="24"/>
          <w:lang w:val="es-ES"/>
        </w:rPr>
        <w:t xml:space="preserve">deberá incluir </w:t>
      </w:r>
      <w:r w:rsidR="006B15AB">
        <w:rPr>
          <w:rFonts w:ascii="Book Antiqua" w:hAnsi="Book Antiqua"/>
          <w:sz w:val="24"/>
          <w:szCs w:val="24"/>
          <w:lang w:val="es-ES"/>
        </w:rPr>
        <w:t xml:space="preserve">más de un </w:t>
      </w:r>
      <w:r w:rsidR="006B15AB" w:rsidRPr="006B15AB">
        <w:rPr>
          <w:rFonts w:ascii="Book Antiqua" w:hAnsi="Book Antiqua"/>
          <w:sz w:val="24"/>
          <w:szCs w:val="24"/>
          <w:lang w:val="es-ES"/>
        </w:rPr>
        <w:t>método electrónico, incluyendo, pero sin limitarse a, transferencias bancarias (ACH), transferencias electrónicas de fondos (wire transfer), pagos con tarjeta de crédito o débito, plataformas de pago autorizadas (ej. ATH Móvil, PayPal, Stripe, u otras similares), y cualquier otro sistema de pago electrónico debidamente autorizado por las autoridades regulatorias competentes.</w:t>
      </w:r>
      <w:r w:rsidRPr="00D65CD0">
        <w:rPr>
          <w:rFonts w:ascii="Book Antiqua" w:hAnsi="Book Antiqua"/>
          <w:sz w:val="24"/>
          <w:szCs w:val="24"/>
          <w:lang w:val="es-ES"/>
        </w:rPr>
        <w:t xml:space="preserve"> </w:t>
      </w:r>
    </w:p>
    <w:p w14:paraId="1EC4BCE5" w14:textId="5BF8A802" w:rsidR="00D65CD0" w:rsidRDefault="00D65CD0" w:rsidP="00447932">
      <w:pPr>
        <w:pStyle w:val="BodyTextIndent2"/>
        <w:spacing w:after="0"/>
        <w:ind w:firstLine="720"/>
        <w:jc w:val="both"/>
        <w:rPr>
          <w:rFonts w:ascii="Book Antiqua" w:hAnsi="Book Antiqua"/>
          <w:sz w:val="24"/>
          <w:szCs w:val="24"/>
          <w:lang w:val="es-ES"/>
        </w:rPr>
      </w:pPr>
      <w:r w:rsidRPr="00D65CD0">
        <w:rPr>
          <w:rFonts w:ascii="Book Antiqua" w:hAnsi="Book Antiqua"/>
          <w:sz w:val="24"/>
          <w:szCs w:val="24"/>
          <w:lang w:val="es-ES"/>
        </w:rPr>
        <w:t>c.</w:t>
      </w:r>
      <w:r w:rsidRPr="00D65CD0">
        <w:rPr>
          <w:rFonts w:ascii="Book Antiqua" w:hAnsi="Book Antiqua"/>
          <w:sz w:val="24"/>
          <w:szCs w:val="24"/>
          <w:lang w:val="es-ES"/>
        </w:rPr>
        <w:tab/>
        <w:t>Consecuencias del Vencimiento: Una declaración que detalle el Costo Total del Arrendamiento, desglosando el monto final a pagar si deja vencer el Período de Opción de Compra Temprana.</w:t>
      </w:r>
    </w:p>
    <w:p w14:paraId="73DE3118" w14:textId="77777777" w:rsidR="006C1A97" w:rsidRPr="006C1A97" w:rsidRDefault="006C1A97" w:rsidP="00447932">
      <w:pPr>
        <w:pStyle w:val="BodyTextIndent2"/>
        <w:spacing w:after="0"/>
        <w:ind w:firstLine="720"/>
        <w:jc w:val="both"/>
        <w:rPr>
          <w:rFonts w:ascii="Book Antiqua" w:hAnsi="Book Antiqua"/>
          <w:sz w:val="24"/>
          <w:szCs w:val="24"/>
          <w:lang w:val="es-ES"/>
        </w:rPr>
      </w:pPr>
      <w:r w:rsidRPr="006C1A97">
        <w:rPr>
          <w:rFonts w:ascii="Book Antiqua" w:hAnsi="Book Antiqua"/>
          <w:sz w:val="24"/>
          <w:szCs w:val="24"/>
          <w:lang w:val="es-ES"/>
        </w:rPr>
        <w:t>Artículo 4.-Disposiciones especiales</w:t>
      </w:r>
    </w:p>
    <w:p w14:paraId="7766578D" w14:textId="16F92DA3" w:rsidR="006C1A97" w:rsidRPr="006C1A97" w:rsidRDefault="006C1A97" w:rsidP="00447932">
      <w:pPr>
        <w:pStyle w:val="BodyTextIndent2"/>
        <w:spacing w:after="0"/>
        <w:ind w:firstLine="720"/>
        <w:jc w:val="both"/>
        <w:rPr>
          <w:rFonts w:ascii="Book Antiqua" w:hAnsi="Book Antiqua"/>
          <w:sz w:val="24"/>
          <w:szCs w:val="24"/>
          <w:lang w:val="es-ES"/>
        </w:rPr>
      </w:pPr>
      <w:r w:rsidRPr="006C1A97">
        <w:rPr>
          <w:rFonts w:ascii="Book Antiqua" w:hAnsi="Book Antiqua"/>
          <w:sz w:val="24"/>
          <w:szCs w:val="24"/>
          <w:lang w:val="es-ES"/>
        </w:rPr>
        <w:t xml:space="preserve">El arrendador deberá utilizar un método de notificación que ofrezca una expectativa razonable de que el arrendatario recibirá el aviso. Se </w:t>
      </w:r>
      <w:r w:rsidR="000D48C5">
        <w:rPr>
          <w:rFonts w:ascii="Book Antiqua" w:hAnsi="Book Antiqua"/>
          <w:sz w:val="24"/>
          <w:szCs w:val="24"/>
          <w:lang w:val="es-ES"/>
        </w:rPr>
        <w:t xml:space="preserve">deberá notificar mediante los siguientes </w:t>
      </w:r>
      <w:r w:rsidRPr="006C1A97">
        <w:rPr>
          <w:rFonts w:ascii="Book Antiqua" w:hAnsi="Book Antiqua"/>
          <w:sz w:val="24"/>
          <w:szCs w:val="24"/>
          <w:lang w:val="es-ES"/>
        </w:rPr>
        <w:t xml:space="preserve">métodos confiables </w:t>
      </w:r>
      <w:r w:rsidR="000D48C5">
        <w:rPr>
          <w:rFonts w:ascii="Book Antiqua" w:hAnsi="Book Antiqua"/>
          <w:sz w:val="24"/>
          <w:szCs w:val="24"/>
          <w:lang w:val="es-ES"/>
        </w:rPr>
        <w:t>(1)</w:t>
      </w:r>
      <w:r w:rsidRPr="006C1A97">
        <w:rPr>
          <w:rFonts w:ascii="Book Antiqua" w:hAnsi="Book Antiqua"/>
          <w:sz w:val="24"/>
          <w:szCs w:val="24"/>
          <w:lang w:val="es-ES"/>
        </w:rPr>
        <w:t xml:space="preserve"> correo electrónico</w:t>
      </w:r>
      <w:r w:rsidR="000D48C5">
        <w:rPr>
          <w:rFonts w:ascii="Book Antiqua" w:hAnsi="Book Antiqua"/>
          <w:sz w:val="24"/>
          <w:szCs w:val="24"/>
          <w:lang w:val="es-ES"/>
        </w:rPr>
        <w:t xml:space="preserve"> (2)</w:t>
      </w:r>
      <w:r w:rsidRPr="006C1A97">
        <w:rPr>
          <w:rFonts w:ascii="Book Antiqua" w:hAnsi="Book Antiqua"/>
          <w:sz w:val="24"/>
          <w:szCs w:val="24"/>
          <w:lang w:val="es-ES"/>
        </w:rPr>
        <w:t xml:space="preserve"> mensaje de texto (SMS) </w:t>
      </w:r>
      <w:r w:rsidR="000D48C5">
        <w:rPr>
          <w:rFonts w:ascii="Book Antiqua" w:hAnsi="Book Antiqua"/>
          <w:sz w:val="24"/>
          <w:szCs w:val="24"/>
          <w:lang w:val="es-ES"/>
        </w:rPr>
        <w:t>y</w:t>
      </w:r>
      <w:r w:rsidRPr="006C1A97">
        <w:rPr>
          <w:rFonts w:ascii="Book Antiqua" w:hAnsi="Book Antiqua"/>
          <w:sz w:val="24"/>
          <w:szCs w:val="24"/>
          <w:lang w:val="es-ES"/>
        </w:rPr>
        <w:t xml:space="preserve"> correo certificado a la información de contacto provista por el arrendatario en el contrato.</w:t>
      </w:r>
    </w:p>
    <w:p w14:paraId="3F3D8511" w14:textId="2CF7BE9A" w:rsidR="006C1A97" w:rsidRPr="006C1A97" w:rsidRDefault="006C1A97" w:rsidP="00447932">
      <w:pPr>
        <w:pStyle w:val="BodyTextIndent2"/>
        <w:spacing w:after="0"/>
        <w:ind w:firstLine="720"/>
        <w:jc w:val="both"/>
        <w:rPr>
          <w:rFonts w:ascii="Book Antiqua" w:hAnsi="Book Antiqua"/>
          <w:sz w:val="24"/>
          <w:szCs w:val="24"/>
          <w:lang w:val="es-ES"/>
        </w:rPr>
      </w:pPr>
      <w:r w:rsidRPr="006C1A97">
        <w:rPr>
          <w:rFonts w:ascii="Book Antiqua" w:hAnsi="Book Antiqua"/>
          <w:sz w:val="24"/>
          <w:szCs w:val="24"/>
          <w:lang w:val="es-ES"/>
        </w:rPr>
        <w:t>El arrendador tendrá la responsabilidad de mantener un registro de la notificación enviada por un período no menor de dos (2) años desde la fecha de envío.</w:t>
      </w:r>
    </w:p>
    <w:p w14:paraId="71233411" w14:textId="765587B2" w:rsidR="006C1A97" w:rsidRDefault="006C1A97" w:rsidP="00447932">
      <w:pPr>
        <w:pStyle w:val="BodyTextIndent2"/>
        <w:spacing w:after="0"/>
        <w:ind w:firstLine="720"/>
        <w:jc w:val="both"/>
        <w:rPr>
          <w:rFonts w:ascii="Book Antiqua" w:hAnsi="Book Antiqua"/>
          <w:sz w:val="24"/>
          <w:szCs w:val="24"/>
          <w:lang w:val="es-ES"/>
        </w:rPr>
      </w:pPr>
      <w:r w:rsidRPr="006C1A97">
        <w:rPr>
          <w:rFonts w:ascii="Book Antiqua" w:hAnsi="Book Antiqua"/>
          <w:sz w:val="24"/>
          <w:szCs w:val="24"/>
          <w:lang w:val="es-ES"/>
        </w:rPr>
        <w:t xml:space="preserve">En caso de que el arrendador no cumpla con el requisito de notificación, el Período de Opción de Compra Temprana se extenderá automáticamente por un </w:t>
      </w:r>
      <w:r w:rsidRPr="006C1A97">
        <w:rPr>
          <w:rFonts w:ascii="Book Antiqua" w:hAnsi="Book Antiqua"/>
          <w:sz w:val="24"/>
          <w:szCs w:val="24"/>
          <w:lang w:val="es-ES"/>
        </w:rPr>
        <w:lastRenderedPageBreak/>
        <w:t>término de treinta (30) días calendario, contados a partir de la fecha en que el arrendador finalmente provea la notificación requerida.</w:t>
      </w:r>
    </w:p>
    <w:p w14:paraId="4B6C4824" w14:textId="77777777" w:rsidR="002A4C80" w:rsidRPr="002A4C80" w:rsidRDefault="002A4C80" w:rsidP="00447932">
      <w:pPr>
        <w:pStyle w:val="BodyTextIndent2"/>
        <w:spacing w:after="0"/>
        <w:ind w:firstLine="720"/>
        <w:jc w:val="both"/>
        <w:rPr>
          <w:rFonts w:ascii="Book Antiqua" w:hAnsi="Book Antiqua"/>
          <w:sz w:val="24"/>
          <w:szCs w:val="24"/>
          <w:lang w:val="es-ES"/>
        </w:rPr>
      </w:pPr>
      <w:r w:rsidRPr="002A4C80">
        <w:rPr>
          <w:rFonts w:ascii="Book Antiqua" w:hAnsi="Book Antiqua"/>
          <w:sz w:val="24"/>
          <w:szCs w:val="24"/>
          <w:lang w:val="es-ES"/>
        </w:rPr>
        <w:t>Artículo 5.-Penalidades</w:t>
      </w:r>
    </w:p>
    <w:p w14:paraId="078A330A" w14:textId="1D4D0189" w:rsidR="002A4C80" w:rsidRPr="002A4C80" w:rsidRDefault="002A4C80" w:rsidP="00447932">
      <w:pPr>
        <w:pStyle w:val="BodyTextIndent2"/>
        <w:spacing w:after="0"/>
        <w:ind w:firstLine="720"/>
        <w:jc w:val="both"/>
        <w:rPr>
          <w:rFonts w:ascii="Book Antiqua" w:hAnsi="Book Antiqua"/>
          <w:sz w:val="24"/>
          <w:szCs w:val="24"/>
          <w:lang w:val="es-ES"/>
        </w:rPr>
      </w:pPr>
      <w:r w:rsidRPr="002A4C80">
        <w:rPr>
          <w:rFonts w:ascii="Book Antiqua" w:hAnsi="Book Antiqua"/>
          <w:sz w:val="24"/>
          <w:szCs w:val="24"/>
          <w:lang w:val="es-ES"/>
        </w:rPr>
        <w:t xml:space="preserve">El Departamento de Asuntos del Consumidor velará por el fiel cumplimiento de esta Ley y será el ente gubernamental con jurisdicción para atender cualquier asunto relacionado con la misma. </w:t>
      </w:r>
    </w:p>
    <w:p w14:paraId="3C83756C" w14:textId="77777777" w:rsidR="002A4C80" w:rsidRDefault="002A4C80" w:rsidP="00447932">
      <w:pPr>
        <w:pStyle w:val="BodyTextIndent2"/>
        <w:spacing w:after="0"/>
        <w:ind w:left="0" w:firstLine="720"/>
        <w:jc w:val="both"/>
        <w:rPr>
          <w:rFonts w:ascii="Book Antiqua" w:hAnsi="Book Antiqua"/>
          <w:sz w:val="24"/>
          <w:szCs w:val="24"/>
          <w:lang w:val="es-ES"/>
        </w:rPr>
      </w:pPr>
      <w:r w:rsidRPr="002A4C80">
        <w:rPr>
          <w:rFonts w:ascii="Book Antiqua" w:hAnsi="Book Antiqua"/>
          <w:sz w:val="24"/>
          <w:szCs w:val="24"/>
          <w:lang w:val="es-ES"/>
        </w:rPr>
        <w:t xml:space="preserve">Se faculta al Secretario del Departamento de Asuntos del Consumidor a establecer mediante reglamento los criterios y montos de las multas administrativas a las personas que se encuentren en violación de esta ley, las cuales no excederán de dos mil quinientos dólares ($2,500) por infracción. </w:t>
      </w:r>
    </w:p>
    <w:p w14:paraId="48650E5A" w14:textId="505DE0BC" w:rsidR="00A94EE4" w:rsidRPr="00E564E6" w:rsidRDefault="000A5F5D" w:rsidP="004479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6</w:t>
      </w:r>
      <w:r w:rsidR="00AA2591" w:rsidRPr="00E564E6">
        <w:rPr>
          <w:rFonts w:ascii="Book Antiqua" w:hAnsi="Book Antiqua"/>
          <w:sz w:val="24"/>
          <w:szCs w:val="24"/>
          <w:lang w:val="es-ES"/>
        </w:rPr>
        <w:t>.-</w:t>
      </w:r>
      <w:r w:rsidR="00A94EE4" w:rsidRPr="00E564E6">
        <w:rPr>
          <w:rFonts w:ascii="Book Antiqua" w:hAnsi="Book Antiqua"/>
          <w:sz w:val="24"/>
          <w:szCs w:val="24"/>
          <w:lang w:val="es-ES"/>
        </w:rPr>
        <w:t xml:space="preserve">Reglamentación </w:t>
      </w:r>
    </w:p>
    <w:p w14:paraId="67E47260" w14:textId="77777777" w:rsidR="00A94EE4" w:rsidRPr="00E564E6" w:rsidRDefault="00A94EE4" w:rsidP="004479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Se faculta al Departamento de Asuntos del Consumidor a adoptar cualquier reglamentación necesaria que complemente las disposiciones de la presente Ley dentro del término de noventa (90) días contados a partir de la aprobación de la misma. </w:t>
      </w:r>
    </w:p>
    <w:p w14:paraId="4204CB5B" w14:textId="0F6A3C6E" w:rsidR="003676C0" w:rsidRPr="00E564E6" w:rsidRDefault="000A5F5D" w:rsidP="00447932">
      <w:pPr>
        <w:pStyle w:val="BodyTextIndent2"/>
        <w:spacing w:after="0"/>
        <w:ind w:left="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7</w:t>
      </w:r>
      <w:r w:rsidR="003676C0" w:rsidRPr="00E564E6">
        <w:rPr>
          <w:rFonts w:ascii="Book Antiqua" w:hAnsi="Book Antiqua"/>
          <w:sz w:val="24"/>
          <w:szCs w:val="24"/>
          <w:lang w:val="es-ES"/>
        </w:rPr>
        <w:t xml:space="preserve">.-Cláusula de Separabilidad </w:t>
      </w:r>
    </w:p>
    <w:p w14:paraId="4CFA2CE9" w14:textId="77777777" w:rsidR="003676C0" w:rsidRPr="00E564E6" w:rsidRDefault="003676C0" w:rsidP="004479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Si alguna cláusula, párrafo, artículo, o parte de esta Ley fuera declarada nula o inconstitucional por un tribunal con jurisdicción competente, tal sentencia o resolución dictada al efecto, no invalidará las demás disposiciones de esta Ley. </w:t>
      </w:r>
    </w:p>
    <w:p w14:paraId="3499D218" w14:textId="4756E73A" w:rsidR="00FA67AD" w:rsidRPr="00E564E6" w:rsidRDefault="000A5F5D" w:rsidP="004479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8</w:t>
      </w:r>
      <w:r w:rsidR="003676C0" w:rsidRPr="00E564E6">
        <w:rPr>
          <w:rFonts w:ascii="Book Antiqua" w:hAnsi="Book Antiqua"/>
          <w:sz w:val="24"/>
          <w:szCs w:val="24"/>
          <w:lang w:val="es-ES"/>
        </w:rPr>
        <w:t>.-Esta Ley comenzará a regir inmediatamente después de su aprobación.</w:t>
      </w:r>
    </w:p>
    <w:sectPr w:rsidR="00FA67AD" w:rsidRPr="00E564E6"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9671E" w14:textId="77777777" w:rsidR="00F85FFD" w:rsidRDefault="00F85FFD">
      <w:r>
        <w:separator/>
      </w:r>
    </w:p>
  </w:endnote>
  <w:endnote w:type="continuationSeparator" w:id="0">
    <w:p w14:paraId="5E748B6C" w14:textId="77777777" w:rsidR="00F85FFD" w:rsidRDefault="00F85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08653" w14:textId="77777777" w:rsidR="00F85FFD" w:rsidRDefault="00F85FFD">
      <w:r>
        <w:separator/>
      </w:r>
    </w:p>
  </w:footnote>
  <w:footnote w:type="continuationSeparator" w:id="0">
    <w:p w14:paraId="32B3EDB4" w14:textId="77777777" w:rsidR="00F85FFD" w:rsidRDefault="00F85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3F5"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9BE344"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5173"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2</w:t>
    </w:r>
    <w:r>
      <w:rPr>
        <w:rStyle w:val="PageNumber"/>
      </w:rPr>
      <w:fldChar w:fldCharType="end"/>
    </w:r>
  </w:p>
  <w:p w14:paraId="057B8D09"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3FBB"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4BC4DF" w14:textId="77777777" w:rsidR="003843AC" w:rsidRDefault="00384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D46"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7</w:t>
    </w:r>
    <w:r>
      <w:rPr>
        <w:rStyle w:val="PageNumber"/>
      </w:rPr>
      <w:fldChar w:fldCharType="end"/>
    </w:r>
  </w:p>
  <w:p w14:paraId="275D7F26" w14:textId="6059A328" w:rsidR="003843AC" w:rsidRDefault="00673C93">
    <w:pPr>
      <w:widowControl/>
    </w:pPr>
    <w:r>
      <w:rPr>
        <w:noProof/>
      </w:rPr>
      <mc:AlternateContent>
        <mc:Choice Requires="wps">
          <w:drawing>
            <wp:anchor distT="0" distB="0" distL="114300" distR="114300" simplePos="0" relativeHeight="251657728" behindDoc="0" locked="0" layoutInCell="0" allowOverlap="1" wp14:anchorId="6A9CF1E7" wp14:editId="35E2FEE7">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CF1E7"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" o:allowincell="f" stroked="f">
              <v:textbo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1"/>
  </w:num>
  <w:num w:numId="2" w16cid:durableId="454448339">
    <w:abstractNumId w:val="2"/>
  </w:num>
  <w:num w:numId="3" w16cid:durableId="183961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274F4"/>
    <w:rsid w:val="00063004"/>
    <w:rsid w:val="00084AD4"/>
    <w:rsid w:val="00085207"/>
    <w:rsid w:val="000929E4"/>
    <w:rsid w:val="00095A8F"/>
    <w:rsid w:val="000A4092"/>
    <w:rsid w:val="000A50E7"/>
    <w:rsid w:val="000A589A"/>
    <w:rsid w:val="000A5F5D"/>
    <w:rsid w:val="000A7242"/>
    <w:rsid w:val="000B1061"/>
    <w:rsid w:val="000B5FE3"/>
    <w:rsid w:val="000B78C4"/>
    <w:rsid w:val="000D2AF4"/>
    <w:rsid w:val="000D48C5"/>
    <w:rsid w:val="000F5E37"/>
    <w:rsid w:val="00106064"/>
    <w:rsid w:val="00124F63"/>
    <w:rsid w:val="001436A4"/>
    <w:rsid w:val="00146E6D"/>
    <w:rsid w:val="00155D63"/>
    <w:rsid w:val="00170098"/>
    <w:rsid w:val="00174D3E"/>
    <w:rsid w:val="00184377"/>
    <w:rsid w:val="00187D7B"/>
    <w:rsid w:val="00196EB0"/>
    <w:rsid w:val="001A0F94"/>
    <w:rsid w:val="001A1640"/>
    <w:rsid w:val="001A5A1C"/>
    <w:rsid w:val="001B2B24"/>
    <w:rsid w:val="001C3F21"/>
    <w:rsid w:val="001D6816"/>
    <w:rsid w:val="001E3D56"/>
    <w:rsid w:val="001F2AD3"/>
    <w:rsid w:val="001F64FE"/>
    <w:rsid w:val="001F7CAC"/>
    <w:rsid w:val="002319DE"/>
    <w:rsid w:val="002375C2"/>
    <w:rsid w:val="00271748"/>
    <w:rsid w:val="002735A9"/>
    <w:rsid w:val="00281443"/>
    <w:rsid w:val="002844B3"/>
    <w:rsid w:val="0028642B"/>
    <w:rsid w:val="002A4C80"/>
    <w:rsid w:val="002D75CA"/>
    <w:rsid w:val="002F21ED"/>
    <w:rsid w:val="003143E0"/>
    <w:rsid w:val="00356EDF"/>
    <w:rsid w:val="0036636E"/>
    <w:rsid w:val="003676C0"/>
    <w:rsid w:val="003843AC"/>
    <w:rsid w:val="00387011"/>
    <w:rsid w:val="003A3CFA"/>
    <w:rsid w:val="003D299D"/>
    <w:rsid w:val="003D3ED0"/>
    <w:rsid w:val="003E44AE"/>
    <w:rsid w:val="003E63B3"/>
    <w:rsid w:val="003F47B1"/>
    <w:rsid w:val="003F4FF9"/>
    <w:rsid w:val="003F530A"/>
    <w:rsid w:val="00423E55"/>
    <w:rsid w:val="00447932"/>
    <w:rsid w:val="00450884"/>
    <w:rsid w:val="004532F2"/>
    <w:rsid w:val="00461212"/>
    <w:rsid w:val="00471D9F"/>
    <w:rsid w:val="00483627"/>
    <w:rsid w:val="00492F3D"/>
    <w:rsid w:val="004B1CD0"/>
    <w:rsid w:val="004B3913"/>
    <w:rsid w:val="004C6B37"/>
    <w:rsid w:val="004D1BD8"/>
    <w:rsid w:val="004D67E5"/>
    <w:rsid w:val="004F2541"/>
    <w:rsid w:val="004F7B17"/>
    <w:rsid w:val="00511B28"/>
    <w:rsid w:val="00536AF2"/>
    <w:rsid w:val="00536BBF"/>
    <w:rsid w:val="005454D5"/>
    <w:rsid w:val="005537D6"/>
    <w:rsid w:val="00556367"/>
    <w:rsid w:val="00572133"/>
    <w:rsid w:val="00575820"/>
    <w:rsid w:val="005A27CB"/>
    <w:rsid w:val="005C7614"/>
    <w:rsid w:val="005D34A1"/>
    <w:rsid w:val="006110C4"/>
    <w:rsid w:val="006244EA"/>
    <w:rsid w:val="0062797C"/>
    <w:rsid w:val="00627B2A"/>
    <w:rsid w:val="006319DB"/>
    <w:rsid w:val="00673C93"/>
    <w:rsid w:val="0067433B"/>
    <w:rsid w:val="006A0E70"/>
    <w:rsid w:val="006A1550"/>
    <w:rsid w:val="006A2DAF"/>
    <w:rsid w:val="006A3972"/>
    <w:rsid w:val="006B15AB"/>
    <w:rsid w:val="006C1A97"/>
    <w:rsid w:val="006E4CAD"/>
    <w:rsid w:val="006F3779"/>
    <w:rsid w:val="00700BEC"/>
    <w:rsid w:val="00705703"/>
    <w:rsid w:val="00715F04"/>
    <w:rsid w:val="007235BE"/>
    <w:rsid w:val="00724158"/>
    <w:rsid w:val="00744C80"/>
    <w:rsid w:val="007725D4"/>
    <w:rsid w:val="007B1FF7"/>
    <w:rsid w:val="007B5096"/>
    <w:rsid w:val="007C2522"/>
    <w:rsid w:val="007C4D7F"/>
    <w:rsid w:val="007E2BF6"/>
    <w:rsid w:val="0081463E"/>
    <w:rsid w:val="00840FA1"/>
    <w:rsid w:val="00852F2C"/>
    <w:rsid w:val="008578FC"/>
    <w:rsid w:val="00862BEB"/>
    <w:rsid w:val="008665D2"/>
    <w:rsid w:val="00867899"/>
    <w:rsid w:val="0087057B"/>
    <w:rsid w:val="00890027"/>
    <w:rsid w:val="00896C0D"/>
    <w:rsid w:val="00897DA9"/>
    <w:rsid w:val="008A57C2"/>
    <w:rsid w:val="008A61FD"/>
    <w:rsid w:val="008C4F6D"/>
    <w:rsid w:val="008D0A88"/>
    <w:rsid w:val="008D2C9E"/>
    <w:rsid w:val="008D5726"/>
    <w:rsid w:val="008E3201"/>
    <w:rsid w:val="00900A97"/>
    <w:rsid w:val="0091197A"/>
    <w:rsid w:val="00911F9E"/>
    <w:rsid w:val="00916EC7"/>
    <w:rsid w:val="009209B0"/>
    <w:rsid w:val="00922655"/>
    <w:rsid w:val="009237B2"/>
    <w:rsid w:val="00936F29"/>
    <w:rsid w:val="00961048"/>
    <w:rsid w:val="009B289F"/>
    <w:rsid w:val="009D1E80"/>
    <w:rsid w:val="009E6095"/>
    <w:rsid w:val="009F3AA9"/>
    <w:rsid w:val="009F5743"/>
    <w:rsid w:val="00A00C32"/>
    <w:rsid w:val="00A03736"/>
    <w:rsid w:val="00A049F6"/>
    <w:rsid w:val="00A04F17"/>
    <w:rsid w:val="00A069B7"/>
    <w:rsid w:val="00A301B1"/>
    <w:rsid w:val="00A3165B"/>
    <w:rsid w:val="00A3184D"/>
    <w:rsid w:val="00A31F93"/>
    <w:rsid w:val="00A379EB"/>
    <w:rsid w:val="00A44350"/>
    <w:rsid w:val="00A50199"/>
    <w:rsid w:val="00A63B84"/>
    <w:rsid w:val="00A83DEF"/>
    <w:rsid w:val="00A94EE4"/>
    <w:rsid w:val="00A96750"/>
    <w:rsid w:val="00A97761"/>
    <w:rsid w:val="00AA2591"/>
    <w:rsid w:val="00AE43A4"/>
    <w:rsid w:val="00AF273A"/>
    <w:rsid w:val="00B04451"/>
    <w:rsid w:val="00B12CDA"/>
    <w:rsid w:val="00B145A5"/>
    <w:rsid w:val="00B24AB1"/>
    <w:rsid w:val="00B3446E"/>
    <w:rsid w:val="00B536C6"/>
    <w:rsid w:val="00B719AE"/>
    <w:rsid w:val="00B77FF1"/>
    <w:rsid w:val="00B80109"/>
    <w:rsid w:val="00B90C3F"/>
    <w:rsid w:val="00B94A16"/>
    <w:rsid w:val="00BA5D25"/>
    <w:rsid w:val="00BB2D32"/>
    <w:rsid w:val="00BB3258"/>
    <w:rsid w:val="00BC0F2E"/>
    <w:rsid w:val="00BC4CB0"/>
    <w:rsid w:val="00BF05C9"/>
    <w:rsid w:val="00BF542E"/>
    <w:rsid w:val="00C164CA"/>
    <w:rsid w:val="00C23B64"/>
    <w:rsid w:val="00C27AD3"/>
    <w:rsid w:val="00C3527C"/>
    <w:rsid w:val="00C42A3B"/>
    <w:rsid w:val="00C42F89"/>
    <w:rsid w:val="00C63D31"/>
    <w:rsid w:val="00C678AB"/>
    <w:rsid w:val="00C82454"/>
    <w:rsid w:val="00CA4682"/>
    <w:rsid w:val="00CA7955"/>
    <w:rsid w:val="00CB1DC8"/>
    <w:rsid w:val="00CB616A"/>
    <w:rsid w:val="00CC7366"/>
    <w:rsid w:val="00CD1259"/>
    <w:rsid w:val="00CD3376"/>
    <w:rsid w:val="00CD3C85"/>
    <w:rsid w:val="00CF0593"/>
    <w:rsid w:val="00CF0C7C"/>
    <w:rsid w:val="00CF5EF5"/>
    <w:rsid w:val="00D01701"/>
    <w:rsid w:val="00D05F30"/>
    <w:rsid w:val="00D54698"/>
    <w:rsid w:val="00D5488F"/>
    <w:rsid w:val="00D556B6"/>
    <w:rsid w:val="00D65CD0"/>
    <w:rsid w:val="00D669D9"/>
    <w:rsid w:val="00DA0D90"/>
    <w:rsid w:val="00DC26D0"/>
    <w:rsid w:val="00DC3265"/>
    <w:rsid w:val="00DC4219"/>
    <w:rsid w:val="00DE7F05"/>
    <w:rsid w:val="00DF57B6"/>
    <w:rsid w:val="00E25D2B"/>
    <w:rsid w:val="00E36CA2"/>
    <w:rsid w:val="00E37A6C"/>
    <w:rsid w:val="00E42E4C"/>
    <w:rsid w:val="00E564E6"/>
    <w:rsid w:val="00E57784"/>
    <w:rsid w:val="00E60811"/>
    <w:rsid w:val="00E713DA"/>
    <w:rsid w:val="00EA01DF"/>
    <w:rsid w:val="00EA25D9"/>
    <w:rsid w:val="00EA7C1B"/>
    <w:rsid w:val="00EB49EF"/>
    <w:rsid w:val="00EB5AF8"/>
    <w:rsid w:val="00EC1E85"/>
    <w:rsid w:val="00ED6934"/>
    <w:rsid w:val="00EF5E38"/>
    <w:rsid w:val="00F00DB1"/>
    <w:rsid w:val="00F2793F"/>
    <w:rsid w:val="00F403AF"/>
    <w:rsid w:val="00F479D4"/>
    <w:rsid w:val="00F535AA"/>
    <w:rsid w:val="00F62E29"/>
    <w:rsid w:val="00F85F88"/>
    <w:rsid w:val="00F85FFD"/>
    <w:rsid w:val="00FA1DC8"/>
    <w:rsid w:val="00FA67AD"/>
    <w:rsid w:val="00FD28F5"/>
    <w:rsid w:val="00FD591E"/>
    <w:rsid w:val="00FF5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51C705"/>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semiHidden/>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character" w:customStyle="1" w:styleId="apple-converted-space">
    <w:name w:val="apple-converted-space"/>
    <w:rsid w:val="00063004"/>
  </w:style>
  <w:style w:type="character" w:styleId="Strong">
    <w:name w:val="Strong"/>
    <w:uiPriority w:val="22"/>
    <w:qFormat/>
    <w:rsid w:val="00063004"/>
    <w:rPr>
      <w:b/>
      <w:bCs/>
    </w:rPr>
  </w:style>
  <w:style w:type="paragraph" w:styleId="BalloonText">
    <w:name w:val="Balloon Text"/>
    <w:basedOn w:val="Normal"/>
    <w:link w:val="BalloonTextChar"/>
    <w:rsid w:val="00FF5282"/>
    <w:rPr>
      <w:rFonts w:ascii="Segoe UI" w:hAnsi="Segoe UI" w:cs="Segoe UI"/>
      <w:sz w:val="18"/>
      <w:szCs w:val="18"/>
    </w:rPr>
  </w:style>
  <w:style w:type="character" w:customStyle="1" w:styleId="BalloonTextChar">
    <w:name w:val="Balloon Text Char"/>
    <w:link w:val="BalloonText"/>
    <w:rsid w:val="00FF5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1165</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Gladys J. Burgos Torres</cp:lastModifiedBy>
  <cp:revision>4</cp:revision>
  <cp:lastPrinted>2025-08-22T17:12:00Z</cp:lastPrinted>
  <dcterms:created xsi:type="dcterms:W3CDTF">2025-08-22T17:13:00Z</dcterms:created>
  <dcterms:modified xsi:type="dcterms:W3CDTF">2025-08-25T13:40:00Z</dcterms:modified>
</cp:coreProperties>
</file>