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79906" w14:textId="65F216D7" w:rsidR="00CC2F2D" w:rsidRDefault="00143C7E" w:rsidP="006B52E1">
      <w:pPr>
        <w:jc w:val="center"/>
        <w:rPr>
          <w:rFonts w:ascii="Book Antiqua" w:hAnsi="Book Antiqua"/>
          <w:sz w:val="28"/>
          <w:lang w:val="es-ES_tradnl"/>
        </w:rPr>
      </w:pPr>
      <w:r>
        <w:rPr>
          <w:rFonts w:ascii="Book Antiqua" w:hAnsi="Book Antiqua"/>
          <w:sz w:val="28"/>
          <w:lang w:val="es-ES_tradnl"/>
        </w:rPr>
        <w:t>GOBIERNO</w:t>
      </w:r>
      <w:r w:rsidR="00CC2F2D">
        <w:rPr>
          <w:rFonts w:ascii="Book Antiqua" w:hAnsi="Book Antiqua"/>
          <w:sz w:val="28"/>
          <w:lang w:val="es-ES_tradnl"/>
        </w:rPr>
        <w:t xml:space="preserve"> DE PUERTO RICO</w:t>
      </w:r>
    </w:p>
    <w:p w14:paraId="26EE8772" w14:textId="27CEE55A" w:rsidR="0020062C" w:rsidRDefault="0020062C" w:rsidP="006B52E1">
      <w:pPr>
        <w:jc w:val="center"/>
        <w:rPr>
          <w:rFonts w:ascii="Book Antiqua" w:hAnsi="Book Antiqua"/>
          <w:sz w:val="28"/>
          <w:lang w:val="es-ES_tradnl"/>
        </w:rPr>
      </w:pPr>
    </w:p>
    <w:p w14:paraId="4741655E" w14:textId="0581FAEB" w:rsidR="0020062C" w:rsidRDefault="005B52C9" w:rsidP="006B52E1">
      <w:pPr>
        <w:pStyle w:val="Title2"/>
        <w:rPr>
          <w:rFonts w:ascii="Book Antiqua" w:hAnsi="Book Antiqua"/>
          <w:lang w:val="es-ES_tradnl"/>
        </w:rPr>
      </w:pPr>
      <w:r>
        <w:rPr>
          <w:rFonts w:ascii="Book Antiqua" w:hAnsi="Book Antiqua"/>
          <w:lang w:val="es-ES_tradnl"/>
        </w:rPr>
        <w:t>20 m</w:t>
      </w:r>
      <w:r w:rsidR="0020062C">
        <w:rPr>
          <w:rFonts w:ascii="Book Antiqua" w:hAnsi="Book Antiqua"/>
          <w:lang w:val="es-ES_tradnl"/>
        </w:rPr>
        <w:t>a. Asamblea</w:t>
      </w:r>
      <w:r w:rsidR="0020062C">
        <w:rPr>
          <w:rFonts w:ascii="Book Antiqua" w:hAnsi="Book Antiqua"/>
          <w:lang w:val="es-ES_tradnl"/>
        </w:rPr>
        <w:tab/>
      </w:r>
      <w:r w:rsidR="001A6C48">
        <w:rPr>
          <w:rFonts w:ascii="Book Antiqua" w:hAnsi="Book Antiqua"/>
          <w:lang w:val="es-ES_tradnl"/>
        </w:rPr>
        <w:t>2d</w:t>
      </w:r>
      <w:r w:rsidR="0020062C">
        <w:rPr>
          <w:rFonts w:ascii="Book Antiqua" w:hAnsi="Book Antiqua"/>
          <w:lang w:val="es-ES_tradnl"/>
        </w:rPr>
        <w:t xml:space="preserve">a. </w:t>
      </w:r>
      <w:r w:rsidR="0020062C">
        <w:rPr>
          <w:rFonts w:ascii="Book Antiqua" w:hAnsi="Book Antiqua"/>
          <w:lang w:val="es-ES_tradnl"/>
        </w:rPr>
        <w:tab/>
        <w:t>Sesión</w:t>
      </w:r>
    </w:p>
    <w:p w14:paraId="388F4E31" w14:textId="58C445C6" w:rsidR="0020062C" w:rsidRDefault="0020062C" w:rsidP="006B52E1">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CB5A1DB" w14:textId="5F0F4219" w:rsidR="0020062C" w:rsidRDefault="0020062C" w:rsidP="006B52E1">
      <w:pPr>
        <w:rPr>
          <w:lang w:val="es-ES_tradnl"/>
        </w:rPr>
      </w:pPr>
    </w:p>
    <w:p w14:paraId="67679684" w14:textId="64E6FEEC" w:rsidR="0020062C" w:rsidRDefault="0020062C" w:rsidP="006B52E1">
      <w:pPr>
        <w:jc w:val="center"/>
        <w:rPr>
          <w:rFonts w:ascii="Book Antiqua" w:hAnsi="Book Antiqua"/>
          <w:b/>
          <w:sz w:val="36"/>
          <w:lang w:val="es-ES_tradnl"/>
        </w:rPr>
      </w:pPr>
      <w:r>
        <w:rPr>
          <w:rFonts w:ascii="Book Antiqua" w:hAnsi="Book Antiqua"/>
          <w:b/>
          <w:sz w:val="36"/>
          <w:lang w:val="es-ES_tradnl"/>
        </w:rPr>
        <w:t>CÁMARA DE REPRESENTANTES</w:t>
      </w:r>
    </w:p>
    <w:p w14:paraId="0909DE7C" w14:textId="77777777" w:rsidR="006B52E1" w:rsidRPr="006B52E1" w:rsidRDefault="006B52E1" w:rsidP="006B52E1">
      <w:pPr>
        <w:jc w:val="center"/>
        <w:rPr>
          <w:rFonts w:ascii="Book Antiqua" w:hAnsi="Book Antiqua"/>
          <w:b/>
          <w:szCs w:val="24"/>
          <w:lang w:val="es-ES_tradnl"/>
        </w:rPr>
      </w:pPr>
    </w:p>
    <w:p w14:paraId="03B8D501" w14:textId="7BA01DC8" w:rsidR="0020062C" w:rsidRDefault="0020062C" w:rsidP="006B52E1">
      <w:pPr>
        <w:jc w:val="center"/>
        <w:rPr>
          <w:rFonts w:ascii="Book Antiqua" w:hAnsi="Book Antiqua"/>
          <w:b/>
          <w:sz w:val="52"/>
          <w:lang w:val="es-ES_tradnl"/>
        </w:rPr>
      </w:pPr>
      <w:r>
        <w:rPr>
          <w:rFonts w:ascii="Book Antiqua" w:hAnsi="Book Antiqua"/>
          <w:b/>
          <w:sz w:val="52"/>
          <w:lang w:val="es-ES_tradnl"/>
        </w:rPr>
        <w:t>P. de la C.</w:t>
      </w:r>
      <w:r w:rsidR="001A6C48">
        <w:rPr>
          <w:rFonts w:ascii="Book Antiqua" w:hAnsi="Book Antiqua"/>
          <w:b/>
          <w:sz w:val="52"/>
          <w:lang w:val="es-ES_tradnl"/>
        </w:rPr>
        <w:t xml:space="preserve"> </w:t>
      </w:r>
      <w:r w:rsidR="00D017FD">
        <w:rPr>
          <w:rFonts w:ascii="Book Antiqua" w:hAnsi="Book Antiqua"/>
          <w:b/>
          <w:sz w:val="52"/>
          <w:lang w:val="es-ES_tradnl"/>
        </w:rPr>
        <w:t>815</w:t>
      </w:r>
    </w:p>
    <w:p w14:paraId="20010344" w14:textId="77777777" w:rsidR="006B52E1" w:rsidRPr="006B52E1" w:rsidRDefault="006B52E1" w:rsidP="006B52E1">
      <w:pPr>
        <w:jc w:val="center"/>
        <w:rPr>
          <w:rFonts w:ascii="Book Antiqua" w:hAnsi="Book Antiqua"/>
          <w:b/>
          <w:szCs w:val="24"/>
          <w:lang w:val="es-ES_tradnl"/>
        </w:rPr>
      </w:pPr>
    </w:p>
    <w:p w14:paraId="139C6125" w14:textId="7B58338D" w:rsidR="0020062C" w:rsidRDefault="00D017FD" w:rsidP="006B52E1">
      <w:pPr>
        <w:jc w:val="center"/>
        <w:rPr>
          <w:rFonts w:ascii="Book Antiqua" w:hAnsi="Book Antiqua"/>
          <w:lang w:val="es-ES_tradnl"/>
        </w:rPr>
      </w:pPr>
      <w:r>
        <w:rPr>
          <w:rFonts w:ascii="Book Antiqua" w:hAnsi="Book Antiqua"/>
          <w:lang w:val="es-ES_tradnl"/>
        </w:rPr>
        <w:t xml:space="preserve">22 </w:t>
      </w:r>
      <w:r w:rsidR="0020062C">
        <w:rPr>
          <w:rFonts w:ascii="Book Antiqua" w:hAnsi="Book Antiqua"/>
          <w:lang w:val="es-ES_tradnl"/>
        </w:rPr>
        <w:t>DE</w:t>
      </w:r>
      <w:r w:rsidR="001A6C48">
        <w:rPr>
          <w:rFonts w:ascii="Book Antiqua" w:hAnsi="Book Antiqua"/>
          <w:lang w:val="es-ES_tradnl"/>
        </w:rPr>
        <w:t xml:space="preserve"> AGOSTO</w:t>
      </w:r>
      <w:r w:rsidR="0020062C">
        <w:rPr>
          <w:rFonts w:ascii="Book Antiqua" w:hAnsi="Book Antiqua"/>
          <w:lang w:val="es-ES_tradnl"/>
        </w:rPr>
        <w:t xml:space="preserve"> DE 202</w:t>
      </w:r>
      <w:r w:rsidR="00F567E7">
        <w:rPr>
          <w:rFonts w:ascii="Book Antiqua" w:hAnsi="Book Antiqua"/>
          <w:lang w:val="es-ES_tradnl"/>
        </w:rPr>
        <w:t>5</w:t>
      </w:r>
    </w:p>
    <w:p w14:paraId="76195B8D" w14:textId="77777777" w:rsidR="006B52E1" w:rsidRDefault="006B52E1" w:rsidP="006B52E1">
      <w:pPr>
        <w:jc w:val="center"/>
        <w:rPr>
          <w:rFonts w:ascii="Book Antiqua" w:hAnsi="Book Antiqua"/>
          <w:lang w:val="es-ES_tradnl"/>
        </w:rPr>
      </w:pPr>
    </w:p>
    <w:p w14:paraId="41CF12C4" w14:textId="0CB2E397" w:rsidR="0020062C" w:rsidRDefault="0020062C" w:rsidP="006B52E1">
      <w:pPr>
        <w:jc w:val="center"/>
        <w:rPr>
          <w:rFonts w:ascii="Book Antiqua" w:hAnsi="Book Antiqua"/>
          <w:i/>
          <w:iCs/>
          <w:lang w:val="es-ES_tradnl"/>
        </w:rPr>
      </w:pPr>
      <w:r>
        <w:rPr>
          <w:rFonts w:ascii="Book Antiqua" w:hAnsi="Book Antiqua"/>
          <w:lang w:val="es-ES_tradnl"/>
        </w:rPr>
        <w:t xml:space="preserve">Presentado por </w:t>
      </w:r>
      <w:r w:rsidR="006B52E1">
        <w:rPr>
          <w:rFonts w:ascii="Book Antiqua" w:hAnsi="Book Antiqua"/>
          <w:lang w:val="es-ES_tradnl"/>
        </w:rPr>
        <w:t>los</w:t>
      </w:r>
      <w:r w:rsidR="00CA5D22">
        <w:rPr>
          <w:rFonts w:ascii="Book Antiqua" w:hAnsi="Book Antiqua"/>
          <w:lang w:val="es-ES_tradnl"/>
        </w:rPr>
        <w:t xml:space="preserve"> representante</w:t>
      </w:r>
      <w:r w:rsidR="006B52E1">
        <w:rPr>
          <w:rFonts w:ascii="Book Antiqua" w:hAnsi="Book Antiqua"/>
          <w:lang w:val="es-ES_tradnl"/>
        </w:rPr>
        <w:t>s</w:t>
      </w:r>
      <w:r w:rsidR="00CA5D22">
        <w:rPr>
          <w:rFonts w:ascii="Book Antiqua" w:hAnsi="Book Antiqua"/>
          <w:lang w:val="es-ES_tradnl"/>
        </w:rPr>
        <w:t xml:space="preserve"> </w:t>
      </w:r>
      <w:r w:rsidR="00CA5D22">
        <w:rPr>
          <w:rFonts w:ascii="Book Antiqua" w:hAnsi="Book Antiqua"/>
          <w:i/>
          <w:iCs/>
          <w:lang w:val="es-ES_tradnl"/>
        </w:rPr>
        <w:t>Jiménez Torr</w:t>
      </w:r>
      <w:r w:rsidR="00B832FF">
        <w:rPr>
          <w:rFonts w:ascii="Book Antiqua" w:hAnsi="Book Antiqua"/>
          <w:i/>
          <w:iCs/>
          <w:lang w:val="es-ES_tradnl"/>
        </w:rPr>
        <w:t>es y</w:t>
      </w:r>
      <w:r w:rsidR="00CA5D22">
        <w:rPr>
          <w:rFonts w:ascii="Book Antiqua" w:hAnsi="Book Antiqua"/>
          <w:i/>
          <w:iCs/>
          <w:lang w:val="es-ES_tradnl"/>
        </w:rPr>
        <w:t xml:space="preserve"> Nieves Rosario</w:t>
      </w:r>
    </w:p>
    <w:p w14:paraId="5D7DE2FB" w14:textId="77777777" w:rsidR="006B52E1" w:rsidRPr="00CA5D22" w:rsidRDefault="006B52E1" w:rsidP="006B52E1">
      <w:pPr>
        <w:jc w:val="center"/>
        <w:rPr>
          <w:rFonts w:ascii="Book Antiqua" w:hAnsi="Book Antiqua"/>
          <w:i/>
          <w:iCs/>
          <w:lang w:val="es-ES_tradnl"/>
        </w:rPr>
      </w:pPr>
    </w:p>
    <w:p w14:paraId="331143FA" w14:textId="1B0C6499" w:rsidR="0020062C" w:rsidRDefault="0020062C" w:rsidP="006B52E1">
      <w:pPr>
        <w:jc w:val="center"/>
        <w:rPr>
          <w:rFonts w:ascii="Book Antiqua" w:hAnsi="Book Antiqua"/>
          <w:lang w:val="es-ES_tradnl"/>
        </w:rPr>
      </w:pPr>
      <w:r>
        <w:rPr>
          <w:rFonts w:ascii="Book Antiqua" w:hAnsi="Book Antiqua"/>
          <w:lang w:val="es-ES_tradnl"/>
        </w:rPr>
        <w:t xml:space="preserve">Referido a </w:t>
      </w:r>
      <w:r w:rsidR="001E7EBB">
        <w:rPr>
          <w:rFonts w:ascii="Book Antiqua" w:hAnsi="Book Antiqua"/>
          <w:lang w:val="es-ES_tradnl"/>
        </w:rPr>
        <w:t xml:space="preserve">la Comisión de </w:t>
      </w:r>
      <w:r w:rsidR="00C76C2A">
        <w:rPr>
          <w:rFonts w:ascii="Book Antiqua" w:hAnsi="Book Antiqua"/>
          <w:lang w:val="es-ES_tradnl"/>
        </w:rPr>
        <w:t>Recreación y Deportes</w:t>
      </w:r>
    </w:p>
    <w:p w14:paraId="331A0A88" w14:textId="0912D947" w:rsidR="0020062C" w:rsidRDefault="0020062C" w:rsidP="006B52E1">
      <w:pPr>
        <w:jc w:val="both"/>
        <w:rPr>
          <w:rFonts w:ascii="Book Antiqua" w:hAnsi="Book Antiqua"/>
          <w:lang w:val="es-ES_tradnl"/>
        </w:rPr>
      </w:pPr>
    </w:p>
    <w:p w14:paraId="3326326A" w14:textId="60852B15" w:rsidR="0020062C" w:rsidRDefault="0020062C" w:rsidP="006B52E1">
      <w:pPr>
        <w:jc w:val="center"/>
        <w:rPr>
          <w:rFonts w:ascii="Book Antiqua" w:hAnsi="Book Antiqua"/>
          <w:b/>
          <w:sz w:val="28"/>
          <w:lang w:val="es-ES_tradnl"/>
        </w:rPr>
      </w:pPr>
      <w:r>
        <w:rPr>
          <w:rFonts w:ascii="Book Antiqua" w:hAnsi="Book Antiqua"/>
          <w:b/>
          <w:sz w:val="28"/>
          <w:lang w:val="es-ES_tradnl"/>
        </w:rPr>
        <w:t>LEY</w:t>
      </w:r>
    </w:p>
    <w:p w14:paraId="6FD2B192" w14:textId="00F3324B" w:rsidR="0020062C" w:rsidRDefault="0020062C" w:rsidP="006B52E1">
      <w:pPr>
        <w:jc w:val="both"/>
        <w:rPr>
          <w:rFonts w:ascii="Book Antiqua" w:hAnsi="Book Antiqua"/>
          <w:lang w:val="es-ES_tradnl"/>
        </w:rPr>
      </w:pPr>
    </w:p>
    <w:p w14:paraId="0CDD0B4A" w14:textId="40E53203" w:rsidR="0020062C" w:rsidRPr="00163196" w:rsidRDefault="0020062C" w:rsidP="006B52E1">
      <w:pPr>
        <w:ind w:left="720" w:hanging="720"/>
        <w:jc w:val="both"/>
        <w:rPr>
          <w:rFonts w:ascii="Book Antiqua" w:hAnsi="Book Antiqua"/>
          <w:lang w:val="es-ES"/>
        </w:rPr>
      </w:pPr>
      <w:r w:rsidRPr="00163196">
        <w:rPr>
          <w:rFonts w:ascii="Book Antiqua" w:hAnsi="Book Antiqua"/>
          <w:lang w:val="es-ES"/>
        </w:rPr>
        <w:t>Para</w:t>
      </w:r>
      <w:r w:rsidR="002D027B" w:rsidRPr="00163196">
        <w:rPr>
          <w:rFonts w:ascii="Book Antiqua" w:hAnsi="Book Antiqua"/>
          <w:lang w:val="es-ES"/>
        </w:rPr>
        <w:t xml:space="preserve"> </w:t>
      </w:r>
      <w:r w:rsidR="00266F60">
        <w:rPr>
          <w:rFonts w:ascii="Book Antiqua" w:hAnsi="Book Antiqua"/>
          <w:lang w:val="es-ES"/>
        </w:rPr>
        <w:t>enmendar el</w:t>
      </w:r>
      <w:r w:rsidR="006166A6">
        <w:rPr>
          <w:rFonts w:ascii="Book Antiqua" w:hAnsi="Book Antiqua"/>
          <w:lang w:val="es-ES"/>
        </w:rPr>
        <w:t xml:space="preserve"> </w:t>
      </w:r>
      <w:r w:rsidR="002D027B" w:rsidRPr="00163196">
        <w:rPr>
          <w:rFonts w:ascii="Book Antiqua" w:hAnsi="Book Antiqua"/>
          <w:lang w:val="es-ES"/>
        </w:rPr>
        <w:t xml:space="preserve">Artículo </w:t>
      </w:r>
      <w:r w:rsidR="000F216F">
        <w:rPr>
          <w:rFonts w:ascii="Book Antiqua" w:hAnsi="Book Antiqua"/>
          <w:lang w:val="es-ES"/>
        </w:rPr>
        <w:t>7</w:t>
      </w:r>
      <w:r w:rsidR="002D027B" w:rsidRPr="00163196">
        <w:rPr>
          <w:rFonts w:ascii="Book Antiqua" w:hAnsi="Book Antiqua"/>
          <w:lang w:val="es-ES"/>
        </w:rPr>
        <w:t xml:space="preserve"> de la Ley </w:t>
      </w:r>
      <w:r w:rsidR="005B52C9">
        <w:rPr>
          <w:rFonts w:ascii="Book Antiqua" w:hAnsi="Book Antiqua"/>
          <w:lang w:val="es-ES"/>
        </w:rPr>
        <w:t>1</w:t>
      </w:r>
      <w:r w:rsidR="008F6D03">
        <w:rPr>
          <w:rFonts w:ascii="Book Antiqua" w:hAnsi="Book Antiqua"/>
          <w:lang w:val="es-ES"/>
        </w:rPr>
        <w:t>33</w:t>
      </w:r>
      <w:r w:rsidR="005B52C9">
        <w:rPr>
          <w:rFonts w:ascii="Book Antiqua" w:hAnsi="Book Antiqua"/>
          <w:lang w:val="es-ES"/>
        </w:rPr>
        <w:t>-20</w:t>
      </w:r>
      <w:r w:rsidR="0023132C">
        <w:rPr>
          <w:rFonts w:ascii="Book Antiqua" w:hAnsi="Book Antiqua"/>
          <w:lang w:val="es-ES"/>
        </w:rPr>
        <w:t>24</w:t>
      </w:r>
      <w:r w:rsidR="002D027B" w:rsidRPr="00163196">
        <w:rPr>
          <w:rFonts w:ascii="Book Antiqua" w:hAnsi="Book Antiqua"/>
          <w:lang w:val="es-ES"/>
        </w:rPr>
        <w:t xml:space="preserve">, </w:t>
      </w:r>
      <w:r w:rsidR="008F66C2">
        <w:rPr>
          <w:rFonts w:ascii="Book Antiqua" w:hAnsi="Book Antiqua"/>
          <w:lang w:val="es-ES"/>
        </w:rPr>
        <w:t>para</w:t>
      </w:r>
      <w:r w:rsidR="00626FD0">
        <w:rPr>
          <w:rFonts w:ascii="Book Antiqua" w:hAnsi="Book Antiqua"/>
          <w:lang w:val="es-ES"/>
        </w:rPr>
        <w:t xml:space="preserve"> </w:t>
      </w:r>
      <w:r w:rsidR="00B34D64">
        <w:rPr>
          <w:rFonts w:ascii="Book Antiqua" w:hAnsi="Book Antiqua"/>
          <w:lang w:val="es-ES"/>
        </w:rPr>
        <w:t>establecer que t</w:t>
      </w:r>
      <w:r w:rsidR="00B34D64" w:rsidRPr="00B34D64">
        <w:rPr>
          <w:rFonts w:ascii="Book Antiqua" w:hAnsi="Book Antiqua"/>
          <w:lang w:val="es-ES"/>
        </w:rPr>
        <w:t xml:space="preserve">oda persona responsable de </w:t>
      </w:r>
      <w:r w:rsidR="009D48AD">
        <w:rPr>
          <w:rFonts w:ascii="Book Antiqua" w:hAnsi="Book Antiqua"/>
          <w:lang w:val="es-ES"/>
        </w:rPr>
        <w:t>acoso y hostigamiento</w:t>
      </w:r>
      <w:r w:rsidR="00B34D64" w:rsidRPr="00B34D64">
        <w:rPr>
          <w:rFonts w:ascii="Book Antiqua" w:hAnsi="Book Antiqua"/>
          <w:lang w:val="es-ES"/>
        </w:rPr>
        <w:t xml:space="preserve"> </w:t>
      </w:r>
      <w:r w:rsidR="008012A8" w:rsidRPr="00B34D64">
        <w:rPr>
          <w:rFonts w:ascii="Book Antiqua" w:hAnsi="Book Antiqua"/>
          <w:lang w:val="es-ES"/>
        </w:rPr>
        <w:t>incurrirá</w:t>
      </w:r>
      <w:r w:rsidR="00B34D64" w:rsidRPr="00B34D64">
        <w:rPr>
          <w:rFonts w:ascii="Book Antiqua" w:hAnsi="Book Antiqua"/>
          <w:lang w:val="es-ES"/>
        </w:rPr>
        <w:t xml:space="preserve"> en responsabilidad civil</w:t>
      </w:r>
      <w:r w:rsidR="00016080">
        <w:rPr>
          <w:rFonts w:ascii="Book Antiqua" w:hAnsi="Book Antiqua"/>
          <w:lang w:val="es-ES"/>
        </w:rPr>
        <w:t>;</w:t>
      </w:r>
      <w:r w:rsidR="00540258">
        <w:rPr>
          <w:rFonts w:ascii="Book Antiqua" w:hAnsi="Book Antiqua"/>
          <w:lang w:val="es-ES"/>
        </w:rPr>
        <w:t xml:space="preserve"> </w:t>
      </w:r>
      <w:r w:rsidR="004423F8">
        <w:rPr>
          <w:rFonts w:ascii="Book Antiqua" w:hAnsi="Book Antiqua"/>
          <w:lang w:val="es-ES"/>
        </w:rPr>
        <w:t xml:space="preserve">y que toda </w:t>
      </w:r>
      <w:r w:rsidR="00491E0B">
        <w:rPr>
          <w:rFonts w:ascii="Book Antiqua" w:hAnsi="Book Antiqua"/>
          <w:lang w:val="es-ES"/>
        </w:rPr>
        <w:t>entidad deportiva</w:t>
      </w:r>
      <w:r w:rsidR="004423F8">
        <w:rPr>
          <w:rFonts w:ascii="Book Antiqua" w:hAnsi="Book Antiqua"/>
          <w:lang w:val="es-ES"/>
        </w:rPr>
        <w:t xml:space="preserve"> </w:t>
      </w:r>
      <w:r w:rsidR="00EF1BA9" w:rsidRPr="00540258">
        <w:rPr>
          <w:rFonts w:ascii="Book Antiqua" w:hAnsi="Book Antiqua"/>
          <w:lang w:val="es-ES"/>
        </w:rPr>
        <w:t>será</w:t>
      </w:r>
      <w:r w:rsidR="00540258" w:rsidRPr="00540258">
        <w:rPr>
          <w:rFonts w:ascii="Book Antiqua" w:hAnsi="Book Antiqua"/>
          <w:lang w:val="es-ES"/>
        </w:rPr>
        <w:t xml:space="preserve"> responsable de los actos de hostigamiento </w:t>
      </w:r>
      <w:r w:rsidR="004423F8">
        <w:rPr>
          <w:rFonts w:ascii="Book Antiqua" w:hAnsi="Book Antiqua"/>
          <w:lang w:val="es-ES"/>
        </w:rPr>
        <w:t>y acoso</w:t>
      </w:r>
      <w:r w:rsidR="00540258" w:rsidRPr="00540258">
        <w:rPr>
          <w:rFonts w:ascii="Book Antiqua" w:hAnsi="Book Antiqua"/>
          <w:lang w:val="es-ES"/>
        </w:rPr>
        <w:t xml:space="preserve"> en hacia sus </w:t>
      </w:r>
      <w:r w:rsidR="004423F8">
        <w:rPr>
          <w:rFonts w:ascii="Book Antiqua" w:hAnsi="Book Antiqua"/>
          <w:lang w:val="es-ES"/>
        </w:rPr>
        <w:t>atletas</w:t>
      </w:r>
      <w:r w:rsidR="00540258" w:rsidRPr="00540258">
        <w:rPr>
          <w:rFonts w:ascii="Book Antiqua" w:hAnsi="Book Antiqua"/>
          <w:lang w:val="es-ES"/>
        </w:rPr>
        <w:t xml:space="preserve"> en el </w:t>
      </w:r>
      <w:r w:rsidR="0084416C">
        <w:rPr>
          <w:rFonts w:ascii="Book Antiqua" w:hAnsi="Book Antiqua"/>
          <w:lang w:val="es-ES"/>
        </w:rPr>
        <w:t>entorno deportivo</w:t>
      </w:r>
      <w:r w:rsidR="00540258" w:rsidRPr="00540258">
        <w:rPr>
          <w:rFonts w:ascii="Book Antiqua" w:hAnsi="Book Antiqua"/>
          <w:lang w:val="es-ES"/>
        </w:rPr>
        <w:t xml:space="preserve">, </w:t>
      </w:r>
      <w:r w:rsidR="005A10B7">
        <w:rPr>
          <w:rFonts w:ascii="Book Antiqua" w:hAnsi="Book Antiqua"/>
          <w:lang w:val="es-ES"/>
        </w:rPr>
        <w:t xml:space="preserve">si </w:t>
      </w:r>
      <w:r w:rsidR="00EF1BA9" w:rsidRPr="00540258">
        <w:rPr>
          <w:rFonts w:ascii="Book Antiqua" w:hAnsi="Book Antiqua"/>
          <w:lang w:val="es-ES"/>
        </w:rPr>
        <w:t>sabían</w:t>
      </w:r>
      <w:r w:rsidR="00540258" w:rsidRPr="00540258">
        <w:rPr>
          <w:rFonts w:ascii="Book Antiqua" w:hAnsi="Book Antiqua"/>
          <w:lang w:val="es-ES"/>
        </w:rPr>
        <w:t xml:space="preserve"> o </w:t>
      </w:r>
      <w:r w:rsidR="00EF1BA9" w:rsidRPr="00540258">
        <w:rPr>
          <w:rFonts w:ascii="Book Antiqua" w:hAnsi="Book Antiqua"/>
          <w:lang w:val="es-ES"/>
        </w:rPr>
        <w:t>debían</w:t>
      </w:r>
      <w:r w:rsidR="00540258" w:rsidRPr="00540258">
        <w:rPr>
          <w:rFonts w:ascii="Book Antiqua" w:hAnsi="Book Antiqua"/>
          <w:lang w:val="es-ES"/>
        </w:rPr>
        <w:t xml:space="preserve"> de estar enterados de dicha conducta y no tomaron una </w:t>
      </w:r>
      <w:r w:rsidR="00EF1BA9" w:rsidRPr="00540258">
        <w:rPr>
          <w:rFonts w:ascii="Book Antiqua" w:hAnsi="Book Antiqua"/>
          <w:lang w:val="es-ES"/>
        </w:rPr>
        <w:t>acción</w:t>
      </w:r>
      <w:r w:rsidR="00540258" w:rsidRPr="00540258">
        <w:rPr>
          <w:rFonts w:ascii="Book Antiqua" w:hAnsi="Book Antiqua"/>
          <w:lang w:val="es-ES"/>
        </w:rPr>
        <w:t xml:space="preserve"> inmediata y apropiada para corregir la </w:t>
      </w:r>
      <w:r w:rsidR="00EF1BA9" w:rsidRPr="00540258">
        <w:rPr>
          <w:rFonts w:ascii="Book Antiqua" w:hAnsi="Book Antiqua"/>
          <w:lang w:val="es-ES"/>
        </w:rPr>
        <w:t>situación</w:t>
      </w:r>
      <w:r w:rsidR="00EF1BA9">
        <w:rPr>
          <w:rFonts w:ascii="Book Antiqua" w:hAnsi="Book Antiqua"/>
          <w:lang w:val="es-ES"/>
        </w:rPr>
        <w:t>;</w:t>
      </w:r>
      <w:r w:rsidR="00245322">
        <w:rPr>
          <w:rFonts w:ascii="Book Antiqua" w:hAnsi="Book Antiqua"/>
          <w:lang w:val="es-ES"/>
        </w:rPr>
        <w:t xml:space="preserve"> </w:t>
      </w:r>
      <w:r w:rsidRPr="00163196">
        <w:rPr>
          <w:rFonts w:ascii="Book Antiqua" w:hAnsi="Book Antiqua"/>
          <w:lang w:val="es-ES"/>
        </w:rPr>
        <w:t>y para otros fines relacionados.</w:t>
      </w:r>
    </w:p>
    <w:p w14:paraId="4D106A3D" w14:textId="77777777" w:rsidR="00CC2F2D" w:rsidRPr="0020062C" w:rsidRDefault="00CC2F2D" w:rsidP="006B52E1">
      <w:pPr>
        <w:ind w:left="720" w:hanging="720"/>
        <w:jc w:val="both"/>
        <w:rPr>
          <w:rFonts w:ascii="Book Antiqua" w:hAnsi="Book Antiqua"/>
          <w:lang w:val="es-PR"/>
        </w:rPr>
      </w:pPr>
    </w:p>
    <w:p w14:paraId="602AFB97" w14:textId="11D7BF09" w:rsidR="0020062C" w:rsidRDefault="0020062C" w:rsidP="006B52E1">
      <w:pPr>
        <w:ind w:firstLine="360"/>
        <w:jc w:val="center"/>
        <w:rPr>
          <w:rFonts w:ascii="Book Antiqua" w:hAnsi="Book Antiqua"/>
          <w:lang w:val="es-ES_tradnl"/>
        </w:rPr>
      </w:pPr>
      <w:r>
        <w:rPr>
          <w:rFonts w:ascii="Book Antiqua" w:hAnsi="Book Antiqua"/>
          <w:lang w:val="es-ES_tradnl"/>
        </w:rPr>
        <w:t>EXPOSICIÓN DE MOTIVOS</w:t>
      </w:r>
    </w:p>
    <w:p w14:paraId="0267BD7A" w14:textId="77777777" w:rsidR="00075C88" w:rsidRDefault="00075C88" w:rsidP="006B52E1">
      <w:pPr>
        <w:jc w:val="both"/>
        <w:rPr>
          <w:rFonts w:ascii="Book Antiqua" w:hAnsi="Book Antiqua"/>
          <w:lang w:val="es-ES_tradnl"/>
        </w:rPr>
      </w:pPr>
    </w:p>
    <w:p w14:paraId="75161C4B" w14:textId="55657F7A" w:rsidR="00507C90" w:rsidRDefault="00507C90" w:rsidP="006B52E1">
      <w:pPr>
        <w:ind w:firstLine="720"/>
        <w:jc w:val="both"/>
        <w:rPr>
          <w:rFonts w:ascii="Book Antiqua" w:hAnsi="Book Antiqua"/>
          <w:lang w:val="es-ES_tradnl"/>
        </w:rPr>
      </w:pPr>
      <w:r w:rsidRPr="00507C90">
        <w:rPr>
          <w:rFonts w:ascii="Book Antiqua" w:hAnsi="Book Antiqua"/>
          <w:lang w:val="es-ES_tradnl"/>
        </w:rPr>
        <w:t>La práctica deportiva debe ser un espacio de desarrollo integral, respeto y seguridad para todas las personas atletas. Sin embargo, el acoso y el hostigamiento sexual persisten como problemáticas que afectan la integridad física y emocional de quienes participan en actividades deportivas. La Ley Núm. 133-2024 establece un marco legal para prevenir y atender estas conductas en el ámbito deportivo. No obstante, es necesario fortalecer sus disposiciones para garantizar una protección efectiva y una rendición de cuentas adecuada</w:t>
      </w:r>
      <w:r>
        <w:rPr>
          <w:rFonts w:ascii="Book Antiqua" w:hAnsi="Book Antiqua"/>
          <w:lang w:val="es-ES_tradnl"/>
        </w:rPr>
        <w:t xml:space="preserve">. </w:t>
      </w:r>
    </w:p>
    <w:p w14:paraId="552C162A" w14:textId="77777777" w:rsidR="00507C90" w:rsidRDefault="00507C90" w:rsidP="006B52E1">
      <w:pPr>
        <w:ind w:firstLine="360"/>
        <w:jc w:val="both"/>
        <w:rPr>
          <w:rFonts w:ascii="Book Antiqua" w:hAnsi="Book Antiqua"/>
          <w:lang w:val="es-ES_tradnl"/>
        </w:rPr>
      </w:pPr>
    </w:p>
    <w:p w14:paraId="48D3EE39" w14:textId="70C0C116" w:rsidR="00507C90" w:rsidRDefault="003C434A" w:rsidP="006B52E1">
      <w:pPr>
        <w:ind w:firstLine="720"/>
        <w:jc w:val="both"/>
        <w:rPr>
          <w:lang w:val="es-ES_tradnl"/>
        </w:rPr>
      </w:pPr>
      <w:r w:rsidRPr="003C434A">
        <w:rPr>
          <w:rFonts w:ascii="Book Antiqua" w:hAnsi="Book Antiqua"/>
          <w:lang w:val="es-ES_tradnl"/>
        </w:rPr>
        <w:t>La presente enmienda al Artículo 7 de la Ley Núm. 133-2024 busca establecer con claridad la responsabilidad civil de las personas que incurran en actos de acoso y hostigamiento sexual en el entorno deportivo. Asimismo, se propone que las entidades deportivas sean responsables de los actos de acoso y hostigamiento cometidos por sus empleados, contratistas o representantes, cuando estas entidades, sus agentes o supervisores sabían o debían saber de dicha conducta y no tomaron medidas inmediatas y apropiadas para corregir la situación.</w:t>
      </w:r>
      <w:r w:rsidRPr="003C434A">
        <w:rPr>
          <w:lang w:val="es-ES_tradnl"/>
        </w:rPr>
        <w:t>​</w:t>
      </w:r>
      <w:r>
        <w:rPr>
          <w:lang w:val="es-ES_tradnl"/>
        </w:rPr>
        <w:t xml:space="preserve"> </w:t>
      </w:r>
    </w:p>
    <w:p w14:paraId="28A23816" w14:textId="00A68158" w:rsidR="007671A5" w:rsidRDefault="007671A5" w:rsidP="006B52E1">
      <w:pPr>
        <w:ind w:firstLine="720"/>
        <w:jc w:val="both"/>
        <w:rPr>
          <w:rFonts w:ascii="Book Antiqua" w:hAnsi="Book Antiqua"/>
          <w:lang w:val="es-ES_tradnl"/>
        </w:rPr>
      </w:pPr>
      <w:r w:rsidRPr="007671A5">
        <w:rPr>
          <w:rFonts w:ascii="Book Antiqua" w:hAnsi="Book Antiqua"/>
          <w:lang w:val="es-ES_tradnl"/>
        </w:rPr>
        <w:lastRenderedPageBreak/>
        <w:t>Esta disposición se inspira en la Ley Núm. 17 de 22 de abril de 1988, conocida como la “Ley para Prohibir el Hostigamiento Sexual en el Empleo”, la cual establece la responsabilidad del patrono en casos de hostigamiento sexual en el empleo, incluso cuando los actos son cometidos por personas no empleadas por él, si el patrono o sus agentes o supervisores sabían o debían saber de la conducta y no actuaron para corregirla</w:t>
      </w:r>
      <w:r>
        <w:rPr>
          <w:rFonts w:ascii="Book Antiqua" w:hAnsi="Book Antiqua"/>
          <w:lang w:val="es-ES_tradnl"/>
        </w:rPr>
        <w:t>.</w:t>
      </w:r>
    </w:p>
    <w:p w14:paraId="5FC62B16" w14:textId="77777777" w:rsidR="00A17A7D" w:rsidRPr="00A17A7D" w:rsidRDefault="00A17A7D" w:rsidP="006B52E1">
      <w:pPr>
        <w:jc w:val="both"/>
        <w:rPr>
          <w:rFonts w:ascii="Book Antiqua" w:hAnsi="Book Antiqua"/>
          <w:lang w:val="es-ES_tradnl"/>
        </w:rPr>
      </w:pPr>
    </w:p>
    <w:p w14:paraId="6CADBC3A" w14:textId="143EE200" w:rsidR="00A17A7D" w:rsidRPr="00A17A7D" w:rsidRDefault="00B832FF" w:rsidP="006B52E1">
      <w:pPr>
        <w:ind w:firstLine="720"/>
        <w:jc w:val="both"/>
        <w:rPr>
          <w:rFonts w:ascii="Book Antiqua" w:hAnsi="Book Antiqua"/>
          <w:lang w:val="es-ES_tradnl"/>
        </w:rPr>
      </w:pPr>
      <w:r>
        <w:rPr>
          <w:rFonts w:ascii="Book Antiqua" w:hAnsi="Book Antiqua"/>
          <w:lang w:val="es-ES_tradnl"/>
        </w:rPr>
        <w:t xml:space="preserve">Con esta medida, </w:t>
      </w:r>
      <w:r w:rsidR="00C525F2">
        <w:rPr>
          <w:rFonts w:ascii="Book Antiqua" w:hAnsi="Book Antiqua"/>
          <w:lang w:val="es-ES_tradnl"/>
        </w:rPr>
        <w:t>buscamos e</w:t>
      </w:r>
      <w:r w:rsidR="00A17A7D" w:rsidRPr="00A17A7D">
        <w:rPr>
          <w:rFonts w:ascii="Book Antiqua" w:hAnsi="Book Antiqua"/>
          <w:lang w:val="es-ES_tradnl"/>
        </w:rPr>
        <w:t>stablecer que toda persona que incurra en actos de acoso y hostigamiento sexual en el entorno deportivo será responsable civilmente por los daños causados.</w:t>
      </w:r>
      <w:r w:rsidR="00A17A7D" w:rsidRPr="00A17A7D">
        <w:rPr>
          <w:lang w:val="es-ES_tradnl"/>
        </w:rPr>
        <w:t>​</w:t>
      </w:r>
      <w:r w:rsidR="00C525F2">
        <w:rPr>
          <w:rFonts w:ascii="Book Antiqua" w:hAnsi="Book Antiqua"/>
          <w:lang w:val="es-ES_tradnl"/>
        </w:rPr>
        <w:t xml:space="preserve"> Además, debe existir una r</w:t>
      </w:r>
      <w:r w:rsidR="00A17A7D" w:rsidRPr="00A17A7D">
        <w:rPr>
          <w:rFonts w:ascii="Book Antiqua" w:hAnsi="Book Antiqua"/>
          <w:lang w:val="es-ES_tradnl"/>
        </w:rPr>
        <w:t xml:space="preserve">esponsabilidad </w:t>
      </w:r>
      <w:r w:rsidR="00C525F2">
        <w:rPr>
          <w:rFonts w:ascii="Book Antiqua" w:hAnsi="Book Antiqua"/>
          <w:lang w:val="es-ES_tradnl"/>
        </w:rPr>
        <w:t>de naturaleza i</w:t>
      </w:r>
      <w:r w:rsidR="00A17A7D" w:rsidRPr="00A17A7D">
        <w:rPr>
          <w:rFonts w:ascii="Book Antiqua" w:hAnsi="Book Antiqua"/>
          <w:lang w:val="es-ES_tradnl"/>
        </w:rPr>
        <w:t>nstitucional</w:t>
      </w:r>
      <w:r w:rsidR="00C525F2">
        <w:rPr>
          <w:rFonts w:ascii="Book Antiqua" w:hAnsi="Book Antiqua"/>
          <w:lang w:val="es-ES_tradnl"/>
        </w:rPr>
        <w:t xml:space="preserve"> que </w:t>
      </w:r>
      <w:r w:rsidR="00EE7BBB">
        <w:rPr>
          <w:rFonts w:ascii="Book Antiqua" w:hAnsi="Book Antiqua"/>
          <w:lang w:val="es-ES_tradnl"/>
        </w:rPr>
        <w:t>aspire d</w:t>
      </w:r>
      <w:r w:rsidR="00A17A7D" w:rsidRPr="00A17A7D">
        <w:rPr>
          <w:rFonts w:ascii="Book Antiqua" w:hAnsi="Book Antiqua"/>
          <w:lang w:val="es-ES_tradnl"/>
        </w:rPr>
        <w:t>eterminar que las entidades deportivas serán responsables de los actos de acoso y hostigamiento cometidos por sus empleados, contratistas o representantes, cuando estas entidades, sus agentes o supervisores sabían o debían saber de la conducta y no tomaron medidas inmediatas y apropiadas para corregirla.</w:t>
      </w:r>
      <w:r w:rsidR="00A17A7D" w:rsidRPr="00A17A7D">
        <w:rPr>
          <w:lang w:val="es-ES_tradnl"/>
        </w:rPr>
        <w:t>​</w:t>
      </w:r>
    </w:p>
    <w:p w14:paraId="18BDDED1" w14:textId="77777777" w:rsidR="002D3F8F" w:rsidRDefault="002D3F8F" w:rsidP="006B52E1">
      <w:pPr>
        <w:ind w:firstLine="360"/>
        <w:jc w:val="both"/>
        <w:rPr>
          <w:rFonts w:ascii="Book Antiqua" w:hAnsi="Book Antiqua"/>
          <w:lang w:val="es-ES_tradnl"/>
        </w:rPr>
      </w:pPr>
    </w:p>
    <w:p w14:paraId="4D3C464C" w14:textId="4931BD88" w:rsidR="00A17A7D" w:rsidRDefault="00EE7BBB" w:rsidP="006B52E1">
      <w:pPr>
        <w:ind w:firstLine="720"/>
        <w:jc w:val="both"/>
        <w:rPr>
          <w:lang w:val="es-ES_tradnl"/>
        </w:rPr>
      </w:pPr>
      <w:r>
        <w:rPr>
          <w:rFonts w:ascii="Book Antiqua" w:hAnsi="Book Antiqua"/>
          <w:lang w:val="es-ES_tradnl"/>
        </w:rPr>
        <w:t>Es importante f</w:t>
      </w:r>
      <w:r w:rsidR="00A17A7D" w:rsidRPr="00A17A7D">
        <w:rPr>
          <w:rFonts w:ascii="Book Antiqua" w:hAnsi="Book Antiqua"/>
          <w:lang w:val="es-ES_tradnl"/>
        </w:rPr>
        <w:t>omentar que las entidades deportivas implementen protocolos efectivos para prevenir y atender casos de acoso y hostigamiento sexual, creando un entorno seguro para las personas atletas.</w:t>
      </w:r>
      <w:r w:rsidR="00A17A7D" w:rsidRPr="00A17A7D">
        <w:rPr>
          <w:lang w:val="es-ES_tradnl"/>
        </w:rPr>
        <w:t>​</w:t>
      </w:r>
    </w:p>
    <w:p w14:paraId="73C1B2CA" w14:textId="77777777" w:rsidR="00974330" w:rsidRDefault="00974330" w:rsidP="006B52E1">
      <w:pPr>
        <w:ind w:firstLine="360"/>
        <w:jc w:val="both"/>
        <w:rPr>
          <w:lang w:val="es-ES_tradnl"/>
        </w:rPr>
      </w:pPr>
    </w:p>
    <w:p w14:paraId="228E5933" w14:textId="376979A9" w:rsidR="00974330" w:rsidRDefault="00974330" w:rsidP="006B52E1">
      <w:pPr>
        <w:ind w:firstLine="720"/>
        <w:jc w:val="both"/>
        <w:rPr>
          <w:rFonts w:ascii="Book Antiqua" w:hAnsi="Book Antiqua"/>
          <w:lang w:val="es-ES_tradnl"/>
        </w:rPr>
      </w:pPr>
      <w:r w:rsidRPr="00974330">
        <w:rPr>
          <w:rFonts w:ascii="Book Antiqua" w:hAnsi="Book Antiqua"/>
          <w:lang w:val="es-ES_tradnl"/>
        </w:rPr>
        <w:t xml:space="preserve">La enmienda propuesta al Artículo 7 de la Ley Núm. 133-2024 refuerza el compromiso del </w:t>
      </w:r>
      <w:r>
        <w:rPr>
          <w:rFonts w:ascii="Book Antiqua" w:hAnsi="Book Antiqua"/>
          <w:lang w:val="es-ES_tradnl"/>
        </w:rPr>
        <w:t>Gobierno de</w:t>
      </w:r>
      <w:r w:rsidRPr="00974330">
        <w:rPr>
          <w:rFonts w:ascii="Book Antiqua" w:hAnsi="Book Antiqua"/>
          <w:lang w:val="es-ES_tradnl"/>
        </w:rPr>
        <w:t xml:space="preserve"> Puerto Rico con la erradicación del acoso y hostigamiento sexual en el deporte. Al establecer responsabilidades claras tanto para individuos como para entidades deportivas, se promueve un entorno deportivo más seguro, equitativo y respetuoso para todas las personas atletas.</w:t>
      </w:r>
    </w:p>
    <w:p w14:paraId="03B53EE8" w14:textId="77777777" w:rsidR="00507C90" w:rsidRDefault="00507C90" w:rsidP="006B52E1">
      <w:pPr>
        <w:rPr>
          <w:rFonts w:ascii="Book Antiqua" w:hAnsi="Book Antiqua"/>
          <w:lang w:val="es-ES_tradnl"/>
        </w:rPr>
      </w:pPr>
    </w:p>
    <w:p w14:paraId="57033798" w14:textId="2FE51DCE" w:rsidR="0020062C" w:rsidRDefault="0020062C" w:rsidP="006B52E1">
      <w:pPr>
        <w:rPr>
          <w:rFonts w:ascii="Book Antiqua" w:hAnsi="Book Antiqua"/>
          <w:i/>
          <w:lang w:val="es-ES_tradnl"/>
        </w:rPr>
      </w:pPr>
      <w:r>
        <w:rPr>
          <w:rFonts w:ascii="Book Antiqua" w:hAnsi="Book Antiqua"/>
          <w:i/>
          <w:lang w:val="es-ES_tradnl"/>
        </w:rPr>
        <w:t>DECRÉTASE POR LA ASAMBLEA LEGISLATIVA DE PUERTO RICO:</w:t>
      </w:r>
    </w:p>
    <w:p w14:paraId="0A7FBF1D" w14:textId="77777777" w:rsidR="0020062C" w:rsidRDefault="0020062C" w:rsidP="00CC2F2D">
      <w:pPr>
        <w:jc w:val="both"/>
        <w:rPr>
          <w:rFonts w:ascii="Book Antiqua" w:hAnsi="Book Antiqua"/>
          <w:lang w:val="es-ES_tradnl"/>
        </w:rPr>
      </w:pPr>
    </w:p>
    <w:p w14:paraId="104ED132" w14:textId="231C29E3" w:rsidR="00CC2F2D" w:rsidRDefault="00CC2F2D" w:rsidP="00CC2F2D">
      <w:pPr>
        <w:jc w:val="both"/>
        <w:rPr>
          <w:rFonts w:ascii="Book Antiqua" w:hAnsi="Book Antiqua"/>
          <w:lang w:val="es-ES_tradnl"/>
        </w:rPr>
        <w:sectPr w:rsidR="00CC2F2D" w:rsidSect="006E4DD9">
          <w:headerReference w:type="default" r:id="rId8"/>
          <w:type w:val="continuous"/>
          <w:pgSz w:w="12240" w:h="15840" w:code="1"/>
          <w:pgMar w:top="1440" w:right="1440" w:bottom="1440" w:left="1440" w:header="720" w:footer="720" w:gutter="0"/>
          <w:cols w:space="720"/>
          <w:titlePg/>
        </w:sectPr>
      </w:pPr>
    </w:p>
    <w:p w14:paraId="18818665" w14:textId="60700B65" w:rsidR="0020062C" w:rsidRDefault="00D00CA3" w:rsidP="00D00CA3">
      <w:pPr>
        <w:spacing w:line="480" w:lineRule="auto"/>
        <w:ind w:firstLine="720"/>
        <w:jc w:val="both"/>
        <w:rPr>
          <w:rFonts w:ascii="Book Antiqua" w:hAnsi="Book Antiqua"/>
          <w:lang w:val="es-ES_tradnl"/>
        </w:rPr>
      </w:pPr>
      <w:r>
        <w:rPr>
          <w:rFonts w:ascii="Book Antiqua" w:hAnsi="Book Antiqua"/>
          <w:lang w:val="es-ES_tradnl"/>
        </w:rPr>
        <w:t>Sección</w:t>
      </w:r>
      <w:r w:rsidR="0020062C" w:rsidRPr="0020062C">
        <w:rPr>
          <w:rFonts w:ascii="Book Antiqua" w:hAnsi="Book Antiqua"/>
          <w:lang w:val="es-ES_tradnl"/>
        </w:rPr>
        <w:t xml:space="preserve"> 1.-Se </w:t>
      </w:r>
      <w:r w:rsidR="00545A95">
        <w:rPr>
          <w:rFonts w:ascii="Book Antiqua" w:hAnsi="Book Antiqua"/>
          <w:lang w:val="es-ES_tradnl"/>
        </w:rPr>
        <w:t>enmienda</w:t>
      </w:r>
      <w:r w:rsidR="00266F60">
        <w:rPr>
          <w:rFonts w:ascii="Book Antiqua" w:hAnsi="Book Antiqua"/>
          <w:lang w:val="es-ES_tradnl"/>
        </w:rPr>
        <w:t xml:space="preserve"> el </w:t>
      </w:r>
      <w:r w:rsidR="00974330">
        <w:rPr>
          <w:rFonts w:ascii="Book Antiqua" w:hAnsi="Book Antiqua"/>
          <w:lang w:val="es-ES_tradnl"/>
        </w:rPr>
        <w:t>Artículo 7 de las Ley 133-2024</w:t>
      </w:r>
      <w:r w:rsidR="00463898">
        <w:rPr>
          <w:rFonts w:ascii="Book Antiqua" w:hAnsi="Book Antiqua"/>
          <w:lang w:val="es-ES_tradnl"/>
        </w:rPr>
        <w:t>, para que se lea como sigue:</w:t>
      </w:r>
    </w:p>
    <w:p w14:paraId="3E1BACF7" w14:textId="54BF2CBE" w:rsidR="005C57CA" w:rsidRPr="00583AA2" w:rsidRDefault="00463898" w:rsidP="005C57CA">
      <w:pPr>
        <w:spacing w:line="480" w:lineRule="auto"/>
        <w:ind w:firstLine="720"/>
        <w:jc w:val="both"/>
        <w:rPr>
          <w:rFonts w:ascii="Book Antiqua" w:hAnsi="Book Antiqua"/>
          <w:lang w:val="es-PR"/>
        </w:rPr>
      </w:pPr>
      <w:r>
        <w:rPr>
          <w:rFonts w:ascii="Book Antiqua" w:hAnsi="Book Antiqua"/>
          <w:lang w:val="es-PR"/>
        </w:rPr>
        <w:t>“</w:t>
      </w:r>
      <w:r w:rsidR="005C57CA" w:rsidRPr="005C57CA">
        <w:rPr>
          <w:rFonts w:ascii="Book Antiqua" w:hAnsi="Book Antiqua"/>
          <w:lang w:val="es-PR"/>
        </w:rPr>
        <w:t xml:space="preserve">Artículo </w:t>
      </w:r>
      <w:r w:rsidR="008259E8">
        <w:rPr>
          <w:rFonts w:ascii="Book Antiqua" w:hAnsi="Book Antiqua"/>
          <w:lang w:val="es-PR"/>
        </w:rPr>
        <w:t>7</w:t>
      </w:r>
      <w:r w:rsidR="005C57CA" w:rsidRPr="005C57CA">
        <w:rPr>
          <w:rFonts w:ascii="Book Antiqua" w:hAnsi="Book Antiqua"/>
          <w:lang w:val="es-PR"/>
        </w:rPr>
        <w:t xml:space="preserve">. — </w:t>
      </w:r>
      <w:r w:rsidR="008259E8">
        <w:rPr>
          <w:rFonts w:ascii="Book Antiqua" w:hAnsi="Book Antiqua"/>
          <w:lang w:val="es-PR"/>
        </w:rPr>
        <w:t xml:space="preserve">Prótocolo </w:t>
      </w:r>
      <w:r w:rsidR="00583AA2">
        <w:rPr>
          <w:rFonts w:ascii="Book Antiqua" w:hAnsi="Book Antiqua"/>
          <w:i/>
          <w:iCs/>
          <w:lang w:val="es-PR"/>
        </w:rPr>
        <w:t>y Sanciones</w:t>
      </w:r>
    </w:p>
    <w:p w14:paraId="59DEEA66" w14:textId="0278DC38" w:rsidR="00D21A76" w:rsidRDefault="00D21A76" w:rsidP="00CC2F2D">
      <w:pPr>
        <w:spacing w:line="480" w:lineRule="auto"/>
        <w:ind w:firstLine="720"/>
        <w:jc w:val="both"/>
        <w:rPr>
          <w:rFonts w:ascii="Book Antiqua" w:hAnsi="Book Antiqua"/>
          <w:lang w:val="es-PR"/>
        </w:rPr>
      </w:pPr>
      <w:r w:rsidRPr="00D21A76">
        <w:rPr>
          <w:rFonts w:ascii="Book Antiqua" w:hAnsi="Book Antiqua"/>
          <w:lang w:val="es-PR"/>
        </w:rPr>
        <w:t>El Departamento de Recreación de Deportes y las entidades deportivas que reciban fondos públicos o utilicen instalaciones públicas tendrán 30 días a partir de la aprobación de esta Ley para establecer políticas, mediante reglamento, sobre acoso y hostigamiento sexual, según dispuesto en los Artículos 4, 5 y 6 de esta Ley.</w:t>
      </w:r>
    </w:p>
    <w:p w14:paraId="1A5A9A5E" w14:textId="2DA0DD5C" w:rsidR="00C31C05" w:rsidRPr="00614422" w:rsidRDefault="00C31C05" w:rsidP="00C31C05">
      <w:pPr>
        <w:spacing w:line="480" w:lineRule="auto"/>
        <w:ind w:firstLine="720"/>
        <w:jc w:val="both"/>
        <w:rPr>
          <w:rFonts w:ascii="Book Antiqua" w:hAnsi="Book Antiqua"/>
          <w:i/>
          <w:iCs/>
          <w:lang w:val="es-PR"/>
        </w:rPr>
      </w:pPr>
      <w:r w:rsidRPr="00614422">
        <w:rPr>
          <w:rFonts w:ascii="Book Antiqua" w:hAnsi="Book Antiqua"/>
          <w:i/>
          <w:iCs/>
          <w:lang w:val="es-PR"/>
        </w:rPr>
        <w:t xml:space="preserve">Toda persona responsable de hostigamiento y acoso en el </w:t>
      </w:r>
      <w:r w:rsidR="005A0063">
        <w:rPr>
          <w:rFonts w:ascii="Book Antiqua" w:hAnsi="Book Antiqua"/>
          <w:i/>
          <w:iCs/>
          <w:lang w:val="es-PR"/>
        </w:rPr>
        <w:t>entorno deportivo</w:t>
      </w:r>
      <w:r w:rsidRPr="00614422">
        <w:rPr>
          <w:rFonts w:ascii="Book Antiqua" w:hAnsi="Book Antiqua"/>
          <w:i/>
          <w:iCs/>
          <w:lang w:val="es-PR"/>
        </w:rPr>
        <w:t>, según se define en esta Ley, incurrirá en responsabilidad civil:</w:t>
      </w:r>
    </w:p>
    <w:p w14:paraId="6B67B9D1" w14:textId="2BBC01F1" w:rsidR="00C31C05" w:rsidRPr="00614422" w:rsidRDefault="00C31C05" w:rsidP="00EA3C1A">
      <w:pPr>
        <w:spacing w:line="480" w:lineRule="auto"/>
        <w:ind w:firstLine="720"/>
        <w:jc w:val="both"/>
        <w:rPr>
          <w:rFonts w:ascii="Book Antiqua" w:hAnsi="Book Antiqua"/>
          <w:i/>
          <w:iCs/>
          <w:lang w:val="es-PR"/>
        </w:rPr>
      </w:pPr>
      <w:r w:rsidRPr="00614422">
        <w:rPr>
          <w:rFonts w:ascii="Book Antiqua" w:hAnsi="Book Antiqua"/>
          <w:i/>
          <w:iCs/>
          <w:lang w:val="es-PR"/>
        </w:rPr>
        <w:lastRenderedPageBreak/>
        <w:t xml:space="preserve">(1) por una suma igual al doble del importe de los daños que el acto haya causado al </w:t>
      </w:r>
      <w:r w:rsidR="005A0063">
        <w:rPr>
          <w:rFonts w:ascii="Book Antiqua" w:hAnsi="Book Antiqua"/>
          <w:i/>
          <w:iCs/>
          <w:lang w:val="es-PR"/>
        </w:rPr>
        <w:t>atleta</w:t>
      </w:r>
      <w:r w:rsidRPr="00614422">
        <w:rPr>
          <w:rFonts w:ascii="Book Antiqua" w:hAnsi="Book Antiqua"/>
          <w:i/>
          <w:iCs/>
          <w:lang w:val="es-PR"/>
        </w:rPr>
        <w:t>, o</w:t>
      </w:r>
      <w:r w:rsidR="00EA3C1A">
        <w:rPr>
          <w:rFonts w:ascii="Book Antiqua" w:hAnsi="Book Antiqua"/>
          <w:i/>
          <w:iCs/>
          <w:lang w:val="es-PR"/>
        </w:rPr>
        <w:t xml:space="preserve"> </w:t>
      </w:r>
      <w:r w:rsidRPr="00614422">
        <w:rPr>
          <w:rFonts w:ascii="Book Antiqua" w:hAnsi="Book Antiqua"/>
          <w:i/>
          <w:iCs/>
          <w:lang w:val="es-PR"/>
        </w:rPr>
        <w:t>(2) por una suma no menor de diez mil dólares ($10,000) a discreción del tribunal, en aquellos casos en que no se pudieren determinar los daños pecuniarios.</w:t>
      </w:r>
    </w:p>
    <w:p w14:paraId="3925E484" w14:textId="34148364" w:rsidR="002D3F8F" w:rsidRPr="00614422" w:rsidRDefault="00C31C05" w:rsidP="00C31C05">
      <w:pPr>
        <w:spacing w:line="480" w:lineRule="auto"/>
        <w:ind w:firstLine="720"/>
        <w:jc w:val="both"/>
        <w:rPr>
          <w:rFonts w:ascii="Book Antiqua" w:hAnsi="Book Antiqua"/>
          <w:i/>
          <w:iCs/>
          <w:lang w:val="es-PR"/>
        </w:rPr>
      </w:pPr>
      <w:r w:rsidRPr="00614422">
        <w:rPr>
          <w:rFonts w:ascii="Book Antiqua" w:hAnsi="Book Antiqua"/>
          <w:i/>
          <w:iCs/>
          <w:lang w:val="es-PR"/>
        </w:rPr>
        <w:t xml:space="preserve">En la sentencia que se dicte en acciones civiles interpuestas bajo las precedentes disposiciones, el Tribunal podrá </w:t>
      </w:r>
      <w:r w:rsidR="007D0DDC" w:rsidRPr="00614422">
        <w:rPr>
          <w:rFonts w:ascii="Book Antiqua" w:hAnsi="Book Antiqua"/>
          <w:i/>
          <w:iCs/>
          <w:lang w:val="es-PR"/>
        </w:rPr>
        <w:t xml:space="preserve">suspender la licencia y/o </w:t>
      </w:r>
      <w:r w:rsidR="00EA3C1A">
        <w:rPr>
          <w:rFonts w:ascii="Book Antiqua" w:hAnsi="Book Antiqua"/>
          <w:i/>
          <w:iCs/>
          <w:lang w:val="es-PR"/>
        </w:rPr>
        <w:t>ordenar</w:t>
      </w:r>
      <w:r w:rsidR="007D0DDC" w:rsidRPr="00614422">
        <w:rPr>
          <w:rFonts w:ascii="Book Antiqua" w:hAnsi="Book Antiqua"/>
          <w:i/>
          <w:iCs/>
          <w:lang w:val="es-PR"/>
        </w:rPr>
        <w:t xml:space="preserve"> que la entidad deportiva y/o agente, empleado </w:t>
      </w:r>
      <w:r w:rsidR="006F38D0" w:rsidRPr="00614422">
        <w:rPr>
          <w:rFonts w:ascii="Book Antiqua" w:hAnsi="Book Antiqua"/>
          <w:i/>
          <w:iCs/>
          <w:lang w:val="es-PR"/>
        </w:rPr>
        <w:t>y/</w:t>
      </w:r>
      <w:r w:rsidR="007D0DDC" w:rsidRPr="00614422">
        <w:rPr>
          <w:rFonts w:ascii="Book Antiqua" w:hAnsi="Book Antiqua"/>
          <w:i/>
          <w:iCs/>
          <w:lang w:val="es-PR"/>
        </w:rPr>
        <w:t xml:space="preserve">o supervisor </w:t>
      </w:r>
      <w:r w:rsidR="00014324" w:rsidRPr="00614422">
        <w:rPr>
          <w:rFonts w:ascii="Book Antiqua" w:hAnsi="Book Antiqua"/>
          <w:i/>
          <w:iCs/>
          <w:lang w:val="es-PR"/>
        </w:rPr>
        <w:t>cese</w:t>
      </w:r>
      <w:r w:rsidR="001C2628" w:rsidRPr="00614422">
        <w:rPr>
          <w:rFonts w:ascii="Book Antiqua" w:hAnsi="Book Antiqua"/>
          <w:i/>
          <w:iCs/>
          <w:lang w:val="es-PR"/>
        </w:rPr>
        <w:t xml:space="preserve"> </w:t>
      </w:r>
      <w:r w:rsidR="00014324" w:rsidRPr="00614422">
        <w:rPr>
          <w:rFonts w:ascii="Book Antiqua" w:hAnsi="Book Antiqua"/>
          <w:i/>
          <w:iCs/>
          <w:lang w:val="es-PR"/>
        </w:rPr>
        <w:t xml:space="preserve">sus funciones dentro del entorno deportivo. </w:t>
      </w:r>
    </w:p>
    <w:p w14:paraId="634EE140" w14:textId="2EDC5FBA" w:rsidR="006F38D0" w:rsidRPr="00614422" w:rsidRDefault="00BB7A0C" w:rsidP="00C31C05">
      <w:pPr>
        <w:spacing w:line="480" w:lineRule="auto"/>
        <w:ind w:firstLine="720"/>
        <w:jc w:val="both"/>
        <w:rPr>
          <w:rFonts w:ascii="Book Antiqua" w:hAnsi="Book Antiqua"/>
          <w:i/>
          <w:iCs/>
          <w:lang w:val="es-PR"/>
        </w:rPr>
      </w:pPr>
      <w:r w:rsidRPr="00614422">
        <w:rPr>
          <w:rFonts w:ascii="Book Antiqua" w:hAnsi="Book Antiqua"/>
          <w:i/>
          <w:iCs/>
          <w:lang w:val="es-PR"/>
        </w:rPr>
        <w:t xml:space="preserve">Una entidad deportiva será responsable por los actos de hostigamiento sexual y acoso </w:t>
      </w:r>
      <w:r w:rsidR="001075B8" w:rsidRPr="00614422">
        <w:rPr>
          <w:rFonts w:ascii="Book Antiqua" w:hAnsi="Book Antiqua"/>
          <w:i/>
          <w:iCs/>
          <w:lang w:val="es-PR"/>
        </w:rPr>
        <w:t>hacia una atleta</w:t>
      </w:r>
      <w:r w:rsidRPr="00614422">
        <w:rPr>
          <w:rFonts w:ascii="Book Antiqua" w:hAnsi="Book Antiqua"/>
          <w:i/>
          <w:iCs/>
          <w:lang w:val="es-PR"/>
        </w:rPr>
        <w:t>, en el entorno deportivo</w:t>
      </w:r>
      <w:r w:rsidR="00451BC5" w:rsidRPr="00614422">
        <w:rPr>
          <w:rFonts w:ascii="Book Antiqua" w:hAnsi="Book Antiqua"/>
          <w:i/>
          <w:iCs/>
          <w:lang w:val="es-PR"/>
        </w:rPr>
        <w:t>,</w:t>
      </w:r>
      <w:r w:rsidRPr="00614422">
        <w:rPr>
          <w:rFonts w:ascii="Book Antiqua" w:hAnsi="Book Antiqua"/>
          <w:i/>
          <w:iCs/>
          <w:lang w:val="es-PR"/>
        </w:rPr>
        <w:t xml:space="preserve"> si la entidad deportiva o sus agentes o sus supervisores sabían o debían estar enterados de dicha conducta, a menos que la entidad deportiva pruebe que tomó una acción inmediata y apropiada para corregir la situación.</w:t>
      </w:r>
    </w:p>
    <w:p w14:paraId="5E79F39C" w14:textId="446A12E4" w:rsidR="00451BC5" w:rsidRPr="00614422" w:rsidRDefault="00D67A61" w:rsidP="00390D73">
      <w:pPr>
        <w:spacing w:line="480" w:lineRule="auto"/>
        <w:ind w:firstLine="720"/>
        <w:jc w:val="both"/>
        <w:rPr>
          <w:rFonts w:ascii="Book Antiqua" w:hAnsi="Book Antiqua"/>
          <w:i/>
          <w:iCs/>
          <w:lang w:val="es-PR"/>
        </w:rPr>
      </w:pPr>
      <w:r w:rsidRPr="00614422">
        <w:rPr>
          <w:rFonts w:ascii="Book Antiqua" w:hAnsi="Book Antiqua"/>
          <w:i/>
          <w:iCs/>
          <w:lang w:val="es-PR"/>
        </w:rPr>
        <w:t xml:space="preserve">Una entidad será responsable de los actos de hostigamiento sexual y acoso en el entorno deportivo hacia los atletas por parte de personas </w:t>
      </w:r>
      <w:r w:rsidR="001D729A" w:rsidRPr="00614422">
        <w:rPr>
          <w:rFonts w:ascii="Book Antiqua" w:hAnsi="Book Antiqua"/>
          <w:i/>
          <w:iCs/>
          <w:lang w:val="es-PR"/>
        </w:rPr>
        <w:t xml:space="preserve">ajenas </w:t>
      </w:r>
      <w:r w:rsidR="00A059B8" w:rsidRPr="00614422">
        <w:rPr>
          <w:rFonts w:ascii="Book Antiqua" w:hAnsi="Book Antiqua"/>
          <w:i/>
          <w:iCs/>
          <w:lang w:val="es-PR"/>
        </w:rPr>
        <w:t>o que no tengan un vínculo directo con</w:t>
      </w:r>
      <w:r w:rsidR="001D729A" w:rsidRPr="00614422">
        <w:rPr>
          <w:rFonts w:ascii="Book Antiqua" w:hAnsi="Book Antiqua"/>
          <w:i/>
          <w:iCs/>
          <w:lang w:val="es-PR"/>
        </w:rPr>
        <w:t xml:space="preserve"> la entidad deportiva</w:t>
      </w:r>
      <w:r w:rsidRPr="00614422">
        <w:rPr>
          <w:rFonts w:ascii="Book Antiqua" w:hAnsi="Book Antiqua"/>
          <w:i/>
          <w:iCs/>
          <w:lang w:val="es-PR"/>
        </w:rPr>
        <w:t xml:space="preserve">, si </w:t>
      </w:r>
      <w:r w:rsidR="00390D73" w:rsidRPr="00614422">
        <w:rPr>
          <w:rFonts w:ascii="Book Antiqua" w:hAnsi="Book Antiqua"/>
          <w:i/>
          <w:iCs/>
          <w:lang w:val="es-PR"/>
        </w:rPr>
        <w:t>la entidad deportiv</w:t>
      </w:r>
      <w:r w:rsidR="000B3D0B" w:rsidRPr="00614422">
        <w:rPr>
          <w:rFonts w:ascii="Book Antiqua" w:hAnsi="Book Antiqua"/>
          <w:i/>
          <w:iCs/>
          <w:lang w:val="es-PR"/>
        </w:rPr>
        <w:t>a</w:t>
      </w:r>
      <w:r w:rsidRPr="00614422">
        <w:rPr>
          <w:rFonts w:ascii="Book Antiqua" w:hAnsi="Book Antiqua"/>
          <w:i/>
          <w:iCs/>
          <w:lang w:val="es-PR"/>
        </w:rPr>
        <w:t xml:space="preserve"> o sus agentes o sus supervisores sabían o debían de estar enterados de dicha conducta y no tomaron una acción inmediata y apropiada para corregir la situación.</w:t>
      </w:r>
      <w:r w:rsidR="00390D73" w:rsidRPr="00614422">
        <w:rPr>
          <w:rFonts w:ascii="Book Antiqua" w:hAnsi="Book Antiqua"/>
          <w:i/>
          <w:iCs/>
          <w:lang w:val="es-PR"/>
        </w:rPr>
        <w:t xml:space="preserve"> En estos casos, se considerará el alcance del control de la entidad deportiva y cualquiera otra responsabilidad legal que una entidad deportiva pueda tener respecto a la conducta de personas ajenas</w:t>
      </w:r>
      <w:r w:rsidR="00700429" w:rsidRPr="00614422">
        <w:rPr>
          <w:rFonts w:ascii="Book Antiqua" w:hAnsi="Book Antiqua"/>
          <w:i/>
          <w:iCs/>
          <w:lang w:val="es-PR"/>
        </w:rPr>
        <w:t xml:space="preserve"> o terceros que no tengan vínculo </w:t>
      </w:r>
      <w:r w:rsidR="00A059B8" w:rsidRPr="00614422">
        <w:rPr>
          <w:rFonts w:ascii="Book Antiqua" w:hAnsi="Book Antiqua"/>
          <w:i/>
          <w:iCs/>
          <w:lang w:val="es-PR"/>
        </w:rPr>
        <w:t>directo con la entidad.</w:t>
      </w:r>
    </w:p>
    <w:p w14:paraId="751F4306" w14:textId="727A2406" w:rsidR="008422BA" w:rsidRPr="008422BA" w:rsidRDefault="00D2641D" w:rsidP="00CC2F2D">
      <w:pPr>
        <w:spacing w:line="480" w:lineRule="auto"/>
        <w:ind w:firstLine="720"/>
        <w:jc w:val="both"/>
        <w:rPr>
          <w:rFonts w:ascii="Book Antiqua" w:hAnsi="Book Antiqua"/>
          <w:lang w:val="es-ES"/>
        </w:rPr>
      </w:pPr>
      <w:r w:rsidRPr="008422BA">
        <w:rPr>
          <w:rFonts w:ascii="Book Antiqua" w:hAnsi="Book Antiqua"/>
          <w:lang w:val="es-ES"/>
        </w:rPr>
        <w:t>Sección</w:t>
      </w:r>
      <w:r w:rsidR="0020062C" w:rsidRPr="008422BA">
        <w:rPr>
          <w:rFonts w:ascii="Book Antiqua" w:hAnsi="Book Antiqua"/>
          <w:lang w:val="es-ES"/>
        </w:rPr>
        <w:t xml:space="preserve"> </w:t>
      </w:r>
      <w:r w:rsidR="00266F60" w:rsidRPr="008422BA">
        <w:rPr>
          <w:rFonts w:ascii="Book Antiqua" w:hAnsi="Book Antiqua"/>
          <w:lang w:val="es-ES"/>
        </w:rPr>
        <w:t>2</w:t>
      </w:r>
      <w:r w:rsidR="0020062C" w:rsidRPr="008422BA">
        <w:rPr>
          <w:rFonts w:ascii="Book Antiqua" w:hAnsi="Book Antiqua"/>
          <w:lang w:val="es-ES"/>
        </w:rPr>
        <w:t>.-</w:t>
      </w:r>
      <w:r w:rsidR="00266F60" w:rsidRPr="008422BA">
        <w:rPr>
          <w:rFonts w:ascii="Book Antiqua" w:hAnsi="Book Antiqua"/>
          <w:lang w:val="es-ES"/>
        </w:rPr>
        <w:t xml:space="preserve"> </w:t>
      </w:r>
      <w:r w:rsidR="008422BA" w:rsidRPr="008422BA">
        <w:rPr>
          <w:rFonts w:ascii="Book Antiqua" w:hAnsi="Book Antiqua"/>
          <w:lang w:val="es-ES"/>
        </w:rPr>
        <w:t xml:space="preserve">El Departamento de Recreación de Deportes y las entidades deportivas que reciban fondos públicos o utilicen instalaciones públicas tendrán 30 días a partir de la aprobación de esta Ley para </w:t>
      </w:r>
      <w:r w:rsidR="00CF3AC9">
        <w:rPr>
          <w:rFonts w:ascii="Book Antiqua" w:hAnsi="Book Antiqua"/>
          <w:lang w:val="es-ES"/>
        </w:rPr>
        <w:t>enmendar sus</w:t>
      </w:r>
      <w:r w:rsidR="008422BA" w:rsidRPr="008422BA">
        <w:rPr>
          <w:rFonts w:ascii="Book Antiqua" w:hAnsi="Book Antiqua"/>
          <w:lang w:val="es-ES"/>
        </w:rPr>
        <w:t xml:space="preserve"> políticas, mediante reglamento, sobre acoso y hostigamiento sexual</w:t>
      </w:r>
      <w:r w:rsidR="00CF3AC9">
        <w:rPr>
          <w:rFonts w:ascii="Book Antiqua" w:hAnsi="Book Antiqua"/>
          <w:lang w:val="es-ES"/>
        </w:rPr>
        <w:t xml:space="preserve"> conforme dispone esta Ley.</w:t>
      </w:r>
    </w:p>
    <w:p w14:paraId="113BE8E1" w14:textId="45D41B11" w:rsidR="0020062C" w:rsidRPr="0020062C" w:rsidRDefault="00016080" w:rsidP="00CC2F2D">
      <w:pPr>
        <w:spacing w:line="480" w:lineRule="auto"/>
        <w:ind w:firstLine="720"/>
        <w:jc w:val="both"/>
        <w:rPr>
          <w:rFonts w:ascii="Book Antiqua" w:hAnsi="Book Antiqua"/>
          <w:lang w:val="es-ES_tradnl"/>
        </w:rPr>
      </w:pPr>
      <w:r>
        <w:rPr>
          <w:rFonts w:ascii="Book Antiqua" w:hAnsi="Book Antiqua"/>
          <w:lang w:val="es-ES_tradnl"/>
        </w:rPr>
        <w:lastRenderedPageBreak/>
        <w:t xml:space="preserve">Sección 3. - </w:t>
      </w:r>
      <w:r w:rsidR="0020062C" w:rsidRPr="0020062C">
        <w:rPr>
          <w:rFonts w:ascii="Book Antiqua" w:hAnsi="Book Antiqua"/>
          <w:lang w:val="es-ES_tradnl"/>
        </w:rPr>
        <w:t>Si cualquier artículo, disposición, párrafo, inciso o parte de esta Ley, fuese declarada nula o inconstitucional por cualquier Tribunal competente, se entenderá que el resto de sus disposiciones mantendrán su validez y vigencia.</w:t>
      </w:r>
    </w:p>
    <w:p w14:paraId="39B662FB" w14:textId="7734A84A" w:rsidR="0020062C" w:rsidRPr="0020062C" w:rsidRDefault="00D2641D" w:rsidP="00CC2F2D">
      <w:pPr>
        <w:spacing w:line="480" w:lineRule="auto"/>
        <w:ind w:firstLine="720"/>
        <w:jc w:val="both"/>
        <w:rPr>
          <w:rFonts w:ascii="Book Antiqua" w:hAnsi="Book Antiqua"/>
          <w:lang w:val="es-ES_tradnl"/>
        </w:rPr>
      </w:pPr>
      <w:r>
        <w:rPr>
          <w:rFonts w:ascii="Book Antiqua" w:hAnsi="Book Antiqua"/>
          <w:lang w:val="es-ES_tradnl"/>
        </w:rPr>
        <w:t>Sección</w:t>
      </w:r>
      <w:r w:rsidR="0020062C" w:rsidRPr="0020062C">
        <w:rPr>
          <w:rFonts w:ascii="Book Antiqua" w:hAnsi="Book Antiqua"/>
          <w:lang w:val="es-ES_tradnl"/>
        </w:rPr>
        <w:t xml:space="preserve"> </w:t>
      </w:r>
      <w:r w:rsidR="00016080">
        <w:rPr>
          <w:rFonts w:ascii="Book Antiqua" w:hAnsi="Book Antiqua"/>
          <w:lang w:val="es-ES_tradnl"/>
        </w:rPr>
        <w:t>4</w:t>
      </w:r>
      <w:r w:rsidR="0020062C" w:rsidRPr="0020062C">
        <w:rPr>
          <w:rFonts w:ascii="Book Antiqua" w:hAnsi="Book Antiqua"/>
          <w:lang w:val="es-ES_tradnl"/>
        </w:rPr>
        <w:t>.-</w:t>
      </w:r>
      <w:r w:rsidR="00266F60">
        <w:rPr>
          <w:rFonts w:ascii="Book Antiqua" w:hAnsi="Book Antiqua"/>
          <w:lang w:val="es-ES_tradnl"/>
        </w:rPr>
        <w:t xml:space="preserve"> </w:t>
      </w:r>
      <w:r w:rsidR="0020062C" w:rsidRPr="0020062C">
        <w:rPr>
          <w:rFonts w:ascii="Book Antiqua" w:hAnsi="Book Antiqua"/>
          <w:lang w:val="es-ES_tradnl"/>
        </w:rPr>
        <w:t xml:space="preserve">Esta Ley entrará en vigor inmediatamente después de su aprobación. </w:t>
      </w:r>
    </w:p>
    <w:sectPr w:rsidR="0020062C" w:rsidRPr="0020062C" w:rsidSect="006E4DD9">
      <w:headerReference w:type="default" r:id="rId9"/>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433E9" w14:textId="77777777" w:rsidR="00B456BB" w:rsidRDefault="00B456BB">
      <w:r>
        <w:separator/>
      </w:r>
    </w:p>
  </w:endnote>
  <w:endnote w:type="continuationSeparator" w:id="0">
    <w:p w14:paraId="64EB38DB" w14:textId="77777777" w:rsidR="00B456BB" w:rsidRDefault="00B45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5B2B5" w14:textId="77777777" w:rsidR="00B456BB" w:rsidRDefault="00B456BB">
      <w:r>
        <w:separator/>
      </w:r>
    </w:p>
  </w:footnote>
  <w:footnote w:type="continuationSeparator" w:id="0">
    <w:p w14:paraId="1C351D7D" w14:textId="77777777" w:rsidR="00B456BB" w:rsidRDefault="00B456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F46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C159E" w14:textId="77777777" w:rsidR="00BF20AE" w:rsidRDefault="002F56D1">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200CB6"/>
    <w:multiLevelType w:val="hybridMultilevel"/>
    <w:tmpl w:val="C3D65F10"/>
    <w:lvl w:ilvl="0" w:tplc="1E168D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20605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062C"/>
    <w:rsid w:val="00003F87"/>
    <w:rsid w:val="00007959"/>
    <w:rsid w:val="00011F3B"/>
    <w:rsid w:val="00014324"/>
    <w:rsid w:val="00014C0D"/>
    <w:rsid w:val="00016080"/>
    <w:rsid w:val="00020BBB"/>
    <w:rsid w:val="00023008"/>
    <w:rsid w:val="00056024"/>
    <w:rsid w:val="00075C88"/>
    <w:rsid w:val="00095AE1"/>
    <w:rsid w:val="000A6B6C"/>
    <w:rsid w:val="000B0DBB"/>
    <w:rsid w:val="000B3D0B"/>
    <w:rsid w:val="000D05A0"/>
    <w:rsid w:val="000F216F"/>
    <w:rsid w:val="00103D91"/>
    <w:rsid w:val="001075B8"/>
    <w:rsid w:val="00111E71"/>
    <w:rsid w:val="00127C6A"/>
    <w:rsid w:val="001363FE"/>
    <w:rsid w:val="00143C7E"/>
    <w:rsid w:val="001469D4"/>
    <w:rsid w:val="00163196"/>
    <w:rsid w:val="0017132B"/>
    <w:rsid w:val="0019338F"/>
    <w:rsid w:val="001A6C48"/>
    <w:rsid w:val="001C2628"/>
    <w:rsid w:val="001D27D2"/>
    <w:rsid w:val="001D729A"/>
    <w:rsid w:val="001E522D"/>
    <w:rsid w:val="001E7EBB"/>
    <w:rsid w:val="001F4CA3"/>
    <w:rsid w:val="001F4FEB"/>
    <w:rsid w:val="001F612A"/>
    <w:rsid w:val="0020062C"/>
    <w:rsid w:val="00211396"/>
    <w:rsid w:val="00226AE6"/>
    <w:rsid w:val="0023132C"/>
    <w:rsid w:val="00245322"/>
    <w:rsid w:val="00245B34"/>
    <w:rsid w:val="00260CDF"/>
    <w:rsid w:val="00263355"/>
    <w:rsid w:val="00266F60"/>
    <w:rsid w:val="00273792"/>
    <w:rsid w:val="00293610"/>
    <w:rsid w:val="002D027B"/>
    <w:rsid w:val="002D05EA"/>
    <w:rsid w:val="002D3F8F"/>
    <w:rsid w:val="002D4AC8"/>
    <w:rsid w:val="002F56D1"/>
    <w:rsid w:val="00320D78"/>
    <w:rsid w:val="00332E5E"/>
    <w:rsid w:val="003400E2"/>
    <w:rsid w:val="003566F2"/>
    <w:rsid w:val="00380FE5"/>
    <w:rsid w:val="00390D73"/>
    <w:rsid w:val="003924DD"/>
    <w:rsid w:val="00394FCB"/>
    <w:rsid w:val="003963F4"/>
    <w:rsid w:val="003B23BD"/>
    <w:rsid w:val="003B5254"/>
    <w:rsid w:val="003B75A6"/>
    <w:rsid w:val="003C434A"/>
    <w:rsid w:val="003F101C"/>
    <w:rsid w:val="004061CA"/>
    <w:rsid w:val="00415689"/>
    <w:rsid w:val="004423F8"/>
    <w:rsid w:val="004440CB"/>
    <w:rsid w:val="00451BC5"/>
    <w:rsid w:val="00463898"/>
    <w:rsid w:val="00466B32"/>
    <w:rsid w:val="004713D2"/>
    <w:rsid w:val="00491E0B"/>
    <w:rsid w:val="00507C90"/>
    <w:rsid w:val="00521639"/>
    <w:rsid w:val="00532BB7"/>
    <w:rsid w:val="005332E4"/>
    <w:rsid w:val="0053550C"/>
    <w:rsid w:val="00540258"/>
    <w:rsid w:val="00545A95"/>
    <w:rsid w:val="00555018"/>
    <w:rsid w:val="005723DC"/>
    <w:rsid w:val="00572C4F"/>
    <w:rsid w:val="00583AA2"/>
    <w:rsid w:val="0059073E"/>
    <w:rsid w:val="005A0063"/>
    <w:rsid w:val="005A10B7"/>
    <w:rsid w:val="005B52C9"/>
    <w:rsid w:val="005C4EE4"/>
    <w:rsid w:val="005C57CA"/>
    <w:rsid w:val="00614422"/>
    <w:rsid w:val="006166A6"/>
    <w:rsid w:val="006210DC"/>
    <w:rsid w:val="00626FD0"/>
    <w:rsid w:val="0064349D"/>
    <w:rsid w:val="0064671C"/>
    <w:rsid w:val="00651DCE"/>
    <w:rsid w:val="00653EED"/>
    <w:rsid w:val="00685549"/>
    <w:rsid w:val="006B52E1"/>
    <w:rsid w:val="006B7365"/>
    <w:rsid w:val="006C2D81"/>
    <w:rsid w:val="006C7DF8"/>
    <w:rsid w:val="006E4DD9"/>
    <w:rsid w:val="006F38D0"/>
    <w:rsid w:val="00700429"/>
    <w:rsid w:val="007373C3"/>
    <w:rsid w:val="00750FC8"/>
    <w:rsid w:val="00752381"/>
    <w:rsid w:val="007533D0"/>
    <w:rsid w:val="00755069"/>
    <w:rsid w:val="007671A5"/>
    <w:rsid w:val="007B0660"/>
    <w:rsid w:val="007D0DDC"/>
    <w:rsid w:val="007E3868"/>
    <w:rsid w:val="008012A8"/>
    <w:rsid w:val="00820C41"/>
    <w:rsid w:val="008259E8"/>
    <w:rsid w:val="008422BA"/>
    <w:rsid w:val="0084416C"/>
    <w:rsid w:val="00850256"/>
    <w:rsid w:val="008B2D1F"/>
    <w:rsid w:val="008F66C2"/>
    <w:rsid w:val="008F6D03"/>
    <w:rsid w:val="0093686F"/>
    <w:rsid w:val="00940C00"/>
    <w:rsid w:val="00942FD4"/>
    <w:rsid w:val="00951997"/>
    <w:rsid w:val="00974330"/>
    <w:rsid w:val="00982A7D"/>
    <w:rsid w:val="00990352"/>
    <w:rsid w:val="009D48AD"/>
    <w:rsid w:val="00A03405"/>
    <w:rsid w:val="00A059B8"/>
    <w:rsid w:val="00A1528A"/>
    <w:rsid w:val="00A17A7D"/>
    <w:rsid w:val="00A27A6C"/>
    <w:rsid w:val="00A32B27"/>
    <w:rsid w:val="00A33918"/>
    <w:rsid w:val="00A35965"/>
    <w:rsid w:val="00A53E74"/>
    <w:rsid w:val="00A7629F"/>
    <w:rsid w:val="00A91486"/>
    <w:rsid w:val="00AC6BB7"/>
    <w:rsid w:val="00AD186A"/>
    <w:rsid w:val="00AF0CEE"/>
    <w:rsid w:val="00B34D64"/>
    <w:rsid w:val="00B456BB"/>
    <w:rsid w:val="00B667AD"/>
    <w:rsid w:val="00B832FF"/>
    <w:rsid w:val="00B84C38"/>
    <w:rsid w:val="00B86C00"/>
    <w:rsid w:val="00B93169"/>
    <w:rsid w:val="00B947F6"/>
    <w:rsid w:val="00BB7A0C"/>
    <w:rsid w:val="00BC4CB0"/>
    <w:rsid w:val="00BD2B41"/>
    <w:rsid w:val="00BF16AA"/>
    <w:rsid w:val="00BF20AE"/>
    <w:rsid w:val="00C31C05"/>
    <w:rsid w:val="00C354B8"/>
    <w:rsid w:val="00C52517"/>
    <w:rsid w:val="00C525F2"/>
    <w:rsid w:val="00C60921"/>
    <w:rsid w:val="00C62936"/>
    <w:rsid w:val="00C653F2"/>
    <w:rsid w:val="00C679E6"/>
    <w:rsid w:val="00C76C2A"/>
    <w:rsid w:val="00C908F9"/>
    <w:rsid w:val="00CA0917"/>
    <w:rsid w:val="00CA1099"/>
    <w:rsid w:val="00CA5D22"/>
    <w:rsid w:val="00CC1F37"/>
    <w:rsid w:val="00CC2F2D"/>
    <w:rsid w:val="00CD7DD8"/>
    <w:rsid w:val="00CF3AC9"/>
    <w:rsid w:val="00D00CA3"/>
    <w:rsid w:val="00D017FD"/>
    <w:rsid w:val="00D21A76"/>
    <w:rsid w:val="00D2641D"/>
    <w:rsid w:val="00D30D7C"/>
    <w:rsid w:val="00D417C2"/>
    <w:rsid w:val="00D42D13"/>
    <w:rsid w:val="00D47D11"/>
    <w:rsid w:val="00D5753C"/>
    <w:rsid w:val="00D60936"/>
    <w:rsid w:val="00D67A61"/>
    <w:rsid w:val="00D709EB"/>
    <w:rsid w:val="00D74714"/>
    <w:rsid w:val="00D82F3F"/>
    <w:rsid w:val="00D85FF6"/>
    <w:rsid w:val="00D921C6"/>
    <w:rsid w:val="00D958C2"/>
    <w:rsid w:val="00E04AB5"/>
    <w:rsid w:val="00E36CA2"/>
    <w:rsid w:val="00E42E4C"/>
    <w:rsid w:val="00E50EEA"/>
    <w:rsid w:val="00E52348"/>
    <w:rsid w:val="00E52F58"/>
    <w:rsid w:val="00E61593"/>
    <w:rsid w:val="00E623E2"/>
    <w:rsid w:val="00EA3C1A"/>
    <w:rsid w:val="00EB1D40"/>
    <w:rsid w:val="00EB7761"/>
    <w:rsid w:val="00EC26AA"/>
    <w:rsid w:val="00ED7A53"/>
    <w:rsid w:val="00EE4273"/>
    <w:rsid w:val="00EE7BBB"/>
    <w:rsid w:val="00EF1BA9"/>
    <w:rsid w:val="00EF6D61"/>
    <w:rsid w:val="00F02004"/>
    <w:rsid w:val="00F042CB"/>
    <w:rsid w:val="00F567E7"/>
    <w:rsid w:val="00F60A20"/>
    <w:rsid w:val="00FA5C1E"/>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E8477"/>
  <w15:chartTrackingRefBased/>
  <w15:docId w15:val="{6B375C97-916E-438C-8F2B-814C4EF5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1E522D"/>
    <w:rPr>
      <w:sz w:val="20"/>
    </w:rPr>
  </w:style>
  <w:style w:type="character" w:customStyle="1" w:styleId="FootnoteTextChar">
    <w:name w:val="Footnote Text Char"/>
    <w:basedOn w:val="DefaultParagraphFont"/>
    <w:link w:val="FootnoteText"/>
    <w:uiPriority w:val="99"/>
    <w:semiHidden/>
    <w:rsid w:val="001E522D"/>
  </w:style>
  <w:style w:type="character" w:styleId="FootnoteReference">
    <w:name w:val="footnote reference"/>
    <w:basedOn w:val="DefaultParagraphFont"/>
    <w:uiPriority w:val="99"/>
    <w:semiHidden/>
    <w:unhideWhenUsed/>
    <w:rsid w:val="001E522D"/>
    <w:rPr>
      <w:vertAlign w:val="superscript"/>
    </w:rPr>
  </w:style>
  <w:style w:type="paragraph" w:styleId="ListParagraph">
    <w:name w:val="List Paragraph"/>
    <w:basedOn w:val="Normal"/>
    <w:uiPriority w:val="34"/>
    <w:qFormat/>
    <w:rsid w:val="00AD18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924</Words>
  <Characters>5271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Gladys J. Burgos Torres</cp:lastModifiedBy>
  <cp:revision>4</cp:revision>
  <cp:lastPrinted>2000-03-03T16:35:00Z</cp:lastPrinted>
  <dcterms:created xsi:type="dcterms:W3CDTF">2025-08-22T17:21:00Z</dcterms:created>
  <dcterms:modified xsi:type="dcterms:W3CDTF">2025-08-25T13:41:00Z</dcterms:modified>
</cp:coreProperties>
</file>