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55B3A4D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F2361A">
        <w:rPr>
          <w:rFonts w:ascii="Book Antiqua" w:hAnsi="Book Antiqua" w:cs="Tahoma"/>
          <w:b/>
          <w:sz w:val="52"/>
          <w:szCs w:val="52"/>
          <w:lang w:val="es-ES_tradnl"/>
        </w:rPr>
        <w:t xml:space="preserve"> 414</w:t>
      </w: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B8D3C58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6E6FDD">
        <w:rPr>
          <w:rFonts w:ascii="Book Antiqua" w:hAnsi="Book Antiqua" w:cs="Tahoma"/>
          <w:lang w:val="es-ES_tradnl"/>
        </w:rPr>
        <w:t xml:space="preserve"> </w:t>
      </w:r>
      <w:r w:rsidR="007646A4">
        <w:rPr>
          <w:rFonts w:ascii="Book Antiqua" w:hAnsi="Book Antiqua" w:cs="Tahoma"/>
          <w:lang w:val="es-ES_tradnl"/>
        </w:rPr>
        <w:t>10</w:t>
      </w:r>
      <w:r w:rsidR="00F2361A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5D51AC">
        <w:rPr>
          <w:rFonts w:ascii="Book Antiqua" w:hAnsi="Book Antiqua" w:cs="Tahoma"/>
          <w:lang w:val="es-ES_tradnl"/>
        </w:rPr>
        <w:t>septiembre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2361A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2361A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2361A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2AAF005" w:rsidR="00682883" w:rsidRPr="00F2361A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F2361A">
        <w:rPr>
          <w:rFonts w:ascii="Book Antiqua" w:hAnsi="Book Antiqua" w:cs="Tahoma"/>
          <w:lang w:val="es-ES_tradnl"/>
        </w:rPr>
        <w:tab/>
      </w:r>
      <w:r w:rsidR="008A4022" w:rsidRPr="00F2361A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F2361A">
        <w:rPr>
          <w:rFonts w:ascii="Book Antiqua" w:hAnsi="Book Antiqua" w:cs="Tahoma"/>
          <w:lang w:val="es-ES_tradnl"/>
        </w:rPr>
        <w:t>sideración de la R. de la C.</w:t>
      </w:r>
      <w:r w:rsidR="00F2361A" w:rsidRPr="00F2361A">
        <w:rPr>
          <w:rFonts w:ascii="Book Antiqua" w:hAnsi="Book Antiqua" w:cs="Tahoma"/>
          <w:lang w:val="es-ES_tradnl"/>
        </w:rPr>
        <w:t xml:space="preserve"> 414</w:t>
      </w:r>
      <w:r w:rsidR="00FA5F29" w:rsidRPr="00F2361A">
        <w:rPr>
          <w:rFonts w:ascii="Book Antiqua" w:hAnsi="Book Antiqua" w:cs="Tahoma"/>
          <w:lang w:val="es-ES_tradnl"/>
        </w:rPr>
        <w:t xml:space="preserve">, </w:t>
      </w:r>
      <w:r w:rsidR="00682883" w:rsidRPr="00F2361A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2B6558">
        <w:rPr>
          <w:rFonts w:ascii="Book Antiqua" w:hAnsi="Book Antiqua" w:cs="Tahoma"/>
          <w:lang w:val="es-ES_tradnl"/>
        </w:rPr>
        <w:t>, sin enmiendas</w:t>
      </w:r>
      <w:r w:rsidR="00682883" w:rsidRPr="00F2361A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F2361A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173139C" w:rsidR="008D4A0A" w:rsidRPr="00F2361A" w:rsidRDefault="00BC1CB2" w:rsidP="00F2361A">
      <w:pPr>
        <w:ind w:left="567" w:hanging="567"/>
        <w:jc w:val="both"/>
        <w:rPr>
          <w:rFonts w:ascii="Book Antiqua" w:hAnsi="Book Antiqua"/>
          <w:lang w:val="es-ES_tradnl"/>
        </w:rPr>
      </w:pPr>
      <w:r w:rsidRPr="00F2361A">
        <w:rPr>
          <w:rFonts w:ascii="Book Antiqua" w:hAnsi="Book Antiqua" w:cs="Tahoma"/>
          <w:lang w:val="es-ES_tradnl"/>
        </w:rPr>
        <w:t xml:space="preserve"> </w:t>
      </w:r>
      <w:r w:rsidR="00E86FF9" w:rsidRPr="00F2361A">
        <w:rPr>
          <w:rFonts w:ascii="Book Antiqua" w:hAnsi="Book Antiqua" w:cs="Tahoma"/>
          <w:lang w:val="es-ES_tradnl"/>
        </w:rPr>
        <w:t>“</w:t>
      </w:r>
      <w:r w:rsidR="00E86FF9" w:rsidRPr="00F2361A">
        <w:rPr>
          <w:rFonts w:ascii="Book Antiqua" w:hAnsi="Book Antiqua"/>
          <w:lang w:val="es-ES_tradnl"/>
        </w:rPr>
        <w:t>Para</w:t>
      </w:r>
      <w:r w:rsidR="00E86FF9" w:rsidRPr="00F2361A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F2361A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F2361A">
        <w:rPr>
          <w:rFonts w:ascii="Book Antiqua" w:hAnsi="Book Antiqua"/>
          <w:lang w:val="es-ES_tradnl"/>
        </w:rPr>
        <w:t xml:space="preserve">a la Comisión </w:t>
      </w:r>
      <w:r w:rsidR="00C321E8" w:rsidRPr="00F2361A">
        <w:rPr>
          <w:rFonts w:ascii="Book Antiqua" w:hAnsi="Book Antiqua"/>
          <w:lang w:val="es-ES_tradnl"/>
        </w:rPr>
        <w:t>de</w:t>
      </w:r>
      <w:r w:rsidR="00DF3E6F" w:rsidRPr="00F2361A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F2361A" w:rsidRPr="00F2361A">
        <w:rPr>
          <w:rFonts w:ascii="Book Antiqua" w:hAnsi="Book Antiqua"/>
          <w:lang w:val="es-ES_tradnl"/>
        </w:rPr>
        <w:t>Asuntos del Consumidor de la Cámara de Representantes realizar una investigación exhaustiva sobre las revisiones a las configuraciones de inversores inteligentes (</w:t>
      </w:r>
      <w:r w:rsidR="00F2361A" w:rsidRPr="00F2361A">
        <w:rPr>
          <w:rFonts w:ascii="Book Antiqua" w:hAnsi="Book Antiqua"/>
          <w:i/>
          <w:iCs/>
          <w:lang w:val="es-ES_tradnl"/>
        </w:rPr>
        <w:t>Smart Inverter Settings</w:t>
      </w:r>
      <w:r w:rsidR="00F2361A" w:rsidRPr="00F2361A">
        <w:rPr>
          <w:rFonts w:ascii="Book Antiqua" w:hAnsi="Book Antiqua"/>
          <w:lang w:val="es-ES_tradnl"/>
        </w:rPr>
        <w:t>) solicitadas por LUMA Energy, LLC ante el Negociado de Energía de Puerto Rico, que incluyen limitaciones automáticas a la exportación de energía solar mediante los parámetros Volt/Watt, Volt/VAr y Frequency/Watt, y su impacto en el programa de medición neta, en los créditos de los abonados, en las consecuencias económicas y sociales para los consumidores y en el desarrollo de la energía renovable en Puerto Rico; y para otros fines relacionados.</w:t>
      </w:r>
      <w:r w:rsidR="00FA5F29" w:rsidRPr="00F2361A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F2361A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2361A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2361A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2361A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94D1CF2" w14:textId="5301DC35" w:rsidR="00F2361A" w:rsidRPr="00F2361A" w:rsidRDefault="00CC4336" w:rsidP="00F2361A">
      <w:pPr>
        <w:jc w:val="both"/>
        <w:rPr>
          <w:rFonts w:ascii="Book Antiqua" w:hAnsi="Book Antiqua"/>
          <w:lang w:val="es-ES_tradnl"/>
        </w:rPr>
      </w:pPr>
      <w:r w:rsidRPr="00F2361A">
        <w:rPr>
          <w:rFonts w:ascii="Book Antiqua" w:eastAsiaTheme="minorHAnsi" w:hAnsi="Book Antiqua"/>
          <w:lang w:val="es-ES_tradnl"/>
        </w:rPr>
        <w:t xml:space="preserve">     </w:t>
      </w:r>
      <w:r w:rsidR="00DE02EB" w:rsidRPr="00F2361A">
        <w:rPr>
          <w:rFonts w:ascii="Book Antiqua" w:hAnsi="Book Antiqua"/>
          <w:lang w:val="es-ES_tradnl"/>
        </w:rPr>
        <w:t>La</w:t>
      </w:r>
      <w:r w:rsidR="00194744" w:rsidRPr="00F2361A">
        <w:rPr>
          <w:rFonts w:ascii="Book Antiqua" w:hAnsi="Book Antiqua"/>
          <w:lang w:val="es-ES_tradnl"/>
        </w:rPr>
        <w:t xml:space="preserve"> Resolución de la Cámara Núm.</w:t>
      </w:r>
      <w:r w:rsidR="000F1167" w:rsidRPr="00F2361A">
        <w:rPr>
          <w:rFonts w:ascii="Book Antiqua" w:hAnsi="Book Antiqua"/>
          <w:lang w:val="es-ES_tradnl"/>
        </w:rPr>
        <w:t xml:space="preserve"> </w:t>
      </w:r>
      <w:r w:rsidR="00F2361A" w:rsidRPr="00F2361A">
        <w:rPr>
          <w:rFonts w:ascii="Book Antiqua" w:hAnsi="Book Antiqua"/>
          <w:lang w:val="es-ES_tradnl"/>
        </w:rPr>
        <w:t xml:space="preserve">414 </w:t>
      </w:r>
      <w:r w:rsidR="00DF3E6F" w:rsidRPr="00F2361A">
        <w:rPr>
          <w:rFonts w:ascii="Book Antiqua" w:hAnsi="Book Antiqua"/>
          <w:lang w:val="es-ES_tradnl"/>
        </w:rPr>
        <w:t xml:space="preserve">tiene el propósito de </w:t>
      </w:r>
      <w:r w:rsidR="00F2361A" w:rsidRPr="00F2361A">
        <w:rPr>
          <w:rFonts w:ascii="Book Antiqua" w:hAnsi="Book Antiqua"/>
          <w:lang w:val="es-ES_tradnl"/>
        </w:rPr>
        <w:t>ordenar una investigación legislativa exhaustiva sobre la moción radicada por LUMA Energy, LLC ante el Negociado de Energía de Puerto Rico (caso NEPR-MI-2019-0009), mediante la cual solicita la aprobación de revisiones a las configuraciones de inversores inteligentes.</w:t>
      </w:r>
    </w:p>
    <w:p w14:paraId="38935A87" w14:textId="77777777" w:rsidR="00F2361A" w:rsidRPr="00F2361A" w:rsidRDefault="00F2361A" w:rsidP="00F2361A">
      <w:pPr>
        <w:jc w:val="both"/>
        <w:rPr>
          <w:rFonts w:ascii="Book Antiqua" w:hAnsi="Book Antiqua"/>
          <w:lang w:val="es-ES_tradnl"/>
        </w:rPr>
      </w:pPr>
    </w:p>
    <w:p w14:paraId="1E5C5BE3" w14:textId="1E307691" w:rsidR="00F2361A" w:rsidRPr="00F2361A" w:rsidRDefault="00F2361A" w:rsidP="00F2361A">
      <w:pPr>
        <w:jc w:val="both"/>
        <w:rPr>
          <w:rFonts w:ascii="Book Antiqua" w:hAnsi="Book Antiqua"/>
          <w:lang w:val="es-ES_tradnl"/>
        </w:rPr>
      </w:pPr>
      <w:r w:rsidRPr="00F2361A">
        <w:rPr>
          <w:rFonts w:ascii="Book Antiqua" w:hAnsi="Book Antiqua"/>
          <w:lang w:val="es-ES_tradnl"/>
        </w:rPr>
        <w:t xml:space="preserve">     Las revisiones propuestas (incluyendo los parámetros Volt/Watt, Volt/VAr y Frequency/Watt) tienen el efecto de limitar la exportación automática de energía solar a la red eléctrica en situaciones de fluctuaciones de voltaje o frecuencia.</w:t>
      </w:r>
    </w:p>
    <w:p w14:paraId="583DE390" w14:textId="444157EB" w:rsidR="00F2361A" w:rsidRPr="00F2361A" w:rsidRDefault="00F2361A" w:rsidP="00F2361A">
      <w:pPr>
        <w:jc w:val="both"/>
        <w:rPr>
          <w:rFonts w:ascii="Book Antiqua" w:hAnsi="Book Antiqua"/>
          <w:lang w:val="es-ES_tradnl"/>
        </w:rPr>
      </w:pPr>
      <w:r w:rsidRPr="00F2361A">
        <w:rPr>
          <w:rFonts w:ascii="Book Antiqua" w:hAnsi="Book Antiqua"/>
          <w:lang w:val="es-ES_tradnl"/>
        </w:rPr>
        <w:lastRenderedPageBreak/>
        <w:t xml:space="preserve">     La medida reconoce que tales cambios impactan directamente el programa de medición neta, al reducir los créditos que reciben los abonados, encarecer su costo neto de electricidad, y desincentivar nuevas instalaciones solares. Además, se señala que dichas revisiones podrían responder más a deficiencias en la infraestructura y gestión de la red eléctrica por parte de LUMA que a verdaderas necesidades técnicas.</w:t>
      </w:r>
    </w:p>
    <w:p w14:paraId="5B0C8BA0" w14:textId="77777777" w:rsidR="00F2361A" w:rsidRPr="00F2361A" w:rsidRDefault="00F2361A" w:rsidP="00F2361A">
      <w:pPr>
        <w:jc w:val="both"/>
        <w:rPr>
          <w:rFonts w:ascii="Book Antiqua" w:hAnsi="Book Antiqua"/>
          <w:lang w:val="es-ES_tradnl"/>
        </w:rPr>
      </w:pPr>
    </w:p>
    <w:p w14:paraId="79F057BF" w14:textId="142293CC" w:rsidR="00F2361A" w:rsidRPr="00F2361A" w:rsidRDefault="00F2361A" w:rsidP="00F2361A">
      <w:pPr>
        <w:jc w:val="both"/>
        <w:rPr>
          <w:rFonts w:ascii="Book Antiqua" w:hAnsi="Book Antiqua"/>
          <w:lang w:val="es-ES_tradnl"/>
        </w:rPr>
      </w:pPr>
      <w:r w:rsidRPr="00F2361A">
        <w:rPr>
          <w:rFonts w:ascii="Book Antiqua" w:hAnsi="Book Antiqua"/>
          <w:lang w:val="es-ES_tradnl"/>
        </w:rPr>
        <w:t xml:space="preserve">     En su Exposición de Motivos, la Resolución resalta que limitar la exportación de energía solar desperdicia energía limpia disponible, contradice la política pública energética establecida en la Ley 17-2019, y amenaza la sostenibilidad del desarrollo de la energía renovable en Puerto Rico.</w:t>
      </w:r>
    </w:p>
    <w:p w14:paraId="7645A4CC" w14:textId="77777777" w:rsidR="006150BB" w:rsidRPr="00F2361A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2361A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730C0A5" w:rsidR="001A02E8" w:rsidRPr="00F2361A" w:rsidRDefault="00F2361A" w:rsidP="00F2361A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2361A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F2361A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F2361A">
        <w:rPr>
          <w:rFonts w:ascii="Book Antiqua" w:hAnsi="Book Antiqua"/>
          <w:sz w:val="24"/>
          <w:szCs w:val="24"/>
          <w:lang w:val="es-ES_tradnl"/>
        </w:rPr>
        <w:t>a Resolución de la Cámara 414</w:t>
      </w:r>
      <w:r w:rsidR="001A02E8" w:rsidRPr="00F2361A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EE6739">
        <w:rPr>
          <w:rFonts w:ascii="Book Antiqua" w:hAnsi="Book Antiqua"/>
          <w:sz w:val="24"/>
          <w:szCs w:val="24"/>
          <w:lang w:val="es-ES_tradnl"/>
        </w:rPr>
        <w:t>sin enmiendas</w:t>
      </w:r>
      <w:r w:rsidR="001A02E8" w:rsidRPr="00F2361A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B6558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B6558">
        <w:rPr>
          <w:rFonts w:ascii="Book Antiqua" w:hAnsi="Book Antiqua"/>
          <w:lang w:val="es-PR"/>
        </w:rPr>
        <w:t xml:space="preserve">    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F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939205">
    <w:abstractNumId w:val="6"/>
  </w:num>
  <w:num w:numId="2" w16cid:durableId="568463984">
    <w:abstractNumId w:val="12"/>
  </w:num>
  <w:num w:numId="3" w16cid:durableId="1892380769">
    <w:abstractNumId w:val="3"/>
  </w:num>
  <w:num w:numId="4" w16cid:durableId="1675842489">
    <w:abstractNumId w:val="1"/>
  </w:num>
  <w:num w:numId="5" w16cid:durableId="1646855299">
    <w:abstractNumId w:val="7"/>
  </w:num>
  <w:num w:numId="6" w16cid:durableId="622537334">
    <w:abstractNumId w:val="4"/>
  </w:num>
  <w:num w:numId="7" w16cid:durableId="820579922">
    <w:abstractNumId w:val="5"/>
  </w:num>
  <w:num w:numId="8" w16cid:durableId="1184586436">
    <w:abstractNumId w:val="8"/>
  </w:num>
  <w:num w:numId="9" w16cid:durableId="886067700">
    <w:abstractNumId w:val="9"/>
  </w:num>
  <w:num w:numId="10" w16cid:durableId="42487333">
    <w:abstractNumId w:val="0"/>
  </w:num>
  <w:num w:numId="11" w16cid:durableId="1334725278">
    <w:abstractNumId w:val="2"/>
  </w:num>
  <w:num w:numId="12" w16cid:durableId="594090248">
    <w:abstractNumId w:val="11"/>
  </w:num>
  <w:num w:numId="13" w16cid:durableId="16239272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B6558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22BA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E6FDD"/>
    <w:rsid w:val="007106D1"/>
    <w:rsid w:val="00712D94"/>
    <w:rsid w:val="007156BD"/>
    <w:rsid w:val="007646A4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26BD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F635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E6739"/>
    <w:rsid w:val="00EF143E"/>
    <w:rsid w:val="00EF4A8F"/>
    <w:rsid w:val="00F059A3"/>
    <w:rsid w:val="00F06902"/>
    <w:rsid w:val="00F21532"/>
    <w:rsid w:val="00F226DF"/>
    <w:rsid w:val="00F2361A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9B91C02-93DA-4947-9F2B-8B1A3786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Carlos Y. Rosado Cruz</cp:lastModifiedBy>
  <cp:revision>7</cp:revision>
  <cp:lastPrinted>2025-02-17T12:55:00Z</cp:lastPrinted>
  <dcterms:created xsi:type="dcterms:W3CDTF">2025-09-09T02:27:00Z</dcterms:created>
  <dcterms:modified xsi:type="dcterms:W3CDTF">2025-09-10T16:54:00Z</dcterms:modified>
</cp:coreProperties>
</file>