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363664" w:rsidRDefault="00D7108F" w:rsidP="00B25CCC">
      <w:pPr>
        <w:jc w:val="center"/>
        <w:rPr>
          <w:rFonts w:ascii="Book Antiqua" w:hAnsi="Book Antiqua"/>
          <w:sz w:val="28"/>
          <w:szCs w:val="28"/>
          <w:lang w:val="es-ES_tradnl"/>
        </w:rPr>
      </w:pPr>
      <w:r w:rsidRPr="00363664">
        <w:rPr>
          <w:rFonts w:ascii="Book Antiqua" w:hAnsi="Book Antiqua"/>
          <w:sz w:val="28"/>
          <w:szCs w:val="28"/>
          <w:lang w:val="es-ES_tradnl"/>
        </w:rPr>
        <w:t>GOBIERNO</w:t>
      </w:r>
      <w:r w:rsidR="00B25CCC" w:rsidRPr="00363664">
        <w:rPr>
          <w:rFonts w:ascii="Book Antiqua" w:hAnsi="Book Antiqua"/>
          <w:sz w:val="28"/>
          <w:szCs w:val="28"/>
          <w:lang w:val="es-ES_tradnl"/>
        </w:rPr>
        <w:t xml:space="preserve"> DE PUERTO RICO</w:t>
      </w:r>
    </w:p>
    <w:p w14:paraId="487CA57B" w14:textId="77777777" w:rsidR="00B25CCC" w:rsidRPr="00363664" w:rsidRDefault="00B25CCC" w:rsidP="00B25CCC">
      <w:pPr>
        <w:jc w:val="center"/>
        <w:rPr>
          <w:rFonts w:ascii="Book Antiqua" w:hAnsi="Book Antiqua"/>
          <w:lang w:val="es-ES_tradnl"/>
        </w:rPr>
      </w:pPr>
    </w:p>
    <w:p w14:paraId="70E53240" w14:textId="578A9189" w:rsidR="00B25CCC" w:rsidRPr="00363664" w:rsidRDefault="00D7108F" w:rsidP="00B25CCC">
      <w:pPr>
        <w:pStyle w:val="Title2"/>
        <w:tabs>
          <w:tab w:val="clear" w:pos="7776"/>
        </w:tabs>
        <w:rPr>
          <w:rFonts w:ascii="Book Antiqua" w:hAnsi="Book Antiqua"/>
          <w:lang w:val="es-ES_tradnl"/>
        </w:rPr>
      </w:pPr>
      <w:r w:rsidRPr="00363664">
        <w:rPr>
          <w:rFonts w:ascii="Book Antiqua" w:hAnsi="Book Antiqua"/>
          <w:lang w:val="es-ES_tradnl"/>
        </w:rPr>
        <w:t>20m</w:t>
      </w:r>
      <w:r w:rsidR="00B25CCC" w:rsidRPr="00363664">
        <w:rPr>
          <w:rFonts w:ascii="Book Antiqua" w:hAnsi="Book Antiqua"/>
          <w:lang w:val="es-ES_tradnl"/>
        </w:rPr>
        <w:t>a. Asamblea</w:t>
      </w:r>
      <w:r w:rsidR="00B25CCC" w:rsidRPr="00363664">
        <w:rPr>
          <w:rFonts w:ascii="Book Antiqua" w:hAnsi="Book Antiqua"/>
          <w:lang w:val="es-ES_tradnl"/>
        </w:rPr>
        <w:tab/>
      </w:r>
      <w:r w:rsidR="00483DC2" w:rsidRPr="00363664">
        <w:rPr>
          <w:rFonts w:ascii="Book Antiqua" w:hAnsi="Book Antiqua"/>
          <w:lang w:val="es-ES_tradnl"/>
        </w:rPr>
        <w:t>2da</w:t>
      </w:r>
      <w:r w:rsidR="00B25CCC" w:rsidRPr="00363664">
        <w:rPr>
          <w:rFonts w:ascii="Book Antiqua" w:hAnsi="Book Antiqua"/>
          <w:lang w:val="es-ES_tradnl"/>
        </w:rPr>
        <w:t>. Sesión</w:t>
      </w:r>
    </w:p>
    <w:p w14:paraId="23C5C7E6" w14:textId="77777777" w:rsidR="00B25CCC" w:rsidRPr="00363664" w:rsidRDefault="00B25CCC" w:rsidP="00B25CCC">
      <w:pPr>
        <w:pStyle w:val="Title2"/>
        <w:tabs>
          <w:tab w:val="clear" w:pos="7776"/>
        </w:tabs>
        <w:rPr>
          <w:rFonts w:ascii="Book Antiqua" w:hAnsi="Book Antiqua"/>
          <w:lang w:val="es-ES_tradnl"/>
        </w:rPr>
      </w:pPr>
      <w:r w:rsidRPr="00363664">
        <w:rPr>
          <w:rFonts w:ascii="Book Antiqua" w:hAnsi="Book Antiqua"/>
          <w:lang w:val="es-ES_tradnl"/>
        </w:rPr>
        <w:tab/>
        <w:t>Legislativa</w:t>
      </w:r>
      <w:r w:rsidRPr="00363664">
        <w:rPr>
          <w:rFonts w:ascii="Book Antiqua" w:hAnsi="Book Antiqua"/>
          <w:lang w:val="es-ES_tradnl"/>
        </w:rPr>
        <w:tab/>
      </w:r>
      <w:r w:rsidRPr="00363664">
        <w:rPr>
          <w:rFonts w:ascii="Book Antiqua" w:hAnsi="Book Antiqua"/>
          <w:lang w:val="es-ES_tradnl"/>
        </w:rPr>
        <w:tab/>
        <w:t xml:space="preserve">      Ordinaria</w:t>
      </w:r>
    </w:p>
    <w:p w14:paraId="759285C3" w14:textId="77777777" w:rsidR="00B25CCC" w:rsidRPr="00363664" w:rsidRDefault="00B25CCC" w:rsidP="00B25CCC">
      <w:pPr>
        <w:rPr>
          <w:rFonts w:ascii="Book Antiqua" w:hAnsi="Book Antiqua"/>
          <w:lang w:val="es-ES_tradnl"/>
        </w:rPr>
      </w:pPr>
    </w:p>
    <w:p w14:paraId="1122876C" w14:textId="77777777" w:rsidR="00B25CCC" w:rsidRPr="00363664" w:rsidRDefault="00B25CCC" w:rsidP="00B25CCC">
      <w:pPr>
        <w:jc w:val="center"/>
        <w:rPr>
          <w:rFonts w:ascii="Book Antiqua" w:hAnsi="Book Antiqua"/>
          <w:b/>
          <w:sz w:val="36"/>
          <w:szCs w:val="32"/>
          <w:lang w:val="es-ES_tradnl"/>
        </w:rPr>
      </w:pPr>
      <w:r w:rsidRPr="00363664">
        <w:rPr>
          <w:rFonts w:ascii="Book Antiqua" w:hAnsi="Book Antiqua"/>
          <w:b/>
          <w:sz w:val="36"/>
          <w:szCs w:val="32"/>
          <w:lang w:val="es-ES_tradnl"/>
        </w:rPr>
        <w:t>CÁMARA DE REPRESENTANTES</w:t>
      </w:r>
    </w:p>
    <w:p w14:paraId="74B1FE31" w14:textId="77777777" w:rsidR="00B25CCC" w:rsidRPr="00363664" w:rsidRDefault="00B25CCC" w:rsidP="00B25CCC">
      <w:pPr>
        <w:jc w:val="center"/>
        <w:rPr>
          <w:rFonts w:ascii="Book Antiqua" w:hAnsi="Book Antiqua"/>
          <w:b/>
          <w:szCs w:val="32"/>
          <w:lang w:val="es-ES_tradnl"/>
        </w:rPr>
      </w:pPr>
    </w:p>
    <w:p w14:paraId="6B719456" w14:textId="376D3658" w:rsidR="00B25CCC" w:rsidRPr="00363664" w:rsidRDefault="00B25CCC" w:rsidP="00B25CCC">
      <w:pPr>
        <w:jc w:val="center"/>
        <w:rPr>
          <w:rFonts w:ascii="Book Antiqua" w:hAnsi="Book Antiqua"/>
          <w:b/>
          <w:sz w:val="52"/>
          <w:szCs w:val="52"/>
          <w:lang w:val="es-ES_tradnl"/>
        </w:rPr>
      </w:pPr>
      <w:r w:rsidRPr="00363664">
        <w:rPr>
          <w:rFonts w:ascii="Book Antiqua" w:hAnsi="Book Antiqua"/>
          <w:b/>
          <w:sz w:val="52"/>
          <w:szCs w:val="52"/>
          <w:lang w:val="es-ES_tradnl"/>
        </w:rPr>
        <w:t xml:space="preserve">R. de la C. </w:t>
      </w:r>
      <w:r w:rsidR="00D52F9A">
        <w:rPr>
          <w:rFonts w:ascii="Book Antiqua" w:hAnsi="Book Antiqua"/>
          <w:b/>
          <w:sz w:val="52"/>
          <w:szCs w:val="52"/>
          <w:lang w:val="es-ES_tradnl"/>
        </w:rPr>
        <w:t>414</w:t>
      </w:r>
    </w:p>
    <w:p w14:paraId="7F548EDD" w14:textId="77777777" w:rsidR="00B25CCC" w:rsidRPr="00363664" w:rsidRDefault="00B25CCC" w:rsidP="00B25CCC">
      <w:pPr>
        <w:jc w:val="center"/>
        <w:rPr>
          <w:rFonts w:ascii="Book Antiqua" w:hAnsi="Book Antiqua"/>
          <w:b/>
          <w:lang w:val="es-ES_tradnl"/>
        </w:rPr>
      </w:pPr>
    </w:p>
    <w:p w14:paraId="69F9BC94" w14:textId="0A776E07" w:rsidR="00B25CCC" w:rsidRPr="00363664" w:rsidRDefault="00A16613" w:rsidP="00B25CCC">
      <w:pPr>
        <w:jc w:val="center"/>
        <w:rPr>
          <w:rFonts w:ascii="Book Antiqua" w:hAnsi="Book Antiqua"/>
          <w:lang w:val="es-ES_tradnl"/>
        </w:rPr>
      </w:pPr>
      <w:r>
        <w:rPr>
          <w:rFonts w:ascii="Book Antiqua" w:hAnsi="Book Antiqua"/>
          <w:lang w:val="es-ES_tradnl"/>
        </w:rPr>
        <w:t xml:space="preserve">26 </w:t>
      </w:r>
      <w:r w:rsidR="0094176B" w:rsidRPr="00363664">
        <w:rPr>
          <w:rFonts w:ascii="Book Antiqua" w:hAnsi="Book Antiqua"/>
          <w:lang w:val="es-ES_tradnl"/>
        </w:rPr>
        <w:t>DE AGOSTO</w:t>
      </w:r>
      <w:r w:rsidR="00B25CCC" w:rsidRPr="00363664">
        <w:rPr>
          <w:rFonts w:ascii="Book Antiqua" w:hAnsi="Book Antiqua"/>
          <w:lang w:val="es-ES_tradnl"/>
        </w:rPr>
        <w:t xml:space="preserve"> DE 202</w:t>
      </w:r>
      <w:r w:rsidR="00D7108F" w:rsidRPr="00363664">
        <w:rPr>
          <w:rFonts w:ascii="Book Antiqua" w:hAnsi="Book Antiqua"/>
          <w:lang w:val="es-ES_tradnl"/>
        </w:rPr>
        <w:t>5</w:t>
      </w:r>
    </w:p>
    <w:p w14:paraId="2CC46331" w14:textId="77777777" w:rsidR="00B25CCC" w:rsidRPr="00363664" w:rsidRDefault="00B25CCC" w:rsidP="00B25CCC">
      <w:pPr>
        <w:jc w:val="center"/>
        <w:rPr>
          <w:rFonts w:ascii="Book Antiqua" w:hAnsi="Book Antiqua"/>
          <w:szCs w:val="24"/>
          <w:lang w:val="es-ES_tradnl"/>
        </w:rPr>
      </w:pPr>
    </w:p>
    <w:p w14:paraId="051E1816" w14:textId="1062CB76" w:rsidR="00B25CCC" w:rsidRPr="00363664" w:rsidRDefault="00363664" w:rsidP="00B25CCC">
      <w:pPr>
        <w:jc w:val="center"/>
        <w:rPr>
          <w:rFonts w:ascii="Book Antiqua" w:hAnsi="Book Antiqua"/>
          <w:i/>
          <w:lang w:val="es-ES_tradnl"/>
        </w:rPr>
      </w:pPr>
      <w:r>
        <w:rPr>
          <w:rFonts w:ascii="Book Antiqua" w:hAnsi="Book Antiqua"/>
          <w:lang w:val="es-ES_tradnl"/>
        </w:rPr>
        <w:t>Presentada por el</w:t>
      </w:r>
      <w:r w:rsidR="00B25CCC" w:rsidRPr="00363664">
        <w:rPr>
          <w:rFonts w:ascii="Book Antiqua" w:hAnsi="Book Antiqua"/>
          <w:lang w:val="es-ES_tradnl"/>
        </w:rPr>
        <w:t xml:space="preserve"> representante</w:t>
      </w:r>
      <w:r w:rsidR="0026407E" w:rsidRPr="00363664">
        <w:rPr>
          <w:rFonts w:ascii="Book Antiqua" w:hAnsi="Book Antiqua"/>
          <w:lang w:val="es-ES_tradnl"/>
        </w:rPr>
        <w:t xml:space="preserve"> </w:t>
      </w:r>
      <w:r w:rsidR="0026407E" w:rsidRPr="00363664">
        <w:rPr>
          <w:rFonts w:ascii="Book Antiqua" w:hAnsi="Book Antiqua"/>
          <w:i/>
          <w:lang w:val="es-ES_tradnl"/>
        </w:rPr>
        <w:t>Santiago Guzmán</w:t>
      </w:r>
      <w:r w:rsidR="00B25CCC" w:rsidRPr="00363664">
        <w:rPr>
          <w:rFonts w:ascii="Book Antiqua" w:hAnsi="Book Antiqua"/>
          <w:i/>
          <w:lang w:val="es-ES_tradnl"/>
        </w:rPr>
        <w:t xml:space="preserve"> </w:t>
      </w:r>
    </w:p>
    <w:p w14:paraId="6E8EA9D4" w14:textId="77777777" w:rsidR="00B25CCC" w:rsidRPr="00363664" w:rsidRDefault="00B25CCC" w:rsidP="00B25CCC">
      <w:pPr>
        <w:jc w:val="center"/>
        <w:rPr>
          <w:rFonts w:ascii="Book Antiqua" w:hAnsi="Book Antiqua"/>
          <w:i/>
          <w:lang w:val="es-ES_tradnl"/>
        </w:rPr>
      </w:pPr>
    </w:p>
    <w:p w14:paraId="72161FCD" w14:textId="6795BFF9" w:rsidR="00B25CCC" w:rsidRPr="00363664" w:rsidRDefault="0026407E" w:rsidP="00B25CCC">
      <w:pPr>
        <w:jc w:val="center"/>
        <w:rPr>
          <w:rFonts w:ascii="Book Antiqua" w:hAnsi="Book Antiqua"/>
          <w:lang w:val="es-ES_tradnl"/>
        </w:rPr>
      </w:pPr>
      <w:r w:rsidRPr="00363664">
        <w:rPr>
          <w:rFonts w:ascii="Book Antiqua" w:hAnsi="Book Antiqua"/>
          <w:lang w:val="es-ES_tradnl"/>
        </w:rPr>
        <w:t>Referido</w:t>
      </w:r>
      <w:r w:rsidR="00B25CCC" w:rsidRPr="00363664">
        <w:rPr>
          <w:rFonts w:ascii="Book Antiqua" w:hAnsi="Book Antiqua"/>
          <w:lang w:val="es-ES_tradnl"/>
        </w:rPr>
        <w:t xml:space="preserve"> a </w:t>
      </w:r>
      <w:r w:rsidR="00D97F9A">
        <w:rPr>
          <w:rFonts w:ascii="Book Antiqua" w:hAnsi="Book Antiqua"/>
          <w:lang w:val="es-ES_tradnl"/>
        </w:rPr>
        <w:t>la Comisión de Asuntos Internos</w:t>
      </w:r>
    </w:p>
    <w:p w14:paraId="55CEE9FE" w14:textId="77777777" w:rsidR="00B25CCC" w:rsidRPr="00363664" w:rsidRDefault="00B25CCC" w:rsidP="00B25CCC">
      <w:pPr>
        <w:jc w:val="center"/>
        <w:rPr>
          <w:rFonts w:ascii="Book Antiqua" w:hAnsi="Book Antiqua"/>
          <w:lang w:val="es-ES_tradnl"/>
        </w:rPr>
      </w:pPr>
    </w:p>
    <w:p w14:paraId="7DF38C1D" w14:textId="77777777" w:rsidR="00B25CCC" w:rsidRPr="00363664" w:rsidRDefault="00B25CCC" w:rsidP="00B25CCC">
      <w:pPr>
        <w:jc w:val="center"/>
        <w:rPr>
          <w:rFonts w:ascii="Book Antiqua" w:hAnsi="Book Antiqua"/>
          <w:b/>
          <w:sz w:val="28"/>
          <w:szCs w:val="28"/>
          <w:lang w:val="es-ES_tradnl"/>
        </w:rPr>
      </w:pPr>
      <w:r w:rsidRPr="00363664">
        <w:rPr>
          <w:rFonts w:ascii="Book Antiqua" w:hAnsi="Book Antiqua"/>
          <w:b/>
          <w:sz w:val="28"/>
          <w:szCs w:val="28"/>
          <w:lang w:val="es-ES_tradnl"/>
        </w:rPr>
        <w:t>RESOLUCIÓN</w:t>
      </w:r>
    </w:p>
    <w:p w14:paraId="03532262" w14:textId="77777777" w:rsidR="00B25CCC" w:rsidRPr="00363664" w:rsidRDefault="00B25CCC" w:rsidP="00B25CCC">
      <w:pPr>
        <w:jc w:val="both"/>
        <w:rPr>
          <w:rFonts w:ascii="Book Antiqua" w:hAnsi="Book Antiqua"/>
          <w:lang w:val="es-ES_tradnl"/>
        </w:rPr>
      </w:pPr>
    </w:p>
    <w:p w14:paraId="4173DE03" w14:textId="781592AD" w:rsidR="0094176B" w:rsidRPr="00363664" w:rsidRDefault="00B25CCC" w:rsidP="0094176B">
      <w:pPr>
        <w:ind w:left="720" w:hanging="630"/>
        <w:jc w:val="both"/>
        <w:rPr>
          <w:rFonts w:ascii="Book Antiqua" w:hAnsi="Book Antiqua"/>
          <w:szCs w:val="24"/>
          <w:lang w:val="es-ES_tradnl"/>
        </w:rPr>
      </w:pPr>
      <w:bookmarkStart w:id="0" w:name="_Hlk493581372"/>
      <w:r w:rsidRPr="00363664">
        <w:rPr>
          <w:rFonts w:ascii="Book Antiqua" w:hAnsi="Book Antiqua"/>
          <w:szCs w:val="24"/>
          <w:lang w:val="es-ES_tradnl"/>
        </w:rPr>
        <w:t xml:space="preserve">Para ordenar a la </w:t>
      </w:r>
      <w:r w:rsidR="00DE7452" w:rsidRPr="00363664">
        <w:rPr>
          <w:rFonts w:ascii="Book Antiqua" w:hAnsi="Book Antiqua"/>
          <w:szCs w:val="24"/>
          <w:lang w:val="es-ES_tradnl"/>
        </w:rPr>
        <w:t xml:space="preserve">Comisión de Asuntos del Consumidor de la Cámara de Representantes realizar una investigación exhaustiva sobre las </w:t>
      </w:r>
      <w:r w:rsidR="0094176B" w:rsidRPr="00363664">
        <w:rPr>
          <w:rFonts w:ascii="Book Antiqua" w:hAnsi="Book Antiqua"/>
          <w:szCs w:val="24"/>
          <w:lang w:val="es-ES_tradnl"/>
        </w:rPr>
        <w:t>revisiones a las configuraciones de inversores inteligentes (</w:t>
      </w:r>
      <w:r w:rsidR="0094176B" w:rsidRPr="00363664">
        <w:rPr>
          <w:rFonts w:ascii="Book Antiqua" w:hAnsi="Book Antiqua"/>
          <w:i/>
          <w:iCs/>
          <w:szCs w:val="24"/>
          <w:lang w:val="es-ES_tradnl"/>
        </w:rPr>
        <w:t xml:space="preserve">Smart </w:t>
      </w:r>
      <w:proofErr w:type="spellStart"/>
      <w:r w:rsidR="0094176B" w:rsidRPr="00363664">
        <w:rPr>
          <w:rFonts w:ascii="Book Antiqua" w:hAnsi="Book Antiqua"/>
          <w:i/>
          <w:iCs/>
          <w:szCs w:val="24"/>
          <w:lang w:val="es-ES_tradnl"/>
        </w:rPr>
        <w:t>Inverter</w:t>
      </w:r>
      <w:proofErr w:type="spellEnd"/>
      <w:r w:rsidR="0094176B" w:rsidRPr="00363664">
        <w:rPr>
          <w:rFonts w:ascii="Book Antiqua" w:hAnsi="Book Antiqua"/>
          <w:i/>
          <w:iCs/>
          <w:szCs w:val="24"/>
          <w:lang w:val="es-ES_tradnl"/>
        </w:rPr>
        <w:t xml:space="preserve"> </w:t>
      </w:r>
      <w:proofErr w:type="spellStart"/>
      <w:r w:rsidR="0094176B" w:rsidRPr="00363664">
        <w:rPr>
          <w:rFonts w:ascii="Book Antiqua" w:hAnsi="Book Antiqua"/>
          <w:i/>
          <w:iCs/>
          <w:szCs w:val="24"/>
          <w:lang w:val="es-ES_tradnl"/>
        </w:rPr>
        <w:t>Settings</w:t>
      </w:r>
      <w:proofErr w:type="spellEnd"/>
      <w:r w:rsidR="0094176B" w:rsidRPr="00363664">
        <w:rPr>
          <w:rFonts w:ascii="Book Antiqua" w:hAnsi="Book Antiqua"/>
          <w:szCs w:val="24"/>
          <w:lang w:val="es-ES_tradnl"/>
        </w:rPr>
        <w:t>) solicitadas por LUMA Energy, LLC ante el Negociado de Energía de Puerto Rico, que incluyen limitaciones automáticas a la exportación de energía solar mediante los parámetros Volt/Watt, Volt/</w:t>
      </w:r>
      <w:proofErr w:type="spellStart"/>
      <w:r w:rsidR="0094176B" w:rsidRPr="00363664">
        <w:rPr>
          <w:rFonts w:ascii="Book Antiqua" w:hAnsi="Book Antiqua"/>
          <w:szCs w:val="24"/>
          <w:lang w:val="es-ES_tradnl"/>
        </w:rPr>
        <w:t>VAr</w:t>
      </w:r>
      <w:proofErr w:type="spellEnd"/>
      <w:r w:rsidR="0094176B" w:rsidRPr="00363664">
        <w:rPr>
          <w:rFonts w:ascii="Book Antiqua" w:hAnsi="Book Antiqua"/>
          <w:szCs w:val="24"/>
          <w:lang w:val="es-ES_tradnl"/>
        </w:rPr>
        <w:t xml:space="preserve"> y </w:t>
      </w:r>
      <w:proofErr w:type="spellStart"/>
      <w:r w:rsidR="0094176B" w:rsidRPr="00363664">
        <w:rPr>
          <w:rFonts w:ascii="Book Antiqua" w:hAnsi="Book Antiqua"/>
          <w:szCs w:val="24"/>
          <w:lang w:val="es-ES_tradnl"/>
        </w:rPr>
        <w:t>Frequency</w:t>
      </w:r>
      <w:proofErr w:type="spellEnd"/>
      <w:r w:rsidR="0094176B" w:rsidRPr="00363664">
        <w:rPr>
          <w:rFonts w:ascii="Book Antiqua" w:hAnsi="Book Antiqua"/>
          <w:szCs w:val="24"/>
          <w:lang w:val="es-ES_tradnl"/>
        </w:rPr>
        <w:t>/Watt, y su impacto en el programa de medición neta, en los créditos de los abonados, en las consecuencias económicas y sociales para los consumidores y en el desarrollo de la energía renovable en Puerto Rico; y para otros fines relacionados.</w:t>
      </w:r>
    </w:p>
    <w:p w14:paraId="5C7EFE5E" w14:textId="77777777" w:rsidR="00DE7452" w:rsidRPr="00363664" w:rsidRDefault="00DE7452" w:rsidP="0094176B">
      <w:pPr>
        <w:jc w:val="both"/>
        <w:rPr>
          <w:rFonts w:ascii="Book Antiqua" w:hAnsi="Book Antiqua"/>
          <w:szCs w:val="24"/>
          <w:lang w:val="es-ES_tradnl"/>
        </w:rPr>
      </w:pPr>
    </w:p>
    <w:bookmarkEnd w:id="0"/>
    <w:p w14:paraId="31B7634C" w14:textId="4B600C57" w:rsidR="00B25CCC" w:rsidRPr="00363664" w:rsidRDefault="00B25CCC" w:rsidP="004E3857">
      <w:pPr>
        <w:jc w:val="center"/>
        <w:rPr>
          <w:rFonts w:ascii="Book Antiqua" w:hAnsi="Book Antiqua"/>
          <w:caps/>
          <w:szCs w:val="24"/>
          <w:lang w:val="es-ES_tradnl"/>
        </w:rPr>
      </w:pPr>
      <w:r w:rsidRPr="00363664">
        <w:rPr>
          <w:rFonts w:ascii="Book Antiqua" w:hAnsi="Book Antiqua"/>
          <w:caps/>
          <w:szCs w:val="24"/>
          <w:lang w:val="es-ES_tradnl"/>
        </w:rPr>
        <w:t>EXPOSICIóN DE MOTIVOS</w:t>
      </w:r>
    </w:p>
    <w:p w14:paraId="141DA36E" w14:textId="48EF3BAD" w:rsidR="00B2053E" w:rsidRPr="00363664" w:rsidRDefault="00B2053E" w:rsidP="00A16613">
      <w:pPr>
        <w:pStyle w:val="NormalWeb"/>
        <w:ind w:firstLine="720"/>
        <w:jc w:val="both"/>
        <w:rPr>
          <w:rFonts w:ascii="Book Antiqua" w:hAnsi="Book Antiqua"/>
          <w:sz w:val="24"/>
          <w:szCs w:val="24"/>
          <w:lang w:val="es-ES_tradnl"/>
        </w:rPr>
      </w:pPr>
      <w:r w:rsidRPr="00363664">
        <w:rPr>
          <w:rFonts w:ascii="Book Antiqua" w:hAnsi="Book Antiqua"/>
          <w:sz w:val="24"/>
          <w:szCs w:val="24"/>
          <w:lang w:val="es-ES_tradnl"/>
        </w:rPr>
        <w:t xml:space="preserve">El </w:t>
      </w:r>
      <w:r w:rsidRPr="00363664">
        <w:rPr>
          <w:rStyle w:val="relative"/>
          <w:rFonts w:ascii="Book Antiqua" w:hAnsi="Book Antiqua"/>
          <w:sz w:val="24"/>
          <w:szCs w:val="24"/>
          <w:lang w:val="es-ES_tradnl"/>
        </w:rPr>
        <w:t>acceso a energía confiable, accesible y renovable constituye un pilar esencial para garantizar la calidad de vida, el desarrollo económico y la sostenibilidad ambiental de Puerto Rico. Con ese fin, la Asamblea Legislativa ha establecido, mediante la Ley</w:t>
      </w:r>
      <w:r w:rsidRPr="00363664">
        <w:rPr>
          <w:rStyle w:val="relative"/>
          <w:sz w:val="24"/>
          <w:szCs w:val="24"/>
          <w:lang w:val="es-ES_tradnl"/>
        </w:rPr>
        <w:t> </w:t>
      </w:r>
      <w:r w:rsidRPr="00363664">
        <w:rPr>
          <w:rStyle w:val="relative"/>
          <w:rFonts w:ascii="Book Antiqua" w:hAnsi="Book Antiqua"/>
          <w:sz w:val="24"/>
          <w:szCs w:val="24"/>
          <w:lang w:val="es-ES_tradnl"/>
        </w:rPr>
        <w:t>17</w:t>
      </w:r>
      <w:r w:rsidRPr="00363664">
        <w:rPr>
          <w:rStyle w:val="relative"/>
          <w:rFonts w:ascii="Book Antiqua" w:hAnsi="Book Antiqua"/>
          <w:sz w:val="24"/>
          <w:szCs w:val="24"/>
          <w:lang w:val="es-ES_tradnl"/>
        </w:rPr>
        <w:noBreakHyphen/>
        <w:t xml:space="preserve">2019, </w:t>
      </w:r>
      <w:r w:rsidRPr="00363664">
        <w:rPr>
          <w:rFonts w:ascii="Book Antiqua" w:hAnsi="Book Antiqua"/>
          <w:i/>
          <w:sz w:val="24"/>
          <w:szCs w:val="24"/>
          <w:lang w:val="es-ES_tradnl"/>
        </w:rPr>
        <w:t>“Ley de Política Pública Energética de Puerto Rico”</w:t>
      </w:r>
      <w:r w:rsidRPr="00363664">
        <w:rPr>
          <w:rFonts w:ascii="Book Antiqua" w:hAnsi="Book Antiqua"/>
          <w:sz w:val="24"/>
          <w:szCs w:val="24"/>
          <w:lang w:val="es-ES_tradnl"/>
        </w:rPr>
        <w:t xml:space="preserve">, </w:t>
      </w:r>
      <w:r w:rsidRPr="00363664">
        <w:rPr>
          <w:rStyle w:val="relative"/>
          <w:rFonts w:ascii="Book Antiqua" w:hAnsi="Book Antiqua"/>
          <w:sz w:val="24"/>
          <w:szCs w:val="24"/>
          <w:lang w:val="es-ES_tradnl"/>
        </w:rPr>
        <w:t>una política pública clara que ordena la transición hacia un sistema energético fundamentado en fuentes renovables y en la participación activa de los ciudadanos como generadores de energía distribuida.</w:t>
      </w:r>
    </w:p>
    <w:p w14:paraId="50136CCE" w14:textId="72CFD3B7" w:rsidR="00B2053E" w:rsidRPr="00363664" w:rsidRDefault="00B2053E" w:rsidP="00A16613">
      <w:pPr>
        <w:pStyle w:val="NormalWeb"/>
        <w:ind w:firstLine="720"/>
        <w:jc w:val="both"/>
        <w:rPr>
          <w:rFonts w:ascii="Book Antiqua" w:hAnsi="Book Antiqua"/>
          <w:sz w:val="24"/>
          <w:szCs w:val="24"/>
          <w:lang w:val="es-ES_tradnl"/>
        </w:rPr>
      </w:pPr>
      <w:r w:rsidRPr="00363664">
        <w:rPr>
          <w:rStyle w:val="relative"/>
          <w:rFonts w:ascii="Book Antiqua" w:hAnsi="Book Antiqua"/>
          <w:sz w:val="24"/>
          <w:szCs w:val="24"/>
          <w:lang w:val="es-ES_tradnl"/>
        </w:rPr>
        <w:t xml:space="preserve">Miles de hogares y comercios en Puerto Rico han invertido en sistemas de energía solar acogidos al programa de medición neta, confiando en que sus excedentes energéticos serían compensados de manera justa y transparente. Dicho programa ha sido </w:t>
      </w:r>
      <w:r w:rsidRPr="00363664">
        <w:rPr>
          <w:rStyle w:val="relative"/>
          <w:rFonts w:ascii="Book Antiqua" w:hAnsi="Book Antiqua"/>
          <w:sz w:val="24"/>
          <w:szCs w:val="24"/>
          <w:lang w:val="es-ES_tradnl"/>
        </w:rPr>
        <w:lastRenderedPageBreak/>
        <w:t>uno de los principales motores para la adopción de energía renovable a nivel residencial y comercial.</w:t>
      </w:r>
    </w:p>
    <w:p w14:paraId="1441FD5F" w14:textId="5B9B1607" w:rsidR="00B2053E" w:rsidRPr="00363664" w:rsidRDefault="00B2053E" w:rsidP="00A16613">
      <w:pPr>
        <w:pStyle w:val="NormalWeb"/>
        <w:ind w:firstLine="720"/>
        <w:jc w:val="both"/>
        <w:rPr>
          <w:rFonts w:ascii="Book Antiqua" w:hAnsi="Book Antiqua"/>
          <w:sz w:val="24"/>
          <w:szCs w:val="24"/>
          <w:lang w:val="es-ES_tradnl"/>
        </w:rPr>
      </w:pPr>
      <w:r w:rsidRPr="00363664">
        <w:rPr>
          <w:rStyle w:val="relative"/>
          <w:rFonts w:ascii="Book Antiqua" w:hAnsi="Book Antiqua"/>
          <w:sz w:val="24"/>
          <w:szCs w:val="24"/>
          <w:lang w:val="es-ES_tradnl"/>
        </w:rPr>
        <w:t>No obstante, recientemente LUMA Energy, LLC presentó ante el Negociado de Energía de Puerto Rico una moción</w:t>
      </w:r>
      <w:r w:rsidRPr="00363664">
        <w:rPr>
          <w:rStyle w:val="FootnoteReference"/>
          <w:rFonts w:ascii="Book Antiqua" w:hAnsi="Book Antiqua"/>
          <w:sz w:val="24"/>
          <w:szCs w:val="24"/>
          <w:lang w:val="es-ES_tradnl"/>
        </w:rPr>
        <w:footnoteReference w:id="1"/>
      </w:r>
      <w:r w:rsidR="008052EA" w:rsidRPr="00363664">
        <w:rPr>
          <w:rStyle w:val="relative"/>
          <w:rFonts w:ascii="Book Antiqua" w:hAnsi="Book Antiqua"/>
          <w:sz w:val="24"/>
          <w:szCs w:val="24"/>
          <w:lang w:val="es-ES_tradnl"/>
        </w:rPr>
        <w:t xml:space="preserve"> titulada “MOTION TO REQUEST APPROVAL OF LUMA´S REVISED SMART INVERTER SETTING SHEETS”</w:t>
      </w:r>
      <w:r w:rsidR="003A2B70" w:rsidRPr="00363664">
        <w:rPr>
          <w:rFonts w:ascii="Book Antiqua" w:hAnsi="Book Antiqua"/>
          <w:sz w:val="24"/>
          <w:szCs w:val="24"/>
          <w:lang w:val="es-ES_tradnl"/>
        </w:rPr>
        <w:t xml:space="preserve">, presentada por LUMA Energy, LLC, en el caso NEPR-MI-2019-0009 ante el Negociado de Energía de Puerto Rico, </w:t>
      </w:r>
      <w:r w:rsidRPr="00363664">
        <w:rPr>
          <w:rStyle w:val="relative"/>
          <w:rFonts w:ascii="Book Antiqua" w:hAnsi="Book Antiqua"/>
          <w:sz w:val="24"/>
          <w:szCs w:val="24"/>
          <w:lang w:val="es-ES_tradnl"/>
        </w:rPr>
        <w:t xml:space="preserve">solicitando la aprobación de </w:t>
      </w:r>
      <w:r w:rsidRPr="00363664">
        <w:rPr>
          <w:rStyle w:val="Strong"/>
          <w:rFonts w:ascii="Book Antiqua" w:hAnsi="Book Antiqua"/>
          <w:b w:val="0"/>
          <w:sz w:val="24"/>
          <w:szCs w:val="24"/>
          <w:lang w:val="es-ES_tradnl"/>
        </w:rPr>
        <w:t>revisiones a las configuraciones de inversores inteligentes</w:t>
      </w:r>
      <w:r w:rsidRPr="00363664">
        <w:rPr>
          <w:rStyle w:val="Strong"/>
          <w:rFonts w:ascii="Book Antiqua" w:hAnsi="Book Antiqua"/>
          <w:sz w:val="24"/>
          <w:szCs w:val="24"/>
          <w:lang w:val="es-ES_tradnl"/>
        </w:rPr>
        <w:t xml:space="preserve"> (</w:t>
      </w:r>
      <w:r w:rsidRPr="00363664">
        <w:rPr>
          <w:rStyle w:val="Emphasis"/>
          <w:rFonts w:ascii="Book Antiqua" w:hAnsi="Book Antiqua"/>
          <w:bCs/>
          <w:sz w:val="24"/>
          <w:szCs w:val="24"/>
          <w:lang w:val="es-ES_tradnl"/>
        </w:rPr>
        <w:t xml:space="preserve">Smart </w:t>
      </w:r>
      <w:proofErr w:type="spellStart"/>
      <w:r w:rsidRPr="00363664">
        <w:rPr>
          <w:rStyle w:val="Emphasis"/>
          <w:rFonts w:ascii="Book Antiqua" w:hAnsi="Book Antiqua"/>
          <w:bCs/>
          <w:sz w:val="24"/>
          <w:szCs w:val="24"/>
          <w:lang w:val="es-ES_tradnl"/>
        </w:rPr>
        <w:t>Inverter</w:t>
      </w:r>
      <w:proofErr w:type="spellEnd"/>
      <w:r w:rsidRPr="00363664">
        <w:rPr>
          <w:rStyle w:val="Emphasis"/>
          <w:rFonts w:ascii="Book Antiqua" w:hAnsi="Book Antiqua"/>
          <w:bCs/>
          <w:sz w:val="24"/>
          <w:szCs w:val="24"/>
          <w:lang w:val="es-ES_tradnl"/>
        </w:rPr>
        <w:t xml:space="preserve"> </w:t>
      </w:r>
      <w:proofErr w:type="spellStart"/>
      <w:r w:rsidRPr="00363664">
        <w:rPr>
          <w:rStyle w:val="Emphasis"/>
          <w:rFonts w:ascii="Book Antiqua" w:hAnsi="Book Antiqua"/>
          <w:bCs/>
          <w:sz w:val="24"/>
          <w:szCs w:val="24"/>
          <w:lang w:val="es-ES_tradnl"/>
        </w:rPr>
        <w:t>Settings</w:t>
      </w:r>
      <w:proofErr w:type="spellEnd"/>
      <w:r w:rsidRPr="00363664">
        <w:rPr>
          <w:rStyle w:val="Strong"/>
          <w:rFonts w:ascii="Book Antiqua" w:hAnsi="Book Antiqua"/>
          <w:sz w:val="24"/>
          <w:szCs w:val="24"/>
          <w:lang w:val="es-ES_tradnl"/>
        </w:rPr>
        <w:t>)</w:t>
      </w:r>
      <w:r w:rsidRPr="00363664">
        <w:rPr>
          <w:rStyle w:val="relative"/>
          <w:rFonts w:ascii="Book Antiqua" w:hAnsi="Book Antiqua"/>
          <w:sz w:val="24"/>
          <w:szCs w:val="24"/>
          <w:lang w:val="es-ES_tradnl"/>
        </w:rPr>
        <w:t xml:space="preserve">. Estas revisiones incluyen la implementación de parámetros técnicos tales como </w:t>
      </w:r>
      <w:r w:rsidRPr="00363664">
        <w:rPr>
          <w:rStyle w:val="Strong"/>
          <w:rFonts w:ascii="Book Antiqua" w:hAnsi="Book Antiqua"/>
          <w:b w:val="0"/>
          <w:sz w:val="24"/>
          <w:szCs w:val="24"/>
          <w:lang w:val="es-ES_tradnl"/>
        </w:rPr>
        <w:t>Volt/Watt, Volt/</w:t>
      </w:r>
      <w:proofErr w:type="spellStart"/>
      <w:r w:rsidRPr="00363664">
        <w:rPr>
          <w:rStyle w:val="Strong"/>
          <w:rFonts w:ascii="Book Antiqua" w:hAnsi="Book Antiqua"/>
          <w:b w:val="0"/>
          <w:sz w:val="24"/>
          <w:szCs w:val="24"/>
          <w:lang w:val="es-ES_tradnl"/>
        </w:rPr>
        <w:t>VAr</w:t>
      </w:r>
      <w:proofErr w:type="spellEnd"/>
      <w:r w:rsidRPr="00363664">
        <w:rPr>
          <w:rStyle w:val="Strong"/>
          <w:rFonts w:ascii="Book Antiqua" w:hAnsi="Book Antiqua"/>
          <w:sz w:val="24"/>
          <w:szCs w:val="24"/>
          <w:lang w:val="es-ES_tradnl"/>
        </w:rPr>
        <w:t xml:space="preserve"> </w:t>
      </w:r>
      <w:r w:rsidRPr="00013F65">
        <w:rPr>
          <w:rStyle w:val="Strong"/>
          <w:rFonts w:ascii="Book Antiqua" w:hAnsi="Book Antiqua"/>
          <w:b w:val="0"/>
          <w:sz w:val="24"/>
          <w:szCs w:val="24"/>
          <w:lang w:val="es-ES_tradnl"/>
        </w:rPr>
        <w:t>y</w:t>
      </w:r>
      <w:r w:rsidRPr="00363664">
        <w:rPr>
          <w:rStyle w:val="Strong"/>
          <w:rFonts w:ascii="Book Antiqua" w:hAnsi="Book Antiqua"/>
          <w:sz w:val="24"/>
          <w:szCs w:val="24"/>
          <w:lang w:val="es-ES_tradnl"/>
        </w:rPr>
        <w:t xml:space="preserve"> </w:t>
      </w:r>
      <w:proofErr w:type="spellStart"/>
      <w:r w:rsidRPr="00363664">
        <w:rPr>
          <w:rStyle w:val="Strong"/>
          <w:rFonts w:ascii="Book Antiqua" w:hAnsi="Book Antiqua"/>
          <w:b w:val="0"/>
          <w:sz w:val="24"/>
          <w:szCs w:val="24"/>
          <w:lang w:val="es-ES_tradnl"/>
        </w:rPr>
        <w:t>Frequency</w:t>
      </w:r>
      <w:proofErr w:type="spellEnd"/>
      <w:r w:rsidRPr="00363664">
        <w:rPr>
          <w:rStyle w:val="Strong"/>
          <w:rFonts w:ascii="Book Antiqua" w:hAnsi="Book Antiqua"/>
          <w:b w:val="0"/>
          <w:sz w:val="24"/>
          <w:szCs w:val="24"/>
          <w:lang w:val="es-ES_tradnl"/>
        </w:rPr>
        <w:t>/Watt</w:t>
      </w:r>
      <w:r w:rsidRPr="00363664">
        <w:rPr>
          <w:rStyle w:val="relative"/>
          <w:rFonts w:ascii="Book Antiqua" w:hAnsi="Book Antiqua"/>
          <w:sz w:val="24"/>
          <w:szCs w:val="24"/>
          <w:lang w:val="es-ES_tradnl"/>
        </w:rPr>
        <w:t>, cuyo efecto es limitar de manera automática la cantidad de energía que los sistemas fotovoltaicos pueden exportar a la red eléctrica en situaciones de variaciones de voltaje o frecuencia.</w:t>
      </w:r>
      <w:r w:rsidRPr="00363664">
        <w:rPr>
          <w:rFonts w:ascii="Book Antiqua" w:hAnsi="Book Antiqua"/>
          <w:sz w:val="24"/>
          <w:szCs w:val="24"/>
          <w:lang w:val="es-ES_tradnl"/>
        </w:rPr>
        <w:t xml:space="preserve"> </w:t>
      </w:r>
    </w:p>
    <w:p w14:paraId="42A1D385" w14:textId="5DB4ECA5" w:rsidR="00B2053E" w:rsidRPr="00363664" w:rsidRDefault="00B2053E" w:rsidP="00A16613">
      <w:pPr>
        <w:pStyle w:val="NormalWeb"/>
        <w:ind w:firstLine="720"/>
        <w:jc w:val="both"/>
        <w:rPr>
          <w:rFonts w:ascii="Book Antiqua" w:hAnsi="Book Antiqua"/>
          <w:sz w:val="24"/>
          <w:szCs w:val="24"/>
          <w:lang w:val="es-ES_tradnl"/>
        </w:rPr>
      </w:pPr>
      <w:r w:rsidRPr="00363664">
        <w:rPr>
          <w:rFonts w:ascii="Book Antiqua" w:hAnsi="Book Antiqua"/>
          <w:sz w:val="24"/>
          <w:szCs w:val="24"/>
          <w:lang w:val="es-ES_tradnl"/>
        </w:rPr>
        <w:t xml:space="preserve">LUMA justifica estos cambios como necesarios para mitigar problemas de estabilidad y seguridad en la red. Sin embargo, esta solicitud revela una </w:t>
      </w:r>
      <w:r w:rsidRPr="00363664">
        <w:rPr>
          <w:rStyle w:val="Strong"/>
          <w:rFonts w:ascii="Book Antiqua" w:hAnsi="Book Antiqua"/>
          <w:b w:val="0"/>
          <w:sz w:val="24"/>
          <w:szCs w:val="24"/>
          <w:lang w:val="es-ES_tradnl"/>
        </w:rPr>
        <w:t>deficiencia</w:t>
      </w:r>
      <w:r w:rsidRPr="00363664">
        <w:rPr>
          <w:rStyle w:val="Strong"/>
          <w:rFonts w:ascii="Book Antiqua" w:hAnsi="Book Antiqua"/>
          <w:sz w:val="24"/>
          <w:szCs w:val="24"/>
          <w:lang w:val="es-ES_tradnl"/>
        </w:rPr>
        <w:t xml:space="preserve"> </w:t>
      </w:r>
      <w:r w:rsidRPr="00363664">
        <w:rPr>
          <w:rStyle w:val="Strong"/>
          <w:rFonts w:ascii="Book Antiqua" w:hAnsi="Book Antiqua"/>
          <w:b w:val="0"/>
          <w:sz w:val="24"/>
          <w:szCs w:val="24"/>
          <w:lang w:val="es-ES_tradnl"/>
        </w:rPr>
        <w:t>estructural en la operación del sistema eléctrico</w:t>
      </w:r>
      <w:r w:rsidRPr="00363664">
        <w:rPr>
          <w:rFonts w:ascii="Book Antiqua" w:hAnsi="Book Antiqua"/>
          <w:sz w:val="24"/>
          <w:szCs w:val="24"/>
          <w:lang w:val="es-ES_tradnl"/>
        </w:rPr>
        <w:t xml:space="preserve">. En la práctica, lo que motiva estas revisiones no es un defecto de la generación solar, sino la </w:t>
      </w:r>
      <w:r w:rsidRPr="00363664">
        <w:rPr>
          <w:rStyle w:val="Strong"/>
          <w:rFonts w:ascii="Book Antiqua" w:hAnsi="Book Antiqua"/>
          <w:b w:val="0"/>
          <w:sz w:val="24"/>
          <w:szCs w:val="24"/>
          <w:lang w:val="es-ES_tradnl"/>
        </w:rPr>
        <w:t>incapacidad de LUMA de proveer un servicio estable y de modernizar adecuadamente la infraestructura de transmisión y distribución</w:t>
      </w:r>
      <w:r w:rsidRPr="00363664">
        <w:rPr>
          <w:rFonts w:ascii="Book Antiqua" w:hAnsi="Book Antiqua"/>
          <w:b/>
          <w:sz w:val="24"/>
          <w:szCs w:val="24"/>
          <w:lang w:val="es-ES_tradnl"/>
        </w:rPr>
        <w:t>.</w:t>
      </w:r>
      <w:r w:rsidRPr="00363664">
        <w:rPr>
          <w:rFonts w:ascii="Book Antiqua" w:hAnsi="Book Antiqua"/>
          <w:sz w:val="24"/>
          <w:szCs w:val="24"/>
          <w:lang w:val="es-ES_tradnl"/>
        </w:rPr>
        <w:t xml:space="preserve"> De haberse realizado las inversiones y mejoras necesarias para robustecer la red, no habría sido necesario imponer a los consumidores solares limitaciones automáticas que reducen la energía exportada y, por consiguiente, los créditos que reciben en sus facturas bajo el programa de medición neta.</w:t>
      </w:r>
    </w:p>
    <w:p w14:paraId="553C5D06" w14:textId="727A57B7" w:rsidR="00B2053E" w:rsidRPr="00363664" w:rsidRDefault="00B2053E" w:rsidP="00A16613">
      <w:pPr>
        <w:pStyle w:val="NormalWeb"/>
        <w:ind w:firstLine="720"/>
        <w:jc w:val="both"/>
        <w:rPr>
          <w:rFonts w:ascii="Book Antiqua" w:hAnsi="Book Antiqua"/>
          <w:sz w:val="24"/>
          <w:szCs w:val="24"/>
          <w:lang w:val="es-ES_tradnl"/>
        </w:rPr>
      </w:pPr>
      <w:r w:rsidRPr="00363664">
        <w:rPr>
          <w:rFonts w:ascii="Book Antiqua" w:hAnsi="Book Antiqua"/>
          <w:sz w:val="24"/>
          <w:szCs w:val="24"/>
          <w:lang w:val="es-ES_tradnl"/>
        </w:rPr>
        <w:t xml:space="preserve">El </w:t>
      </w:r>
      <w:r w:rsidRPr="00363664">
        <w:rPr>
          <w:rStyle w:val="Strong"/>
          <w:rFonts w:ascii="Book Antiqua" w:hAnsi="Book Antiqua"/>
          <w:b w:val="0"/>
          <w:sz w:val="24"/>
          <w:szCs w:val="24"/>
          <w:lang w:val="es-ES_tradnl"/>
        </w:rPr>
        <w:t>efecto de limitar la exportación de energía solar</w:t>
      </w:r>
      <w:r w:rsidRPr="00363664">
        <w:rPr>
          <w:rFonts w:ascii="Book Antiqua" w:hAnsi="Book Antiqua"/>
          <w:sz w:val="24"/>
          <w:szCs w:val="24"/>
          <w:lang w:val="es-ES_tradnl"/>
        </w:rPr>
        <w:t xml:space="preserve"> es preocupante. En primer lugar, los abonados reciben menos créditos en sus facturas, lo que encarece su costo neto de electricidad y alarga el tiempo de recuperación de su inversión en sistemas fotovoltaicos. En segundo lugar, la medida </w:t>
      </w:r>
      <w:r w:rsidRPr="00363664">
        <w:rPr>
          <w:rStyle w:val="Strong"/>
          <w:rFonts w:ascii="Book Antiqua" w:hAnsi="Book Antiqua"/>
          <w:b w:val="0"/>
          <w:sz w:val="24"/>
          <w:szCs w:val="24"/>
          <w:lang w:val="es-ES_tradnl"/>
        </w:rPr>
        <w:t>desincentiva nuevas instalaciones solares</w:t>
      </w:r>
      <w:r w:rsidRPr="00363664">
        <w:rPr>
          <w:rFonts w:ascii="Book Antiqua" w:hAnsi="Book Antiqua"/>
          <w:sz w:val="24"/>
          <w:szCs w:val="24"/>
          <w:lang w:val="es-ES_tradnl"/>
        </w:rPr>
        <w:t xml:space="preserve"> al reducir la seguridad económica del programa de medición neta</w:t>
      </w:r>
      <w:r w:rsidR="00E27C36" w:rsidRPr="00363664">
        <w:rPr>
          <w:rFonts w:ascii="Book Antiqua" w:hAnsi="Book Antiqua"/>
          <w:sz w:val="24"/>
          <w:szCs w:val="24"/>
          <w:lang w:val="es-ES_tradnl"/>
        </w:rPr>
        <w:t xml:space="preserve">. </w:t>
      </w:r>
      <w:r w:rsidRPr="00363664">
        <w:rPr>
          <w:rFonts w:ascii="Book Antiqua" w:hAnsi="Book Antiqua"/>
          <w:sz w:val="24"/>
          <w:szCs w:val="24"/>
          <w:lang w:val="es-ES_tradnl"/>
        </w:rPr>
        <w:t>En tercer lugar, se desperdicia energía limpia ya disponible, porque la producción que no se exporta y que no puede almacenarse simplemente se pierde,</w:t>
      </w:r>
      <w:r w:rsidR="00E27C36" w:rsidRPr="00363664">
        <w:rPr>
          <w:rFonts w:ascii="Book Antiqua" w:hAnsi="Book Antiqua"/>
          <w:sz w:val="24"/>
          <w:szCs w:val="24"/>
          <w:lang w:val="es-ES_tradnl"/>
        </w:rPr>
        <w:t xml:space="preserve"> promoviendo así la ineficiencia energética. </w:t>
      </w:r>
      <w:r w:rsidRPr="00363664">
        <w:rPr>
          <w:rFonts w:ascii="Book Antiqua" w:hAnsi="Book Antiqua"/>
          <w:sz w:val="24"/>
          <w:szCs w:val="24"/>
          <w:lang w:val="es-ES_tradnl"/>
        </w:rPr>
        <w:t xml:space="preserve"> </w:t>
      </w:r>
    </w:p>
    <w:p w14:paraId="07C98281" w14:textId="06644D73" w:rsidR="00B2053E" w:rsidRPr="00363664" w:rsidRDefault="00B2053E" w:rsidP="00A16613">
      <w:pPr>
        <w:pStyle w:val="NormalWeb"/>
        <w:ind w:firstLine="720"/>
        <w:jc w:val="both"/>
        <w:rPr>
          <w:rFonts w:ascii="Book Antiqua" w:hAnsi="Book Antiqua"/>
          <w:sz w:val="24"/>
          <w:szCs w:val="24"/>
          <w:lang w:val="es-ES_tradnl"/>
        </w:rPr>
      </w:pPr>
      <w:r w:rsidRPr="00363664">
        <w:rPr>
          <w:rFonts w:ascii="Book Antiqua" w:hAnsi="Book Antiqua"/>
          <w:sz w:val="24"/>
          <w:szCs w:val="24"/>
          <w:lang w:val="es-ES_tradnl"/>
        </w:rPr>
        <w:t>Diversos sectores de la industria solar, así como organizaciones de defensa de los consumidores, han expresado preocupación ante la posibilidad de que estas revisiones se aprueben sin un proceso transparente y sin participación ciudadana adecuada. Asimismo, han cuestionado su compatibilidad con la</w:t>
      </w:r>
      <w:r w:rsidR="00273FE9" w:rsidRPr="00363664">
        <w:rPr>
          <w:rFonts w:ascii="Book Antiqua" w:hAnsi="Book Antiqua"/>
          <w:sz w:val="24"/>
          <w:szCs w:val="24"/>
          <w:lang w:val="es-ES_tradnl"/>
        </w:rPr>
        <w:t xml:space="preserve"> política pública energética de Puerto Rico</w:t>
      </w:r>
      <w:r w:rsidRPr="00363664">
        <w:rPr>
          <w:rFonts w:ascii="Book Antiqua" w:hAnsi="Book Antiqua"/>
          <w:sz w:val="24"/>
          <w:szCs w:val="24"/>
          <w:lang w:val="es-ES_tradnl"/>
        </w:rPr>
        <w:t>, y si las mismas responden más a un problema de gestión de la red que a un requisito técnico real.</w:t>
      </w:r>
    </w:p>
    <w:p w14:paraId="53BDD2E6" w14:textId="69DFE99F" w:rsidR="00607459" w:rsidRPr="00363664" w:rsidRDefault="00B2053E" w:rsidP="00A16613">
      <w:pPr>
        <w:pStyle w:val="NormalWeb"/>
        <w:ind w:firstLine="720"/>
        <w:jc w:val="both"/>
        <w:rPr>
          <w:rFonts w:ascii="Book Antiqua" w:hAnsi="Book Antiqua"/>
          <w:sz w:val="24"/>
          <w:szCs w:val="24"/>
          <w:lang w:val="es-ES_tradnl"/>
        </w:rPr>
      </w:pPr>
      <w:r w:rsidRPr="00363664">
        <w:rPr>
          <w:rFonts w:ascii="Book Antiqua" w:hAnsi="Book Antiqua"/>
          <w:sz w:val="24"/>
          <w:szCs w:val="24"/>
          <w:lang w:val="es-ES_tradnl"/>
        </w:rPr>
        <w:t xml:space="preserve">Ante este panorama, resulta imperativo que la Cámara de Representantes de Puerto Rico realice una investigación exhaustiva sobre lo solicitado por LUMA ante el Negociado de Energía. El propósito de esta investigación debe ser examinar el </w:t>
      </w:r>
      <w:r w:rsidRPr="00363664">
        <w:rPr>
          <w:rFonts w:ascii="Book Antiqua" w:hAnsi="Book Antiqua"/>
          <w:sz w:val="24"/>
          <w:szCs w:val="24"/>
          <w:lang w:val="es-ES_tradnl"/>
        </w:rPr>
        <w:lastRenderedPageBreak/>
        <w:t>fundamento técnico de las revisiones propuestas, analizar sus consecuencias sobre la medición neta y los derechos adquiridos de los consumidores, y evaluar su coherencia con la polí</w:t>
      </w:r>
      <w:r w:rsidR="00273FE9" w:rsidRPr="00363664">
        <w:rPr>
          <w:rFonts w:ascii="Book Antiqua" w:hAnsi="Book Antiqua"/>
          <w:sz w:val="24"/>
          <w:szCs w:val="24"/>
          <w:lang w:val="es-ES_tradnl"/>
        </w:rPr>
        <w:t>tica pública energética de Puerto Rico</w:t>
      </w:r>
      <w:r w:rsidRPr="00363664">
        <w:rPr>
          <w:rFonts w:ascii="Book Antiqua" w:hAnsi="Book Antiqua"/>
          <w:sz w:val="24"/>
          <w:szCs w:val="24"/>
          <w:lang w:val="es-ES_tradnl"/>
        </w:rPr>
        <w:t>. Solo a través de un proceso transparente y participativo podrá garantizarse la protección de los abonados que han confiado en la energía solar como motor de desarrollo sustentable.</w:t>
      </w:r>
    </w:p>
    <w:p w14:paraId="0E609D0A" w14:textId="77777777" w:rsidR="00B25CCC" w:rsidRPr="00363664" w:rsidRDefault="00B25CCC" w:rsidP="00B25CCC">
      <w:pPr>
        <w:jc w:val="both"/>
        <w:rPr>
          <w:rFonts w:ascii="Book Antiqua" w:hAnsi="Book Antiqua"/>
          <w:i/>
          <w:caps/>
          <w:szCs w:val="24"/>
          <w:lang w:val="es-ES_tradnl"/>
        </w:rPr>
      </w:pPr>
      <w:r w:rsidRPr="00363664">
        <w:rPr>
          <w:rFonts w:ascii="Book Antiqua" w:hAnsi="Book Antiqua"/>
          <w:i/>
          <w:caps/>
          <w:szCs w:val="24"/>
          <w:lang w:val="es-ES_tradnl"/>
        </w:rPr>
        <w:t>RESUéLVESE POR LA CáMARA DE REPRESENTANTES DE PUERTO RICO:</w:t>
      </w:r>
    </w:p>
    <w:p w14:paraId="4D811978" w14:textId="6E22ED31" w:rsidR="00B25CCC" w:rsidRPr="00363664" w:rsidRDefault="00B25CCC" w:rsidP="00607459">
      <w:pPr>
        <w:ind w:firstLine="1440"/>
        <w:jc w:val="both"/>
        <w:rPr>
          <w:rFonts w:ascii="Book Antiqua" w:hAnsi="Book Antiqua"/>
          <w:szCs w:val="24"/>
          <w:lang w:val="es-ES_tradnl"/>
        </w:rPr>
        <w:sectPr w:rsidR="00B25CCC" w:rsidRPr="00363664"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363664">
        <w:rPr>
          <w:rFonts w:ascii="Book Antiqua" w:hAnsi="Book Antiqua"/>
          <w:szCs w:val="24"/>
          <w:lang w:val="es-ES_tradnl"/>
        </w:rPr>
        <w:t xml:space="preserve"> </w:t>
      </w:r>
    </w:p>
    <w:p w14:paraId="49A65175" w14:textId="00AE1D95" w:rsidR="00273FE9" w:rsidRPr="00363664" w:rsidRDefault="00AE4E88" w:rsidP="004D20E1">
      <w:pPr>
        <w:spacing w:line="480" w:lineRule="auto"/>
        <w:jc w:val="both"/>
        <w:rPr>
          <w:rFonts w:ascii="Book Antiqua" w:hAnsi="Book Antiqua"/>
          <w:szCs w:val="24"/>
          <w:lang w:val="es-ES_tradnl"/>
        </w:rPr>
      </w:pPr>
      <w:r w:rsidRPr="00363664">
        <w:rPr>
          <w:rFonts w:ascii="Book Antiqua" w:hAnsi="Book Antiqua"/>
          <w:szCs w:val="24"/>
          <w:lang w:val="es-ES_tradnl"/>
        </w:rPr>
        <w:t xml:space="preserve">     </w:t>
      </w:r>
      <w:r w:rsidR="00C0034D" w:rsidRPr="00363664">
        <w:rPr>
          <w:rFonts w:ascii="Book Antiqua" w:hAnsi="Book Antiqua"/>
          <w:szCs w:val="24"/>
          <w:lang w:val="es-ES_tradnl"/>
        </w:rPr>
        <w:t>Se</w:t>
      </w:r>
      <w:r w:rsidR="00607459" w:rsidRPr="00363664">
        <w:rPr>
          <w:rFonts w:ascii="Book Antiqua" w:hAnsi="Book Antiqua"/>
          <w:szCs w:val="24"/>
          <w:lang w:val="es-ES_tradnl"/>
        </w:rPr>
        <w:t xml:space="preserve">cción 1. </w:t>
      </w:r>
      <w:r w:rsidR="004E3857" w:rsidRPr="00363664">
        <w:rPr>
          <w:rFonts w:ascii="Book Antiqua" w:hAnsi="Book Antiqua"/>
          <w:szCs w:val="24"/>
          <w:lang w:val="es-ES_tradnl"/>
        </w:rPr>
        <w:t xml:space="preserve">Se ordena a la Comisión de Asuntos del Consumidor de la Cámara de Representantes </w:t>
      </w:r>
      <w:r w:rsidR="00273FE9" w:rsidRPr="00363664">
        <w:rPr>
          <w:rFonts w:ascii="Book Antiqua" w:hAnsi="Book Antiqua"/>
          <w:szCs w:val="24"/>
          <w:lang w:val="es-ES_tradnl"/>
        </w:rPr>
        <w:t>realizar una investigación exhaustiva sobre las revisiones a las configuraciones de inversores inteligentes (</w:t>
      </w:r>
      <w:r w:rsidR="00273FE9" w:rsidRPr="00363664">
        <w:rPr>
          <w:rFonts w:ascii="Book Antiqua" w:hAnsi="Book Antiqua"/>
          <w:i/>
          <w:iCs/>
          <w:szCs w:val="24"/>
          <w:lang w:val="es-ES_tradnl"/>
        </w:rPr>
        <w:t xml:space="preserve">Smart </w:t>
      </w:r>
      <w:proofErr w:type="spellStart"/>
      <w:r w:rsidR="00273FE9" w:rsidRPr="00363664">
        <w:rPr>
          <w:rFonts w:ascii="Book Antiqua" w:hAnsi="Book Antiqua"/>
          <w:i/>
          <w:iCs/>
          <w:szCs w:val="24"/>
          <w:lang w:val="es-ES_tradnl"/>
        </w:rPr>
        <w:t>Inverter</w:t>
      </w:r>
      <w:proofErr w:type="spellEnd"/>
      <w:r w:rsidR="00273FE9" w:rsidRPr="00363664">
        <w:rPr>
          <w:rFonts w:ascii="Book Antiqua" w:hAnsi="Book Antiqua"/>
          <w:i/>
          <w:iCs/>
          <w:szCs w:val="24"/>
          <w:lang w:val="es-ES_tradnl"/>
        </w:rPr>
        <w:t xml:space="preserve"> </w:t>
      </w:r>
      <w:proofErr w:type="spellStart"/>
      <w:r w:rsidR="00273FE9" w:rsidRPr="00363664">
        <w:rPr>
          <w:rFonts w:ascii="Book Antiqua" w:hAnsi="Book Antiqua"/>
          <w:i/>
          <w:iCs/>
          <w:szCs w:val="24"/>
          <w:lang w:val="es-ES_tradnl"/>
        </w:rPr>
        <w:t>Settings</w:t>
      </w:r>
      <w:proofErr w:type="spellEnd"/>
      <w:r w:rsidR="00273FE9" w:rsidRPr="00363664">
        <w:rPr>
          <w:rFonts w:ascii="Book Antiqua" w:hAnsi="Book Antiqua"/>
          <w:szCs w:val="24"/>
          <w:lang w:val="es-ES_tradnl"/>
        </w:rPr>
        <w:t>) solicitadas por LUMA Energy, LLC ante el Negociado de Energía de Puerto Rico, que incluyen limitaciones automáticas a la exportación de energía solar mediante los parámetros Volt/Watt, Volt/</w:t>
      </w:r>
      <w:proofErr w:type="spellStart"/>
      <w:r w:rsidR="00273FE9" w:rsidRPr="00363664">
        <w:rPr>
          <w:rFonts w:ascii="Book Antiqua" w:hAnsi="Book Antiqua"/>
          <w:szCs w:val="24"/>
          <w:lang w:val="es-ES_tradnl"/>
        </w:rPr>
        <w:t>VAr</w:t>
      </w:r>
      <w:proofErr w:type="spellEnd"/>
      <w:r w:rsidR="00273FE9" w:rsidRPr="00363664">
        <w:rPr>
          <w:rFonts w:ascii="Book Antiqua" w:hAnsi="Book Antiqua"/>
          <w:szCs w:val="24"/>
          <w:lang w:val="es-ES_tradnl"/>
        </w:rPr>
        <w:t xml:space="preserve"> y </w:t>
      </w:r>
      <w:proofErr w:type="spellStart"/>
      <w:r w:rsidR="00273FE9" w:rsidRPr="00363664">
        <w:rPr>
          <w:rFonts w:ascii="Book Antiqua" w:hAnsi="Book Antiqua"/>
          <w:szCs w:val="24"/>
          <w:lang w:val="es-ES_tradnl"/>
        </w:rPr>
        <w:t>Frequency</w:t>
      </w:r>
      <w:proofErr w:type="spellEnd"/>
      <w:r w:rsidR="00273FE9" w:rsidRPr="00363664">
        <w:rPr>
          <w:rFonts w:ascii="Book Antiqua" w:hAnsi="Book Antiqua"/>
          <w:szCs w:val="24"/>
          <w:lang w:val="es-ES_tradnl"/>
        </w:rPr>
        <w:t>/Watt, y su impacto en el programa de medición neta, en los créditos de los abonados, en las consecuencias económicas y sociales para los consumidores y en el desarrollo de la energía renovable en Puerto Rico.</w:t>
      </w:r>
    </w:p>
    <w:p w14:paraId="59CA8A66" w14:textId="7F54B640" w:rsidR="004E3857" w:rsidRPr="00363664" w:rsidRDefault="00273FE9" w:rsidP="004D20E1">
      <w:pPr>
        <w:spacing w:line="480" w:lineRule="auto"/>
        <w:jc w:val="both"/>
        <w:rPr>
          <w:rFonts w:ascii="Book Antiqua" w:hAnsi="Book Antiqua"/>
          <w:szCs w:val="24"/>
          <w:lang w:val="es-ES_tradnl"/>
        </w:rPr>
      </w:pPr>
      <w:r w:rsidRPr="00363664">
        <w:rPr>
          <w:rFonts w:ascii="Book Antiqua" w:hAnsi="Book Antiqua"/>
          <w:szCs w:val="24"/>
          <w:lang w:val="es-ES_tradnl"/>
        </w:rPr>
        <w:t xml:space="preserve">     </w:t>
      </w:r>
      <w:r w:rsidR="004E3857" w:rsidRPr="00363664">
        <w:rPr>
          <w:rFonts w:ascii="Book Antiqua" w:hAnsi="Book Antiqua"/>
          <w:szCs w:val="24"/>
          <w:lang w:val="es-ES_tradnl"/>
        </w:rPr>
        <w:t>Sección 2. Como parte de esta investigación, la Comisión evaluará, sin limitarse a:</w:t>
      </w:r>
    </w:p>
    <w:p w14:paraId="16251414" w14:textId="1245252D" w:rsidR="00B468D0" w:rsidRPr="00363664" w:rsidRDefault="004E3857" w:rsidP="004D20E1">
      <w:pPr>
        <w:pStyle w:val="NormalWeb"/>
        <w:numPr>
          <w:ilvl w:val="0"/>
          <w:numId w:val="8"/>
        </w:numPr>
        <w:spacing w:before="0" w:beforeAutospacing="0" w:after="0" w:afterAutospacing="0" w:line="480" w:lineRule="auto"/>
        <w:rPr>
          <w:rFonts w:ascii="Book Antiqua" w:hAnsi="Book Antiqua"/>
          <w:sz w:val="24"/>
          <w:szCs w:val="24"/>
          <w:lang w:val="es-ES_tradnl"/>
        </w:rPr>
      </w:pPr>
      <w:r w:rsidRPr="00363664">
        <w:rPr>
          <w:rFonts w:ascii="Book Antiqua" w:hAnsi="Book Antiqua"/>
          <w:sz w:val="24"/>
          <w:szCs w:val="24"/>
          <w:lang w:val="es-ES_tradnl"/>
        </w:rPr>
        <w:t xml:space="preserve">El impacto de las interrupciones y fluctuaciones de voltaje en los consumidores, incluyendo: </w:t>
      </w:r>
    </w:p>
    <w:p w14:paraId="6D8E8709" w14:textId="77777777" w:rsidR="0096683C" w:rsidRPr="00363664" w:rsidRDefault="00B468D0" w:rsidP="004D20E1">
      <w:pPr>
        <w:pStyle w:val="NormalWeb"/>
        <w:numPr>
          <w:ilvl w:val="1"/>
          <w:numId w:val="8"/>
        </w:numPr>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Los fundamentos técnicos presentados por LUMA para justificar las revisiones, incluyendo sus simulaciones de voltaje y frecuencia.</w:t>
      </w:r>
    </w:p>
    <w:p w14:paraId="45A1A5E4" w14:textId="0FDF5F15" w:rsidR="0096683C" w:rsidRPr="00363664" w:rsidRDefault="0096683C" w:rsidP="004D20E1">
      <w:pPr>
        <w:pStyle w:val="NormalWeb"/>
        <w:numPr>
          <w:ilvl w:val="1"/>
          <w:numId w:val="8"/>
        </w:numPr>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 xml:space="preserve">Los fundamentos técnicos presentados por LUMA para justificar las revisiones, incluyendo los </w:t>
      </w:r>
      <w:r w:rsidRPr="00363664">
        <w:rPr>
          <w:rFonts w:ascii="Book Antiqua" w:hAnsi="Book Antiqua"/>
          <w:bCs/>
          <w:sz w:val="24"/>
          <w:szCs w:val="24"/>
          <w:lang w:val="es-ES_tradnl"/>
        </w:rPr>
        <w:t>modelos técnicos y simulaciones de la red eléctrica</w:t>
      </w:r>
      <w:r w:rsidRPr="00363664">
        <w:rPr>
          <w:rFonts w:ascii="Book Antiqua" w:hAnsi="Book Antiqua"/>
          <w:sz w:val="24"/>
          <w:szCs w:val="24"/>
          <w:lang w:val="es-ES_tradnl"/>
        </w:rPr>
        <w:t xml:space="preserve"> sometidos ante el Negociado de Energía, en los que se proyectan </w:t>
      </w:r>
      <w:r w:rsidRPr="00363664">
        <w:rPr>
          <w:rFonts w:ascii="Book Antiqua" w:hAnsi="Book Antiqua"/>
          <w:bCs/>
          <w:sz w:val="24"/>
          <w:szCs w:val="24"/>
          <w:lang w:val="es-ES_tradnl"/>
        </w:rPr>
        <w:t xml:space="preserve">violaciones de voltaje y frecuencia en circuitos con alta penetración de </w:t>
      </w:r>
      <w:r w:rsidRPr="00363664">
        <w:rPr>
          <w:rFonts w:ascii="Book Antiqua" w:hAnsi="Book Antiqua"/>
          <w:bCs/>
          <w:sz w:val="24"/>
          <w:szCs w:val="24"/>
          <w:lang w:val="es-ES_tradnl"/>
        </w:rPr>
        <w:lastRenderedPageBreak/>
        <w:t>sistemas solares</w:t>
      </w:r>
      <w:r w:rsidRPr="00363664">
        <w:rPr>
          <w:rFonts w:ascii="Book Antiqua" w:hAnsi="Book Antiqua"/>
          <w:sz w:val="24"/>
          <w:szCs w:val="24"/>
          <w:lang w:val="es-ES_tradnl"/>
        </w:rPr>
        <w:t>, así como los resultados alegados de activar los parámetros Volt/Watt y Volt/</w:t>
      </w:r>
      <w:proofErr w:type="spellStart"/>
      <w:r w:rsidRPr="00363664">
        <w:rPr>
          <w:rFonts w:ascii="Book Antiqua" w:hAnsi="Book Antiqua"/>
          <w:sz w:val="24"/>
          <w:szCs w:val="24"/>
          <w:lang w:val="es-ES_tradnl"/>
        </w:rPr>
        <w:t>VAr</w:t>
      </w:r>
      <w:proofErr w:type="spellEnd"/>
      <w:r w:rsidRPr="00363664">
        <w:rPr>
          <w:rFonts w:ascii="Book Antiqua" w:hAnsi="Book Antiqua"/>
          <w:sz w:val="24"/>
          <w:szCs w:val="24"/>
          <w:lang w:val="es-ES_tradnl"/>
        </w:rPr>
        <w:t>.</w:t>
      </w:r>
    </w:p>
    <w:p w14:paraId="43EEB6F9" w14:textId="77777777" w:rsidR="00B468D0" w:rsidRPr="00363664" w:rsidRDefault="00B468D0" w:rsidP="004D20E1">
      <w:pPr>
        <w:pStyle w:val="NormalWeb"/>
        <w:numPr>
          <w:ilvl w:val="1"/>
          <w:numId w:val="8"/>
        </w:numPr>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El efecto de limitar la exportación de energía solar sobre los créditos de medición neta, la recuperación de la inversión en sistemas solares y el cumplimiento de la política pública de energías renovables.</w:t>
      </w:r>
    </w:p>
    <w:p w14:paraId="6D434C9F" w14:textId="77777777" w:rsidR="0096683C" w:rsidRPr="00363664" w:rsidRDefault="00B468D0" w:rsidP="004D20E1">
      <w:pPr>
        <w:pStyle w:val="NormalWeb"/>
        <w:numPr>
          <w:ilvl w:val="1"/>
          <w:numId w:val="8"/>
        </w:numPr>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Las posibles alternativas regulatorias y de infraestructura que permitan atender los problemas de estabilidad sin afectar desproporcionadamente a los consumidores solares.</w:t>
      </w:r>
    </w:p>
    <w:p w14:paraId="078C6B51" w14:textId="22F3648B" w:rsidR="00B468D0" w:rsidRPr="00363664" w:rsidRDefault="00B468D0" w:rsidP="004D20E1">
      <w:pPr>
        <w:pStyle w:val="NormalWeb"/>
        <w:numPr>
          <w:ilvl w:val="1"/>
          <w:numId w:val="8"/>
        </w:numPr>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Las deficiencias operacionales y administrativas en la gestión de la red eléctrica que hayan contribuido a la necesidad de estas revisiones.</w:t>
      </w:r>
    </w:p>
    <w:p w14:paraId="296DDF01" w14:textId="77777777" w:rsidR="004E3857" w:rsidRPr="00363664" w:rsidRDefault="004E3857" w:rsidP="004D20E1">
      <w:pPr>
        <w:pStyle w:val="NormalWeb"/>
        <w:numPr>
          <w:ilvl w:val="1"/>
          <w:numId w:val="8"/>
        </w:numPr>
        <w:spacing w:before="0" w:beforeAutospacing="0" w:after="0" w:afterAutospacing="0" w:line="480" w:lineRule="auto"/>
        <w:rPr>
          <w:rFonts w:ascii="Book Antiqua" w:hAnsi="Book Antiqua"/>
          <w:sz w:val="24"/>
          <w:szCs w:val="24"/>
          <w:lang w:val="es-ES_tradnl"/>
        </w:rPr>
      </w:pPr>
      <w:r w:rsidRPr="00363664">
        <w:rPr>
          <w:rFonts w:ascii="Book Antiqua" w:hAnsi="Book Antiqua"/>
          <w:sz w:val="24"/>
          <w:szCs w:val="24"/>
          <w:lang w:val="es-ES_tradnl"/>
        </w:rPr>
        <w:t xml:space="preserve">Las consecuencias económicas y sociales para los hogares y negocios     afectados. </w:t>
      </w:r>
    </w:p>
    <w:p w14:paraId="36A9D45C" w14:textId="0FF7B11F" w:rsidR="00D22D5E" w:rsidRPr="00363664" w:rsidRDefault="004E3857" w:rsidP="004D20E1">
      <w:pPr>
        <w:pStyle w:val="NormalWeb"/>
        <w:numPr>
          <w:ilvl w:val="1"/>
          <w:numId w:val="8"/>
        </w:numPr>
        <w:spacing w:before="0" w:beforeAutospacing="0" w:after="0" w:afterAutospacing="0" w:line="480" w:lineRule="auto"/>
        <w:rPr>
          <w:rFonts w:ascii="Book Antiqua" w:hAnsi="Book Antiqua"/>
          <w:sz w:val="24"/>
          <w:szCs w:val="24"/>
          <w:lang w:val="es-ES_tradnl"/>
        </w:rPr>
      </w:pPr>
      <w:r w:rsidRPr="00363664">
        <w:rPr>
          <w:rFonts w:ascii="Book Antiqua" w:hAnsi="Book Antiqua"/>
          <w:sz w:val="24"/>
          <w:szCs w:val="24"/>
          <w:lang w:val="es-ES_tradnl"/>
        </w:rPr>
        <w:t>La frecuencia y duración de las interrupciones en el servicio eléctrico.</w:t>
      </w:r>
    </w:p>
    <w:p w14:paraId="2299A954" w14:textId="294F9C58" w:rsidR="00ED72CE" w:rsidRPr="00363664" w:rsidRDefault="0096683C" w:rsidP="004D20E1">
      <w:pPr>
        <w:pStyle w:val="NormalWeb"/>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 xml:space="preserve">     </w:t>
      </w:r>
      <w:r w:rsidR="004E3857" w:rsidRPr="00363664">
        <w:rPr>
          <w:rFonts w:ascii="Book Antiqua" w:hAnsi="Book Antiqua"/>
          <w:sz w:val="24"/>
          <w:szCs w:val="24"/>
          <w:lang w:val="es-ES_tradnl"/>
        </w:rPr>
        <w:t xml:space="preserve">Sección 3. La Comisión </w:t>
      </w:r>
      <w:r w:rsidR="008052EA" w:rsidRPr="00363664">
        <w:rPr>
          <w:rFonts w:ascii="Book Antiqua" w:hAnsi="Book Antiqua"/>
          <w:sz w:val="24"/>
          <w:szCs w:val="24"/>
          <w:lang w:val="es-ES_tradnl"/>
        </w:rPr>
        <w:t xml:space="preserve">citará a vistas públicas a representantes de </w:t>
      </w:r>
      <w:r w:rsidR="008052EA" w:rsidRPr="00363664">
        <w:rPr>
          <w:rFonts w:ascii="Book Antiqua" w:hAnsi="Book Antiqua"/>
          <w:bCs/>
          <w:sz w:val="24"/>
          <w:szCs w:val="24"/>
          <w:lang w:val="es-ES_tradnl"/>
        </w:rPr>
        <w:t xml:space="preserve">LUMA Energy, LLC y LUMA Energy </w:t>
      </w:r>
      <w:proofErr w:type="spellStart"/>
      <w:r w:rsidR="008052EA" w:rsidRPr="00363664">
        <w:rPr>
          <w:rFonts w:ascii="Book Antiqua" w:hAnsi="Book Antiqua"/>
          <w:bCs/>
          <w:sz w:val="24"/>
          <w:szCs w:val="24"/>
          <w:lang w:val="es-ES_tradnl"/>
        </w:rPr>
        <w:t>ServCo</w:t>
      </w:r>
      <w:proofErr w:type="spellEnd"/>
      <w:r w:rsidR="008052EA" w:rsidRPr="00363664">
        <w:rPr>
          <w:rFonts w:ascii="Book Antiqua" w:hAnsi="Book Antiqua"/>
          <w:bCs/>
          <w:sz w:val="24"/>
          <w:szCs w:val="24"/>
          <w:lang w:val="es-ES_tradnl"/>
        </w:rPr>
        <w:t>, LLC</w:t>
      </w:r>
      <w:r w:rsidR="008052EA" w:rsidRPr="00363664">
        <w:rPr>
          <w:rFonts w:ascii="Book Antiqua" w:hAnsi="Book Antiqua"/>
          <w:sz w:val="24"/>
          <w:szCs w:val="24"/>
          <w:lang w:val="es-ES_tradnl"/>
        </w:rPr>
        <w:t xml:space="preserve">, responsables de la operación y mantenimiento del sistema de transmisión y distribución; al </w:t>
      </w:r>
      <w:r w:rsidR="008052EA" w:rsidRPr="00363664">
        <w:rPr>
          <w:rFonts w:ascii="Book Antiqua" w:hAnsi="Book Antiqua"/>
          <w:bCs/>
          <w:sz w:val="24"/>
          <w:szCs w:val="24"/>
          <w:lang w:val="es-ES_tradnl"/>
        </w:rPr>
        <w:t>Negociado de Energía de Puerto Rico</w:t>
      </w:r>
      <w:r w:rsidR="008052EA" w:rsidRPr="00363664">
        <w:rPr>
          <w:rFonts w:ascii="Book Antiqua" w:hAnsi="Book Antiqua"/>
          <w:sz w:val="24"/>
          <w:szCs w:val="24"/>
          <w:lang w:val="es-ES_tradnl"/>
        </w:rPr>
        <w:t xml:space="preserve">, como ente regulador independiente del sistema eléctrico; a la </w:t>
      </w:r>
      <w:r w:rsidR="008052EA" w:rsidRPr="00363664">
        <w:rPr>
          <w:rFonts w:ascii="Book Antiqua" w:hAnsi="Book Antiqua"/>
          <w:bCs/>
          <w:sz w:val="24"/>
          <w:szCs w:val="24"/>
          <w:lang w:val="es-ES_tradnl"/>
        </w:rPr>
        <w:t>Oficina Independiente de Protección al Consumidor (OIPC)</w:t>
      </w:r>
      <w:r w:rsidR="008052EA" w:rsidRPr="00363664">
        <w:rPr>
          <w:rFonts w:ascii="Book Antiqua" w:hAnsi="Book Antiqua"/>
          <w:sz w:val="24"/>
          <w:szCs w:val="24"/>
          <w:lang w:val="es-ES_tradnl"/>
        </w:rPr>
        <w:t xml:space="preserve">, encargada de velar por los derechos de los abonados; a </w:t>
      </w:r>
      <w:r w:rsidR="008052EA" w:rsidRPr="00363664">
        <w:rPr>
          <w:rFonts w:ascii="Book Antiqua" w:hAnsi="Book Antiqua"/>
          <w:bCs/>
          <w:sz w:val="24"/>
          <w:szCs w:val="24"/>
          <w:lang w:val="es-ES_tradnl"/>
        </w:rPr>
        <w:t>Genera PR, LLC</w:t>
      </w:r>
      <w:r w:rsidR="008052EA" w:rsidRPr="00363664">
        <w:rPr>
          <w:rFonts w:ascii="Book Antiqua" w:hAnsi="Book Antiqua"/>
          <w:sz w:val="24"/>
          <w:szCs w:val="24"/>
          <w:lang w:val="es-ES_tradnl"/>
        </w:rPr>
        <w:t xml:space="preserve">, como operador de las plantas de generación de la Autoridad de Energía Eléctrica; y al </w:t>
      </w:r>
      <w:r w:rsidR="008052EA" w:rsidRPr="00363664">
        <w:rPr>
          <w:rFonts w:ascii="Book Antiqua" w:hAnsi="Book Antiqua"/>
          <w:bCs/>
          <w:sz w:val="24"/>
          <w:szCs w:val="24"/>
          <w:lang w:val="es-ES_tradnl"/>
        </w:rPr>
        <w:t>Director Ejecutivo de la Autoridad para las Alianzas Público-Privadas de Puerto Rico, en su carácter de Coordinador de la Política Pública Energética del Gobierno de Puerto Rico</w:t>
      </w:r>
      <w:r w:rsidR="008052EA" w:rsidRPr="00363664">
        <w:rPr>
          <w:rFonts w:ascii="Book Antiqua" w:hAnsi="Book Antiqua"/>
          <w:sz w:val="24"/>
          <w:szCs w:val="24"/>
          <w:lang w:val="es-ES_tradnl"/>
        </w:rPr>
        <w:t xml:space="preserve">, también conocido como el </w:t>
      </w:r>
      <w:r w:rsidR="008052EA" w:rsidRPr="00363664">
        <w:rPr>
          <w:rFonts w:ascii="Book Antiqua" w:hAnsi="Book Antiqua"/>
          <w:i/>
          <w:iCs/>
          <w:sz w:val="24"/>
          <w:szCs w:val="24"/>
          <w:lang w:val="es-ES_tradnl"/>
        </w:rPr>
        <w:t>Zar de Energía</w:t>
      </w:r>
      <w:r w:rsidR="00A16613">
        <w:rPr>
          <w:rFonts w:ascii="Book Antiqua" w:hAnsi="Book Antiqua"/>
          <w:sz w:val="24"/>
          <w:szCs w:val="24"/>
          <w:lang w:val="es-ES_tradnl"/>
        </w:rPr>
        <w:t>; con e</w:t>
      </w:r>
      <w:r w:rsidR="008052EA" w:rsidRPr="00363664">
        <w:rPr>
          <w:rFonts w:ascii="Book Antiqua" w:hAnsi="Book Antiqua"/>
          <w:sz w:val="24"/>
          <w:szCs w:val="24"/>
          <w:lang w:val="es-ES_tradnl"/>
        </w:rPr>
        <w:t xml:space="preserve">l propósito de recabar </w:t>
      </w:r>
      <w:r w:rsidR="008052EA" w:rsidRPr="00363664">
        <w:rPr>
          <w:rFonts w:ascii="Book Antiqua" w:hAnsi="Book Antiqua"/>
          <w:sz w:val="24"/>
          <w:szCs w:val="24"/>
          <w:lang w:val="es-ES_tradnl"/>
        </w:rPr>
        <w:lastRenderedPageBreak/>
        <w:t>información técnica, regulatoria y social pertinente, a fin de proponer soluciones justas, viables y efectivas que atiendan la controversia sobre las revisiones a las configuraciones de inversores inteligentes y su efecto en la medición neta.</w:t>
      </w:r>
    </w:p>
    <w:p w14:paraId="219EEC18" w14:textId="6FDC4699" w:rsidR="004E3857" w:rsidRPr="00363664" w:rsidRDefault="004E3857" w:rsidP="004D20E1">
      <w:pPr>
        <w:pStyle w:val="NormalWeb"/>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 xml:space="preserve">     Sección 4. La Comisión rendirá un informe con sus hallazgos, conclusiones y recomendaciones dentr</w:t>
      </w:r>
      <w:r w:rsidR="008052EA" w:rsidRPr="00363664">
        <w:rPr>
          <w:rFonts w:ascii="Book Antiqua" w:hAnsi="Book Antiqua"/>
          <w:sz w:val="24"/>
          <w:szCs w:val="24"/>
          <w:lang w:val="es-ES_tradnl"/>
        </w:rPr>
        <w:t xml:space="preserve">o de los próximos </w:t>
      </w:r>
      <w:r w:rsidR="00A16613">
        <w:rPr>
          <w:rFonts w:ascii="Book Antiqua" w:hAnsi="Book Antiqua"/>
          <w:sz w:val="24"/>
          <w:szCs w:val="24"/>
          <w:lang w:val="es-ES_tradnl"/>
        </w:rPr>
        <w:t>noventa</w:t>
      </w:r>
      <w:r w:rsidR="008052EA" w:rsidRPr="00363664">
        <w:rPr>
          <w:rFonts w:ascii="Book Antiqua" w:hAnsi="Book Antiqua"/>
          <w:sz w:val="24"/>
          <w:szCs w:val="24"/>
          <w:lang w:val="es-ES_tradnl"/>
        </w:rPr>
        <w:t xml:space="preserve"> (</w:t>
      </w:r>
      <w:r w:rsidR="00A16613">
        <w:rPr>
          <w:rFonts w:ascii="Book Antiqua" w:hAnsi="Book Antiqua"/>
          <w:sz w:val="24"/>
          <w:szCs w:val="24"/>
          <w:lang w:val="es-ES_tradnl"/>
        </w:rPr>
        <w:t>90</w:t>
      </w:r>
      <w:r w:rsidRPr="00363664">
        <w:rPr>
          <w:rFonts w:ascii="Book Antiqua" w:hAnsi="Book Antiqua"/>
          <w:sz w:val="24"/>
          <w:szCs w:val="24"/>
          <w:lang w:val="es-ES_tradnl"/>
        </w:rPr>
        <w:t>) días</w:t>
      </w:r>
      <w:r w:rsidR="00A16613">
        <w:rPr>
          <w:rFonts w:ascii="Book Antiqua" w:hAnsi="Book Antiqua"/>
          <w:sz w:val="24"/>
          <w:szCs w:val="24"/>
          <w:lang w:val="es-ES_tradnl"/>
        </w:rPr>
        <w:t>,</w:t>
      </w:r>
      <w:r w:rsidRPr="00363664">
        <w:rPr>
          <w:rFonts w:ascii="Book Antiqua" w:hAnsi="Book Antiqua"/>
          <w:sz w:val="24"/>
          <w:szCs w:val="24"/>
          <w:lang w:val="es-ES_tradnl"/>
        </w:rPr>
        <w:t xml:space="preserve"> contados a partir de la aprobación de esta Resolución.</w:t>
      </w:r>
    </w:p>
    <w:p w14:paraId="5DFBBEFB" w14:textId="057AA5F5" w:rsidR="00B25CCC" w:rsidRPr="00363664" w:rsidRDefault="004E3857" w:rsidP="004D20E1">
      <w:pPr>
        <w:pStyle w:val="NormalWeb"/>
        <w:spacing w:before="0" w:beforeAutospacing="0" w:after="0" w:afterAutospacing="0" w:line="480" w:lineRule="auto"/>
        <w:jc w:val="both"/>
        <w:rPr>
          <w:rFonts w:ascii="Book Antiqua" w:hAnsi="Book Antiqua"/>
          <w:sz w:val="24"/>
          <w:szCs w:val="24"/>
          <w:lang w:val="es-ES_tradnl"/>
        </w:rPr>
      </w:pPr>
      <w:r w:rsidRPr="00363664">
        <w:rPr>
          <w:rFonts w:ascii="Book Antiqua" w:hAnsi="Book Antiqua"/>
          <w:sz w:val="24"/>
          <w:szCs w:val="24"/>
          <w:lang w:val="es-ES_tradnl"/>
        </w:rPr>
        <w:t xml:space="preserve">     Sección 5. Esta Resolución comenzará a regir inmediatamente después de su aprobación.</w:t>
      </w:r>
      <w:r w:rsidR="001E0B56" w:rsidRPr="00363664">
        <w:rPr>
          <w:rFonts w:ascii="Book Antiqua" w:hAnsi="Book Antiqua"/>
          <w:lang w:val="es-ES_tradnl"/>
        </w:rPr>
        <w:t xml:space="preserve"> </w:t>
      </w:r>
    </w:p>
    <w:sectPr w:rsidR="00B25CCC" w:rsidRPr="00363664"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2051B" w14:textId="77777777" w:rsidR="00FC00F2" w:rsidRDefault="00FC00F2">
      <w:r>
        <w:separator/>
      </w:r>
    </w:p>
  </w:endnote>
  <w:endnote w:type="continuationSeparator" w:id="0">
    <w:p w14:paraId="2E765F30" w14:textId="77777777" w:rsidR="00FC00F2" w:rsidRDefault="00FC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3A2B70" w:rsidRDefault="003A2B70">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3A2B70" w:rsidRDefault="003A2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3A2B70" w:rsidRDefault="003A2B70">
    <w:pPr>
      <w:pStyle w:val="Footer"/>
      <w:framePr w:wrap="around" w:vAnchor="text" w:hAnchor="margin" w:xAlign="right" w:y="1"/>
      <w:rPr>
        <w:rStyle w:val="PageNumber"/>
        <w:rFonts w:eastAsiaTheme="majorEastAsia"/>
      </w:rPr>
    </w:pPr>
  </w:p>
  <w:p w14:paraId="4F836377" w14:textId="77777777" w:rsidR="003A2B70" w:rsidRDefault="003A2B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7AC7C" w14:textId="77777777" w:rsidR="00FC00F2" w:rsidRDefault="00FC00F2">
      <w:r>
        <w:separator/>
      </w:r>
    </w:p>
  </w:footnote>
  <w:footnote w:type="continuationSeparator" w:id="0">
    <w:p w14:paraId="6BA6601C" w14:textId="77777777" w:rsidR="00FC00F2" w:rsidRDefault="00FC00F2">
      <w:r>
        <w:continuationSeparator/>
      </w:r>
    </w:p>
  </w:footnote>
  <w:footnote w:id="1">
    <w:p w14:paraId="31884458" w14:textId="2B5461F5" w:rsidR="003A2B70" w:rsidRDefault="003A2B70">
      <w:pPr>
        <w:pStyle w:val="FootnoteText"/>
        <w:rPr>
          <w:sz w:val="20"/>
          <w:szCs w:val="20"/>
          <w:lang w:val="es-ES_tradnl"/>
        </w:rPr>
      </w:pPr>
      <w:r>
        <w:rPr>
          <w:rStyle w:val="FootnoteReference"/>
        </w:rPr>
        <w:footnoteRef/>
      </w:r>
      <w:r>
        <w:rPr>
          <w:rFonts w:ascii="Book Antiqua" w:hAnsi="Book Antiqua"/>
          <w:sz w:val="20"/>
          <w:lang w:val="es-ES_tradnl"/>
        </w:rPr>
        <w:t xml:space="preserve">  </w:t>
      </w:r>
      <w:hyperlink r:id="rId1" w:history="1">
        <w:r w:rsidRPr="00963B29">
          <w:rPr>
            <w:rStyle w:val="Hyperlink"/>
            <w:rFonts w:ascii="Book Antiqua" w:hAnsi="Book Antiqua"/>
            <w:sz w:val="20"/>
            <w:lang w:val="es-ES_tradnl"/>
          </w:rPr>
          <w:t>https://drive.google.com/file/d/18Kyk3T5Q24B7Gea5ovEjHNt5x2_ak6EO/view?usp=sharing</w:t>
        </w:r>
      </w:hyperlink>
    </w:p>
    <w:p w14:paraId="472F9295" w14:textId="77777777" w:rsidR="003A2B70" w:rsidRPr="00963B29" w:rsidRDefault="003A2B70">
      <w:pPr>
        <w:pStyle w:val="FootnoteText"/>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3A2B70" w:rsidRDefault="003A2B70">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3A2B70" w:rsidRDefault="003A2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3A2B70" w:rsidRPr="00072A94" w:rsidRDefault="003A2B70">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013F65">
      <w:rPr>
        <w:rFonts w:ascii="Book Antiqua" w:hAnsi="Book Antiqua"/>
        <w:noProof/>
        <w:szCs w:val="18"/>
      </w:rPr>
      <w:t>2</w:t>
    </w:r>
    <w:r w:rsidRPr="00072A94">
      <w:rPr>
        <w:rFonts w:ascii="Book Antiqua" w:hAnsi="Book Antiqua"/>
        <w:szCs w:val="18"/>
      </w:rPr>
      <w:fldChar w:fldCharType="end"/>
    </w:r>
  </w:p>
  <w:p w14:paraId="252F6C8A" w14:textId="77777777" w:rsidR="003A2B70" w:rsidRDefault="003A2B70"/>
  <w:p w14:paraId="2763B849" w14:textId="77777777" w:rsidR="003A2B70" w:rsidRDefault="003A2B70">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3A2B70" w:rsidRDefault="003A2B70">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363664">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17E89"/>
    <w:multiLevelType w:val="multilevel"/>
    <w:tmpl w:val="EA241348"/>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467EC1"/>
    <w:multiLevelType w:val="multilevel"/>
    <w:tmpl w:val="F56E0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9635066">
    <w:abstractNumId w:val="3"/>
  </w:num>
  <w:num w:numId="2" w16cid:durableId="1911427072">
    <w:abstractNumId w:val="7"/>
  </w:num>
  <w:num w:numId="3" w16cid:durableId="1582135248">
    <w:abstractNumId w:val="5"/>
  </w:num>
  <w:num w:numId="4" w16cid:durableId="570118931">
    <w:abstractNumId w:val="6"/>
  </w:num>
  <w:num w:numId="5" w16cid:durableId="772167962">
    <w:abstractNumId w:val="4"/>
  </w:num>
  <w:num w:numId="6" w16cid:durableId="384916878">
    <w:abstractNumId w:val="1"/>
  </w:num>
  <w:num w:numId="7" w16cid:durableId="751926841">
    <w:abstractNumId w:val="2"/>
  </w:num>
  <w:num w:numId="8" w16cid:durableId="1002202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13F65"/>
    <w:rsid w:val="000203EB"/>
    <w:rsid w:val="0012567D"/>
    <w:rsid w:val="00133D04"/>
    <w:rsid w:val="001C1789"/>
    <w:rsid w:val="001E0B56"/>
    <w:rsid w:val="002131DA"/>
    <w:rsid w:val="0026407E"/>
    <w:rsid w:val="00273FE9"/>
    <w:rsid w:val="00306752"/>
    <w:rsid w:val="003448B8"/>
    <w:rsid w:val="00363664"/>
    <w:rsid w:val="003A2B70"/>
    <w:rsid w:val="003C18F6"/>
    <w:rsid w:val="00483DC2"/>
    <w:rsid w:val="004D20E1"/>
    <w:rsid w:val="004E3857"/>
    <w:rsid w:val="0054382A"/>
    <w:rsid w:val="005F64EE"/>
    <w:rsid w:val="00607459"/>
    <w:rsid w:val="006A258D"/>
    <w:rsid w:val="006B0B56"/>
    <w:rsid w:val="007E78F3"/>
    <w:rsid w:val="00802A70"/>
    <w:rsid w:val="008052EA"/>
    <w:rsid w:val="008B2C1D"/>
    <w:rsid w:val="00923CD4"/>
    <w:rsid w:val="0094176B"/>
    <w:rsid w:val="00963B29"/>
    <w:rsid w:val="0096683C"/>
    <w:rsid w:val="009A6FAB"/>
    <w:rsid w:val="00A16613"/>
    <w:rsid w:val="00AE4E88"/>
    <w:rsid w:val="00B2053E"/>
    <w:rsid w:val="00B25CCC"/>
    <w:rsid w:val="00B468D0"/>
    <w:rsid w:val="00C0034D"/>
    <w:rsid w:val="00C253DB"/>
    <w:rsid w:val="00C31211"/>
    <w:rsid w:val="00D22D5E"/>
    <w:rsid w:val="00D468DB"/>
    <w:rsid w:val="00D47B7B"/>
    <w:rsid w:val="00D51B6E"/>
    <w:rsid w:val="00D52F9A"/>
    <w:rsid w:val="00D7108F"/>
    <w:rsid w:val="00D93074"/>
    <w:rsid w:val="00D96357"/>
    <w:rsid w:val="00D97F9A"/>
    <w:rsid w:val="00DE7452"/>
    <w:rsid w:val="00DF7E9B"/>
    <w:rsid w:val="00E27C36"/>
    <w:rsid w:val="00E46269"/>
    <w:rsid w:val="00E911C3"/>
    <w:rsid w:val="00EC3925"/>
    <w:rsid w:val="00ED72CE"/>
    <w:rsid w:val="00F03CC7"/>
    <w:rsid w:val="00FC00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34EB5C7A-5B65-44AD-9684-0149450BE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 w:type="character" w:styleId="Emphasis">
    <w:name w:val="Emphasis"/>
    <w:basedOn w:val="DefaultParagraphFont"/>
    <w:uiPriority w:val="20"/>
    <w:qFormat/>
    <w:rsid w:val="00B2053E"/>
    <w:rPr>
      <w:i/>
      <w:iCs/>
    </w:rPr>
  </w:style>
  <w:style w:type="character" w:customStyle="1" w:styleId="relative">
    <w:name w:val="relative"/>
    <w:basedOn w:val="DefaultParagraphFont"/>
    <w:rsid w:val="00B2053E"/>
  </w:style>
  <w:style w:type="character" w:customStyle="1" w:styleId="ms-1">
    <w:name w:val="ms-1"/>
    <w:basedOn w:val="DefaultParagraphFont"/>
    <w:rsid w:val="00B2053E"/>
  </w:style>
  <w:style w:type="character" w:customStyle="1" w:styleId="max-w-full">
    <w:name w:val="max-w-full"/>
    <w:basedOn w:val="DefaultParagraphFont"/>
    <w:rsid w:val="00B2053E"/>
  </w:style>
  <w:style w:type="character" w:customStyle="1" w:styleId="-me-1">
    <w:name w:val="-me-1"/>
    <w:basedOn w:val="DefaultParagraphFont"/>
    <w:rsid w:val="00B2053E"/>
  </w:style>
  <w:style w:type="character" w:styleId="FollowedHyperlink">
    <w:name w:val="FollowedHyperlink"/>
    <w:basedOn w:val="DefaultParagraphFont"/>
    <w:uiPriority w:val="99"/>
    <w:semiHidden/>
    <w:unhideWhenUsed/>
    <w:rsid w:val="00963B2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6669">
      <w:bodyDiv w:val="1"/>
      <w:marLeft w:val="0"/>
      <w:marRight w:val="0"/>
      <w:marTop w:val="0"/>
      <w:marBottom w:val="0"/>
      <w:divBdr>
        <w:top w:val="none" w:sz="0" w:space="0" w:color="auto"/>
        <w:left w:val="none" w:sz="0" w:space="0" w:color="auto"/>
        <w:bottom w:val="none" w:sz="0" w:space="0" w:color="auto"/>
        <w:right w:val="none" w:sz="0" w:space="0" w:color="auto"/>
      </w:divBdr>
    </w:div>
    <w:div w:id="102117514">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494876727">
      <w:bodyDiv w:val="1"/>
      <w:marLeft w:val="0"/>
      <w:marRight w:val="0"/>
      <w:marTop w:val="0"/>
      <w:marBottom w:val="0"/>
      <w:divBdr>
        <w:top w:val="none" w:sz="0" w:space="0" w:color="auto"/>
        <w:left w:val="none" w:sz="0" w:space="0" w:color="auto"/>
        <w:bottom w:val="none" w:sz="0" w:space="0" w:color="auto"/>
        <w:right w:val="none" w:sz="0" w:space="0" w:color="auto"/>
      </w:divBdr>
    </w:div>
    <w:div w:id="526866785">
      <w:bodyDiv w:val="1"/>
      <w:marLeft w:val="0"/>
      <w:marRight w:val="0"/>
      <w:marTop w:val="0"/>
      <w:marBottom w:val="0"/>
      <w:divBdr>
        <w:top w:val="none" w:sz="0" w:space="0" w:color="auto"/>
        <w:left w:val="none" w:sz="0" w:space="0" w:color="auto"/>
        <w:bottom w:val="none" w:sz="0" w:space="0" w:color="auto"/>
        <w:right w:val="none" w:sz="0" w:space="0" w:color="auto"/>
      </w:divBdr>
    </w:div>
    <w:div w:id="564145355">
      <w:bodyDiv w:val="1"/>
      <w:marLeft w:val="0"/>
      <w:marRight w:val="0"/>
      <w:marTop w:val="0"/>
      <w:marBottom w:val="0"/>
      <w:divBdr>
        <w:top w:val="none" w:sz="0" w:space="0" w:color="auto"/>
        <w:left w:val="none" w:sz="0" w:space="0" w:color="auto"/>
        <w:bottom w:val="none" w:sz="0" w:space="0" w:color="auto"/>
        <w:right w:val="none" w:sz="0" w:space="0" w:color="auto"/>
      </w:divBdr>
    </w:div>
    <w:div w:id="641665665">
      <w:bodyDiv w:val="1"/>
      <w:marLeft w:val="0"/>
      <w:marRight w:val="0"/>
      <w:marTop w:val="0"/>
      <w:marBottom w:val="0"/>
      <w:divBdr>
        <w:top w:val="none" w:sz="0" w:space="0" w:color="auto"/>
        <w:left w:val="none" w:sz="0" w:space="0" w:color="auto"/>
        <w:bottom w:val="none" w:sz="0" w:space="0" w:color="auto"/>
        <w:right w:val="none" w:sz="0" w:space="0" w:color="auto"/>
      </w:divBdr>
    </w:div>
    <w:div w:id="678776110">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08230777">
      <w:bodyDiv w:val="1"/>
      <w:marLeft w:val="0"/>
      <w:marRight w:val="0"/>
      <w:marTop w:val="0"/>
      <w:marBottom w:val="0"/>
      <w:divBdr>
        <w:top w:val="none" w:sz="0" w:space="0" w:color="auto"/>
        <w:left w:val="none" w:sz="0" w:space="0" w:color="auto"/>
        <w:bottom w:val="none" w:sz="0" w:space="0" w:color="auto"/>
        <w:right w:val="none" w:sz="0" w:space="0" w:color="auto"/>
      </w:divBdr>
    </w:div>
    <w:div w:id="1116558134">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68805519">
      <w:bodyDiv w:val="1"/>
      <w:marLeft w:val="0"/>
      <w:marRight w:val="0"/>
      <w:marTop w:val="0"/>
      <w:marBottom w:val="0"/>
      <w:divBdr>
        <w:top w:val="none" w:sz="0" w:space="0" w:color="auto"/>
        <w:left w:val="none" w:sz="0" w:space="0" w:color="auto"/>
        <w:bottom w:val="none" w:sz="0" w:space="0" w:color="auto"/>
        <w:right w:val="none" w:sz="0" w:space="0" w:color="auto"/>
      </w:divBdr>
    </w:div>
    <w:div w:id="1288312773">
      <w:bodyDiv w:val="1"/>
      <w:marLeft w:val="0"/>
      <w:marRight w:val="0"/>
      <w:marTop w:val="0"/>
      <w:marBottom w:val="0"/>
      <w:divBdr>
        <w:top w:val="none" w:sz="0" w:space="0" w:color="auto"/>
        <w:left w:val="none" w:sz="0" w:space="0" w:color="auto"/>
        <w:bottom w:val="none" w:sz="0" w:space="0" w:color="auto"/>
        <w:right w:val="none" w:sz="0" w:space="0" w:color="auto"/>
      </w:divBdr>
    </w:div>
    <w:div w:id="1326666822">
      <w:bodyDiv w:val="1"/>
      <w:marLeft w:val="0"/>
      <w:marRight w:val="0"/>
      <w:marTop w:val="0"/>
      <w:marBottom w:val="0"/>
      <w:divBdr>
        <w:top w:val="none" w:sz="0" w:space="0" w:color="auto"/>
        <w:left w:val="none" w:sz="0" w:space="0" w:color="auto"/>
        <w:bottom w:val="none" w:sz="0" w:space="0" w:color="auto"/>
        <w:right w:val="none" w:sz="0" w:space="0" w:color="auto"/>
      </w:divBdr>
    </w:div>
    <w:div w:id="1411461662">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788546869">
      <w:bodyDiv w:val="1"/>
      <w:marLeft w:val="0"/>
      <w:marRight w:val="0"/>
      <w:marTop w:val="0"/>
      <w:marBottom w:val="0"/>
      <w:divBdr>
        <w:top w:val="none" w:sz="0" w:space="0" w:color="auto"/>
        <w:left w:val="none" w:sz="0" w:space="0" w:color="auto"/>
        <w:bottom w:val="none" w:sz="0" w:space="0" w:color="auto"/>
        <w:right w:val="none" w:sz="0" w:space="0" w:color="auto"/>
      </w:divBdr>
    </w:div>
    <w:div w:id="1921255979">
      <w:bodyDiv w:val="1"/>
      <w:marLeft w:val="0"/>
      <w:marRight w:val="0"/>
      <w:marTop w:val="0"/>
      <w:marBottom w:val="0"/>
      <w:divBdr>
        <w:top w:val="none" w:sz="0" w:space="0" w:color="auto"/>
        <w:left w:val="none" w:sz="0" w:space="0" w:color="auto"/>
        <w:bottom w:val="none" w:sz="0" w:space="0" w:color="auto"/>
        <w:right w:val="none" w:sz="0" w:space="0" w:color="auto"/>
      </w:divBdr>
    </w:div>
    <w:div w:id="1952979149">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18Kyk3T5Q24B7Gea5ovEjHNt5x2_ak6EO/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Gladys J. Burgos Torres</cp:lastModifiedBy>
  <cp:revision>4</cp:revision>
  <cp:lastPrinted>2025-01-11T02:17:00Z</cp:lastPrinted>
  <dcterms:created xsi:type="dcterms:W3CDTF">2025-08-26T20:40:00Z</dcterms:created>
  <dcterms:modified xsi:type="dcterms:W3CDTF">2025-08-27T12:59:00Z</dcterms:modified>
</cp:coreProperties>
</file>