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74C49440"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C577BB">
        <w:rPr>
          <w:rFonts w:ascii="Book Antiqua" w:eastAsia="Book Antiqua" w:hAnsi="Book Antiqua" w:cs="Book Antiqua"/>
        </w:rPr>
        <w:t>2</w:t>
      </w:r>
      <w:r w:rsidR="00C577BB">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0DA18665" w:rsidR="003867AC" w:rsidRPr="00700566" w:rsidRDefault="0085373F">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C. de la C. </w:t>
      </w:r>
      <w:r w:rsidR="00E308E7">
        <w:rPr>
          <w:rFonts w:ascii="Book Antiqua" w:eastAsia="Book Antiqua" w:hAnsi="Book Antiqua" w:cs="Book Antiqua"/>
          <w:b/>
          <w:sz w:val="52"/>
          <w:szCs w:val="52"/>
        </w:rPr>
        <w:t>1</w:t>
      </w:r>
      <w:r w:rsidR="00961ACD">
        <w:rPr>
          <w:rFonts w:ascii="Book Antiqua" w:eastAsia="Book Antiqua" w:hAnsi="Book Antiqua" w:cs="Book Antiqua"/>
          <w:b/>
          <w:sz w:val="52"/>
          <w:szCs w:val="52"/>
        </w:rPr>
        <w:t>84</w:t>
      </w:r>
    </w:p>
    <w:p w14:paraId="00000008" w14:textId="77777777"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00000009" w14:textId="0BD7FF70" w:rsidR="003867AC" w:rsidRPr="00700566" w:rsidRDefault="00D81951">
      <w:pPr>
        <w:spacing w:line="360" w:lineRule="auto"/>
        <w:jc w:val="center"/>
        <w:rPr>
          <w:rFonts w:ascii="Book Antiqua" w:eastAsia="Book Antiqua" w:hAnsi="Book Antiqua" w:cs="Book Antiqua"/>
          <w:b/>
        </w:rPr>
      </w:pPr>
      <w:r>
        <w:rPr>
          <w:rFonts w:ascii="Book Antiqua" w:eastAsia="Book Antiqua" w:hAnsi="Book Antiqua" w:cs="Book Antiqua"/>
        </w:rPr>
        <w:t>3</w:t>
      </w:r>
      <w:r w:rsidR="0085373F" w:rsidRPr="00700566">
        <w:rPr>
          <w:rFonts w:ascii="Book Antiqua" w:eastAsia="Book Antiqua" w:hAnsi="Book Antiqua" w:cs="Book Antiqua"/>
        </w:rPr>
        <w:t xml:space="preserve"> de </w:t>
      </w:r>
      <w:r w:rsidR="00961ACD">
        <w:rPr>
          <w:rFonts w:ascii="Book Antiqua" w:eastAsia="Book Antiqua" w:hAnsi="Book Antiqua" w:cs="Book Antiqua"/>
        </w:rPr>
        <w:t>octubre</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48415583" w14:textId="4335B8DC" w:rsidR="009A5A17" w:rsidRPr="00D52A5D" w:rsidRDefault="0085373F" w:rsidP="00D52A5D">
      <w:pPr>
        <w:ind w:firstLine="720"/>
        <w:jc w:val="both"/>
        <w:rPr>
          <w:rFonts w:ascii="Book Antiqua" w:eastAsia="Book Antiqua" w:hAnsi="Book Antiqua" w:cs="Book Antiqua"/>
          <w:color w:val="000000" w:themeColor="text1"/>
        </w:rPr>
      </w:pPr>
      <w:r w:rsidRPr="006212C5">
        <w:rPr>
          <w:rFonts w:ascii="Book Antiqua" w:eastAsia="Book Antiqua" w:hAnsi="Book Antiqua" w:cs="Book Antiqua"/>
          <w:color w:val="000000" w:themeColor="text1"/>
        </w:rPr>
        <w:t xml:space="preserve">La Comisión de Transportación e Infraestructura de la Cámara de Representantes del Gobierno de Puerto Rico, previo estudio y consideración del R. C. de la C. </w:t>
      </w:r>
      <w:r w:rsidR="004C1B5A" w:rsidRPr="006212C5">
        <w:rPr>
          <w:rFonts w:ascii="Book Antiqua" w:eastAsia="Book Antiqua" w:hAnsi="Book Antiqua" w:cs="Book Antiqua"/>
          <w:color w:val="000000" w:themeColor="text1"/>
        </w:rPr>
        <w:t xml:space="preserve">Núm. </w:t>
      </w:r>
      <w:r w:rsidR="00E308E7">
        <w:rPr>
          <w:rFonts w:ascii="Book Antiqua" w:eastAsia="Book Antiqua" w:hAnsi="Book Antiqua" w:cs="Book Antiqua"/>
          <w:color w:val="000000" w:themeColor="text1"/>
        </w:rPr>
        <w:t>1</w:t>
      </w:r>
      <w:r w:rsidR="00961ACD">
        <w:rPr>
          <w:rFonts w:ascii="Book Antiqua" w:eastAsia="Book Antiqua" w:hAnsi="Book Antiqua" w:cs="Book Antiqua"/>
          <w:color w:val="000000" w:themeColor="text1"/>
        </w:rPr>
        <w:t>84</w:t>
      </w:r>
      <w:r w:rsidRPr="006212C5">
        <w:rPr>
          <w:rFonts w:ascii="Book Antiqua" w:eastAsia="Book Antiqua" w:hAnsi="Book Antiqua" w:cs="Book Antiqua"/>
          <w:color w:val="000000" w:themeColor="text1"/>
        </w:rPr>
        <w:t xml:space="preserve">, tiene a bien recomendar a este Alto Cuerpo </w:t>
      </w:r>
      <w:r w:rsidR="00142992" w:rsidRPr="006212C5">
        <w:rPr>
          <w:rFonts w:ascii="Book Antiqua" w:eastAsia="Book Antiqua" w:hAnsi="Book Antiqua" w:cs="Book Antiqua"/>
          <w:color w:val="000000" w:themeColor="text1"/>
        </w:rPr>
        <w:t>su</w:t>
      </w:r>
      <w:r w:rsidRPr="006212C5">
        <w:rPr>
          <w:rFonts w:ascii="Book Antiqua" w:eastAsia="Book Antiqua" w:hAnsi="Book Antiqua" w:cs="Book Antiqua"/>
          <w:color w:val="000000" w:themeColor="text1"/>
        </w:rPr>
        <w:t xml:space="preserve"> aprobación</w:t>
      </w:r>
      <w:r w:rsidR="00142992" w:rsidRPr="006212C5">
        <w:rPr>
          <w:rFonts w:ascii="Book Antiqua" w:eastAsia="Book Antiqua" w:hAnsi="Book Antiqua" w:cs="Book Antiqua"/>
          <w:color w:val="000000" w:themeColor="text1"/>
        </w:rPr>
        <w:t>,</w:t>
      </w:r>
      <w:r w:rsidRPr="006212C5">
        <w:rPr>
          <w:rFonts w:ascii="Book Antiqua" w:eastAsia="Book Antiqua" w:hAnsi="Book Antiqua" w:cs="Book Antiqua"/>
          <w:color w:val="000000" w:themeColor="text1"/>
        </w:rPr>
        <w:t xml:space="preserve"> con</w:t>
      </w:r>
      <w:r w:rsidR="00142992" w:rsidRPr="006212C5">
        <w:rPr>
          <w:rFonts w:ascii="Book Antiqua" w:eastAsia="Book Antiqua" w:hAnsi="Book Antiqua" w:cs="Book Antiqua"/>
          <w:color w:val="000000" w:themeColor="text1"/>
        </w:rPr>
        <w:t xml:space="preserve"> las</w:t>
      </w:r>
      <w:r w:rsidRPr="006212C5">
        <w:rPr>
          <w:rFonts w:ascii="Book Antiqua" w:eastAsia="Book Antiqua" w:hAnsi="Book Antiqua" w:cs="Book Antiqua"/>
          <w:color w:val="000000" w:themeColor="text1"/>
        </w:rPr>
        <w:t xml:space="preserve"> enmiendas</w:t>
      </w:r>
      <w:r w:rsidR="00142992" w:rsidRPr="006212C5">
        <w:rPr>
          <w:rFonts w:ascii="Book Antiqua" w:eastAsia="Book Antiqua" w:hAnsi="Book Antiqua" w:cs="Book Antiqua"/>
          <w:color w:val="000000" w:themeColor="text1"/>
        </w:rPr>
        <w:t xml:space="preserve"> incluidas en el </w:t>
      </w:r>
      <w:proofErr w:type="spellStart"/>
      <w:r w:rsidR="00142992" w:rsidRPr="006212C5">
        <w:rPr>
          <w:rFonts w:ascii="Book Antiqua" w:eastAsia="Book Antiqua" w:hAnsi="Book Antiqua" w:cs="Book Antiqua"/>
          <w:color w:val="000000" w:themeColor="text1"/>
        </w:rPr>
        <w:t>entirillado</w:t>
      </w:r>
      <w:proofErr w:type="spellEnd"/>
      <w:r w:rsidR="00142992" w:rsidRPr="006212C5">
        <w:rPr>
          <w:rFonts w:ascii="Book Antiqua" w:eastAsia="Book Antiqua" w:hAnsi="Book Antiqua" w:cs="Book Antiqua"/>
          <w:color w:val="000000" w:themeColor="text1"/>
        </w:rPr>
        <w:t xml:space="preserve"> electrónico que se acompaña</w:t>
      </w:r>
      <w:r w:rsidRPr="006212C5">
        <w:rPr>
          <w:rFonts w:ascii="Book Antiqua" w:eastAsia="Book Antiqua" w:hAnsi="Book Antiqua" w:cs="Book Antiqua"/>
          <w:color w:val="000000" w:themeColor="text1"/>
        </w:rPr>
        <w:t xml:space="preserve">. </w:t>
      </w:r>
    </w:p>
    <w:p w14:paraId="0000000E" w14:textId="77777777" w:rsidR="003867AC" w:rsidRPr="006212C5" w:rsidRDefault="003867AC">
      <w:pPr>
        <w:rPr>
          <w:rFonts w:ascii="Book Antiqua" w:eastAsia="Book Antiqua" w:hAnsi="Book Antiqua" w:cs="Book Antiqua"/>
          <w:b/>
          <w:color w:val="000000" w:themeColor="text1"/>
          <w:sz w:val="32"/>
          <w:szCs w:val="32"/>
        </w:rPr>
      </w:pPr>
    </w:p>
    <w:p w14:paraId="0000000F" w14:textId="77777777" w:rsidR="003867AC" w:rsidRPr="006212C5" w:rsidRDefault="0085373F">
      <w:pPr>
        <w:jc w:val="center"/>
        <w:rPr>
          <w:rFonts w:ascii="Book Antiqua" w:eastAsia="Book Antiqua" w:hAnsi="Book Antiqua" w:cs="Book Antiqua"/>
          <w:b/>
          <w:color w:val="000000" w:themeColor="text1"/>
        </w:rPr>
      </w:pPr>
      <w:r w:rsidRPr="006212C5">
        <w:rPr>
          <w:rFonts w:ascii="Book Antiqua" w:eastAsia="Book Antiqua" w:hAnsi="Book Antiqua" w:cs="Book Antiqua"/>
          <w:b/>
          <w:color w:val="000000" w:themeColor="text1"/>
        </w:rPr>
        <w:t>ALCANCE DE LA MEDIDA</w:t>
      </w:r>
    </w:p>
    <w:p w14:paraId="00000010" w14:textId="77777777" w:rsidR="003867AC" w:rsidRPr="006212C5" w:rsidRDefault="003867AC">
      <w:pPr>
        <w:jc w:val="both"/>
        <w:rPr>
          <w:rFonts w:ascii="Book Antiqua" w:eastAsia="Book Antiqua" w:hAnsi="Book Antiqua" w:cs="Book Antiqua"/>
          <w:color w:val="000000" w:themeColor="text1"/>
        </w:rPr>
      </w:pPr>
    </w:p>
    <w:p w14:paraId="2CA80995" w14:textId="731FD38E" w:rsidR="00DE74F9" w:rsidRDefault="0085373F" w:rsidP="00FC7C96">
      <w:pPr>
        <w:ind w:firstLine="720"/>
        <w:jc w:val="both"/>
        <w:rPr>
          <w:rFonts w:ascii="Book Antiqua" w:eastAsia="Book Antiqua" w:hAnsi="Book Antiqua" w:cs="Book Antiqua"/>
          <w:color w:val="000000" w:themeColor="text1"/>
          <w:szCs w:val="24"/>
          <w:lang w:val="es-PR"/>
        </w:rPr>
      </w:pPr>
      <w:bookmarkStart w:id="0" w:name="_heading=h.gjdgxs" w:colFirst="0" w:colLast="0"/>
      <w:bookmarkEnd w:id="0"/>
      <w:r w:rsidRPr="00B90788">
        <w:rPr>
          <w:rFonts w:ascii="Book Antiqua" w:eastAsia="Book Antiqua" w:hAnsi="Book Antiqua" w:cs="Book Antiqua"/>
          <w:color w:val="000000" w:themeColor="text1"/>
          <w:szCs w:val="24"/>
        </w:rPr>
        <w:t xml:space="preserve">La Resolución Conjunta de la Cámara </w:t>
      </w:r>
      <w:r w:rsidR="004C1B5A" w:rsidRPr="00B90788">
        <w:rPr>
          <w:rFonts w:ascii="Book Antiqua" w:eastAsia="Book Antiqua" w:hAnsi="Book Antiqua" w:cs="Book Antiqua"/>
          <w:color w:val="000000" w:themeColor="text1"/>
          <w:szCs w:val="24"/>
        </w:rPr>
        <w:t xml:space="preserve">Núm. </w:t>
      </w:r>
      <w:r w:rsidR="00E308E7">
        <w:rPr>
          <w:rFonts w:ascii="Book Antiqua" w:eastAsia="Book Antiqua" w:hAnsi="Book Antiqua" w:cs="Book Antiqua"/>
          <w:color w:val="000000" w:themeColor="text1"/>
          <w:szCs w:val="24"/>
        </w:rPr>
        <w:t>1</w:t>
      </w:r>
      <w:r w:rsidR="00F21710">
        <w:rPr>
          <w:rFonts w:ascii="Book Antiqua" w:eastAsia="Book Antiqua" w:hAnsi="Book Antiqua" w:cs="Book Antiqua"/>
          <w:color w:val="000000" w:themeColor="text1"/>
          <w:szCs w:val="24"/>
        </w:rPr>
        <w:t>84</w:t>
      </w:r>
      <w:r w:rsidRPr="00B90788">
        <w:rPr>
          <w:rFonts w:ascii="Book Antiqua" w:eastAsia="Book Antiqua" w:hAnsi="Book Antiqua" w:cs="Book Antiqua"/>
          <w:color w:val="000000" w:themeColor="text1"/>
          <w:szCs w:val="24"/>
        </w:rPr>
        <w:t xml:space="preserve"> propone</w:t>
      </w:r>
      <w:r w:rsidR="0025299B" w:rsidRPr="00B90788">
        <w:rPr>
          <w:rFonts w:ascii="Book Antiqua" w:eastAsia="Book Antiqua" w:hAnsi="Book Antiqua" w:cs="Book Antiqua"/>
          <w:color w:val="000000" w:themeColor="text1"/>
          <w:szCs w:val="24"/>
          <w:lang w:val="es-PR"/>
        </w:rPr>
        <w:t xml:space="preserve"> </w:t>
      </w:r>
      <w:r w:rsidR="00FC7C96" w:rsidRPr="00FC7C96">
        <w:rPr>
          <w:rFonts w:ascii="Book Antiqua" w:eastAsia="Book Antiqua" w:hAnsi="Book Antiqua" w:cs="Book Antiqua"/>
          <w:color w:val="000000" w:themeColor="text1"/>
          <w:szCs w:val="24"/>
          <w:lang w:val="es-PR"/>
        </w:rPr>
        <w:t xml:space="preserve">ordenar a la Autoridad de Transporte Integrado (ATI) a autorizar y coordinar con el Salón de la Fama del Deporte </w:t>
      </w:r>
      <w:proofErr w:type="spellStart"/>
      <w:r w:rsidR="00FC7C96" w:rsidRPr="00FC7C96">
        <w:rPr>
          <w:rFonts w:ascii="Book Antiqua" w:eastAsia="Book Antiqua" w:hAnsi="Book Antiqua" w:cs="Book Antiqua"/>
          <w:color w:val="000000" w:themeColor="text1"/>
          <w:szCs w:val="24"/>
          <w:lang w:val="es-PR"/>
        </w:rPr>
        <w:t>Riopedrense</w:t>
      </w:r>
      <w:proofErr w:type="spellEnd"/>
      <w:r w:rsidR="00FC7C96" w:rsidRPr="00FC7C96">
        <w:rPr>
          <w:rFonts w:ascii="Book Antiqua" w:eastAsia="Book Antiqua" w:hAnsi="Book Antiqua" w:cs="Book Antiqua"/>
          <w:color w:val="000000" w:themeColor="text1"/>
          <w:szCs w:val="24"/>
          <w:lang w:val="es-PR"/>
        </w:rPr>
        <w:t xml:space="preserve"> la instalación de un mosaico en la estación Río Piedras del Tren Urbano. </w:t>
      </w:r>
    </w:p>
    <w:p w14:paraId="05B70035" w14:textId="77777777" w:rsidR="00DE74F9" w:rsidRDefault="00DE74F9" w:rsidP="00FC7C96">
      <w:pPr>
        <w:ind w:firstLine="720"/>
        <w:jc w:val="both"/>
        <w:rPr>
          <w:rFonts w:ascii="Book Antiqua" w:eastAsia="Book Antiqua" w:hAnsi="Book Antiqua" w:cs="Book Antiqua"/>
          <w:color w:val="000000" w:themeColor="text1"/>
          <w:szCs w:val="24"/>
          <w:lang w:val="es-PR"/>
        </w:rPr>
      </w:pPr>
    </w:p>
    <w:p w14:paraId="2C8C876B" w14:textId="77777777" w:rsidR="00DE74F9" w:rsidRPr="00DE74F9" w:rsidRDefault="00DE74F9" w:rsidP="00DE74F9">
      <w:pPr>
        <w:ind w:firstLine="720"/>
        <w:jc w:val="both"/>
        <w:rPr>
          <w:rFonts w:ascii="Book Antiqua" w:eastAsia="Book Antiqua" w:hAnsi="Book Antiqua" w:cs="Book Antiqua"/>
          <w:color w:val="000000" w:themeColor="text1"/>
          <w:szCs w:val="24"/>
          <w:lang w:val="es-PR"/>
        </w:rPr>
      </w:pPr>
      <w:r w:rsidRPr="00DE74F9">
        <w:rPr>
          <w:rFonts w:ascii="Book Antiqua" w:eastAsia="Book Antiqua" w:hAnsi="Book Antiqua" w:cs="Book Antiqua"/>
          <w:color w:val="000000" w:themeColor="text1"/>
          <w:szCs w:val="24"/>
          <w:lang w:val="es-PR"/>
        </w:rPr>
        <w:t>Según la exposición de motivos de la medida, el baloncesto ha sido uno de los deportes de mayor arraigo en Puerto Rico, forjando generaciones de atletas y contribuyendo al orgullo nacional. En este contexto, se resalta la figura de Juan “Johnny” Báez Marín (1935–2022) como uno de los pioneros más destacados, cuya disciplina y talento lo llevaron desde sus inicios en Río Piedras y la Universidad de Puerto Rico hasta brillar en el Baloncesto Superior Nacional con los Cardenales de Río Piedras, donde alcanzó campeonatos y fue reconocido como Jugador Más Valioso.</w:t>
      </w:r>
    </w:p>
    <w:p w14:paraId="2633E6AB" w14:textId="77777777" w:rsidR="00DE74F9" w:rsidRPr="00DE74F9" w:rsidRDefault="00DE74F9" w:rsidP="00DE74F9">
      <w:pPr>
        <w:ind w:firstLine="720"/>
        <w:jc w:val="both"/>
        <w:rPr>
          <w:rFonts w:ascii="Book Antiqua" w:eastAsia="Book Antiqua" w:hAnsi="Book Antiqua" w:cs="Book Antiqua"/>
          <w:color w:val="000000" w:themeColor="text1"/>
          <w:szCs w:val="24"/>
          <w:lang w:val="es-PR"/>
        </w:rPr>
      </w:pPr>
    </w:p>
    <w:p w14:paraId="1608AD0E" w14:textId="7453B2D4" w:rsidR="00DE74F9" w:rsidRPr="00DE74F9" w:rsidRDefault="00DE74F9" w:rsidP="000056CC">
      <w:pPr>
        <w:ind w:firstLine="720"/>
        <w:jc w:val="both"/>
        <w:rPr>
          <w:rFonts w:ascii="Book Antiqua" w:eastAsia="Book Antiqua" w:hAnsi="Book Antiqua" w:cs="Book Antiqua"/>
          <w:color w:val="000000" w:themeColor="text1"/>
          <w:szCs w:val="24"/>
          <w:lang w:val="es-PR"/>
        </w:rPr>
      </w:pPr>
      <w:r w:rsidRPr="00DE74F9">
        <w:rPr>
          <w:rFonts w:ascii="Book Antiqua" w:eastAsia="Book Antiqua" w:hAnsi="Book Antiqua" w:cs="Book Antiqua"/>
          <w:color w:val="000000" w:themeColor="text1"/>
          <w:szCs w:val="24"/>
          <w:lang w:val="es-PR"/>
        </w:rPr>
        <w:t>Se subraya que Johnny Báez trascendió nuestras fronteras al convertirse en uno de los primeros puertorriqueños en jugar en el baloncesto europeo con el Real Madrid de España, donde conquistó títulos y se ganó el respeto de la realeza española. Asimismo, representó a Puerto Rico en los Juegos Centroamericanos y del Caribe y en los Juegos Panamericanos, consolidándose como embajador del deporte puertorriqueño y abriendo puertas a futuras generaciones de atletas que seguirían sus pasos.</w:t>
      </w:r>
    </w:p>
    <w:p w14:paraId="65E39D18" w14:textId="77777777" w:rsidR="00DE74F9" w:rsidRPr="00DE74F9" w:rsidRDefault="00DE74F9" w:rsidP="00DE74F9">
      <w:pPr>
        <w:ind w:firstLine="720"/>
        <w:jc w:val="both"/>
        <w:rPr>
          <w:rFonts w:ascii="Book Antiqua" w:eastAsia="Book Antiqua" w:hAnsi="Book Antiqua" w:cs="Book Antiqua"/>
          <w:color w:val="000000" w:themeColor="text1"/>
          <w:szCs w:val="24"/>
          <w:lang w:val="es-PR"/>
        </w:rPr>
      </w:pPr>
      <w:r w:rsidRPr="00DE74F9">
        <w:rPr>
          <w:rFonts w:ascii="Book Antiqua" w:eastAsia="Book Antiqua" w:hAnsi="Book Antiqua" w:cs="Book Antiqua"/>
          <w:color w:val="000000" w:themeColor="text1"/>
          <w:szCs w:val="24"/>
          <w:lang w:val="es-PR"/>
        </w:rPr>
        <w:lastRenderedPageBreak/>
        <w:t xml:space="preserve">Finalmente, la exposición de motivos destaca que más allá de sus logros deportivos, Johnny Báez fue un modelo de humildad, esfuerzo y compromiso con la juventud. Por ello, se dispone la instalación de un mosaico en la estación Río Piedras del Tren Urbano, en coordinación con el Salón de la Fama del Deporte </w:t>
      </w:r>
      <w:proofErr w:type="spellStart"/>
      <w:r w:rsidRPr="00DE74F9">
        <w:rPr>
          <w:rFonts w:ascii="Book Antiqua" w:eastAsia="Book Antiqua" w:hAnsi="Book Antiqua" w:cs="Book Antiqua"/>
          <w:color w:val="000000" w:themeColor="text1"/>
          <w:szCs w:val="24"/>
          <w:lang w:val="es-PR"/>
        </w:rPr>
        <w:t>Riopedrense</w:t>
      </w:r>
      <w:proofErr w:type="spellEnd"/>
      <w:r w:rsidRPr="00DE74F9">
        <w:rPr>
          <w:rFonts w:ascii="Book Antiqua" w:eastAsia="Book Antiqua" w:hAnsi="Book Antiqua" w:cs="Book Antiqua"/>
          <w:color w:val="000000" w:themeColor="text1"/>
          <w:szCs w:val="24"/>
          <w:lang w:val="es-PR"/>
        </w:rPr>
        <w:t>, como un reconocimiento permanente a su legado. Este homenaje busca preservar su memoria y fortalecer la identidad cultural y deportiva de Puerto Rico.</w:t>
      </w:r>
    </w:p>
    <w:p w14:paraId="715A6225" w14:textId="180A5743" w:rsidR="00D52A5D" w:rsidRPr="00D1092C" w:rsidRDefault="00D52A5D" w:rsidP="00FC7C96">
      <w:pPr>
        <w:ind w:firstLine="720"/>
        <w:jc w:val="both"/>
        <w:rPr>
          <w:rFonts w:ascii="Book Antiqua" w:eastAsia="Book Antiqua" w:hAnsi="Book Antiqua" w:cs="Book Antiqua"/>
          <w:color w:val="000000" w:themeColor="text1"/>
          <w:szCs w:val="24"/>
          <w:lang w:val="es-PR"/>
        </w:rPr>
      </w:pPr>
    </w:p>
    <w:p w14:paraId="247ED566" w14:textId="77777777" w:rsidR="00517E2C" w:rsidRDefault="00517E2C" w:rsidP="00D52A5D">
      <w:pPr>
        <w:rPr>
          <w:rFonts w:ascii="Book Antiqua" w:eastAsia="Book Antiqua" w:hAnsi="Book Antiqua" w:cs="Book Antiqua"/>
          <w:b/>
          <w:color w:val="000000" w:themeColor="text1"/>
        </w:rPr>
      </w:pPr>
      <w:bookmarkStart w:id="1" w:name="_heading=h.e6qhsm21qw78" w:colFirst="0" w:colLast="0"/>
      <w:bookmarkStart w:id="2" w:name="_heading=h.a8588rv6uhcj" w:colFirst="0" w:colLast="0"/>
      <w:bookmarkEnd w:id="1"/>
      <w:bookmarkEnd w:id="2"/>
    </w:p>
    <w:p w14:paraId="0000001B" w14:textId="30C8DACE" w:rsidR="003867AC" w:rsidRPr="00371165" w:rsidRDefault="0085373F" w:rsidP="00371165">
      <w:pPr>
        <w:jc w:val="center"/>
        <w:rPr>
          <w:rFonts w:ascii="Book Antiqua" w:eastAsia="Helvetica Neue" w:hAnsi="Book Antiqua" w:cs="Helvetica Neue"/>
          <w:color w:val="000000" w:themeColor="text1"/>
          <w:szCs w:val="24"/>
        </w:rPr>
      </w:pPr>
      <w:r w:rsidRPr="006212C5">
        <w:rPr>
          <w:rFonts w:ascii="Book Antiqua" w:eastAsia="Book Antiqua" w:hAnsi="Book Antiqua" w:cs="Book Antiqua"/>
          <w:b/>
          <w:color w:val="000000" w:themeColor="text1"/>
        </w:rPr>
        <w:t>ANÁLISIS DE LA MEDIDA</w:t>
      </w:r>
    </w:p>
    <w:p w14:paraId="0000001C" w14:textId="77777777" w:rsidR="003867AC" w:rsidRPr="006212C5" w:rsidRDefault="003867AC">
      <w:pPr>
        <w:jc w:val="both"/>
        <w:rPr>
          <w:rFonts w:ascii="Book Antiqua" w:eastAsia="Book Antiqua" w:hAnsi="Book Antiqua" w:cs="Book Antiqua"/>
          <w:color w:val="000000" w:themeColor="text1"/>
        </w:rPr>
      </w:pPr>
    </w:p>
    <w:p w14:paraId="349FE512" w14:textId="3568499E" w:rsidR="004C1B5A" w:rsidRDefault="00DC6066" w:rsidP="00DC6066">
      <w:pPr>
        <w:ind w:firstLine="720"/>
        <w:jc w:val="both"/>
        <w:rPr>
          <w:rFonts w:ascii="Book Antiqua" w:hAnsi="Book Antiqua"/>
          <w:color w:val="000000" w:themeColor="text1"/>
        </w:rPr>
      </w:pPr>
      <w:r>
        <w:rPr>
          <w:rFonts w:ascii="Book Antiqua" w:eastAsia="Book Antiqua" w:hAnsi="Book Antiqua" w:cs="Book Antiqua"/>
        </w:rPr>
        <w:t>L</w:t>
      </w:r>
      <w:r w:rsidRPr="00CB31ED">
        <w:rPr>
          <w:rFonts w:ascii="Book Antiqua" w:eastAsia="Book Antiqua" w:hAnsi="Book Antiqua" w:cs="Book Antiqua"/>
        </w:rPr>
        <w:t>a Comisión de Transportación e Infraestructura para la debida consideración y estudio de</w:t>
      </w:r>
      <w:r>
        <w:rPr>
          <w:rFonts w:ascii="Book Antiqua" w:eastAsia="Book Antiqua" w:hAnsi="Book Antiqua" w:cs="Book Antiqua"/>
        </w:rPr>
        <w:t xml:space="preserve"> la Resolución Conjunta</w:t>
      </w:r>
      <w:r w:rsidRPr="00CB31ED">
        <w:rPr>
          <w:rFonts w:ascii="Book Antiqua" w:eastAsia="Book Antiqua" w:hAnsi="Book Antiqua" w:cs="Book Antiqua"/>
        </w:rPr>
        <w:t xml:space="preserve"> de la Cámara Núm. </w:t>
      </w:r>
      <w:r w:rsidR="00976D08">
        <w:rPr>
          <w:rFonts w:ascii="Book Antiqua" w:eastAsia="Book Antiqua" w:hAnsi="Book Antiqua" w:cs="Book Antiqua"/>
        </w:rPr>
        <w:t>1</w:t>
      </w:r>
      <w:r w:rsidR="000056CC">
        <w:rPr>
          <w:rFonts w:ascii="Book Antiqua" w:eastAsia="Book Antiqua" w:hAnsi="Book Antiqua" w:cs="Book Antiqua"/>
        </w:rPr>
        <w:t>84</w:t>
      </w:r>
      <w:r w:rsidRPr="00CB31ED">
        <w:rPr>
          <w:rFonts w:ascii="Book Antiqua" w:eastAsia="Book Antiqua" w:hAnsi="Book Antiqua" w:cs="Book Antiqua"/>
        </w:rPr>
        <w:t>,</w:t>
      </w:r>
      <w:r>
        <w:rPr>
          <w:rFonts w:ascii="Book Antiqua" w:eastAsia="Book Antiqua" w:hAnsi="Book Antiqua" w:cs="Book Antiqua"/>
        </w:rPr>
        <w:t xml:space="preserve"> </w:t>
      </w:r>
      <w:r w:rsidR="001740BA">
        <w:rPr>
          <w:rFonts w:ascii="Book Antiqua" w:eastAsia="Book Antiqua" w:hAnsi="Book Antiqua" w:cs="Book Antiqua"/>
        </w:rPr>
        <w:t>solicitó</w:t>
      </w:r>
      <w:r>
        <w:rPr>
          <w:rFonts w:ascii="Book Antiqua" w:eastAsia="Book Antiqua" w:hAnsi="Book Antiqua" w:cs="Book Antiqua"/>
        </w:rPr>
        <w:t xml:space="preserve"> memorial explicativo</w:t>
      </w:r>
      <w:r w:rsidR="00EC70DA">
        <w:rPr>
          <w:rFonts w:ascii="Book Antiqua" w:eastAsia="Book Antiqua" w:hAnsi="Book Antiqua" w:cs="Book Antiqua"/>
        </w:rPr>
        <w:t xml:space="preserve"> </w:t>
      </w:r>
      <w:r w:rsidR="008E0700">
        <w:rPr>
          <w:rFonts w:ascii="Book Antiqua" w:eastAsia="Book Antiqua" w:hAnsi="Book Antiqua" w:cs="Book Antiqua"/>
        </w:rPr>
        <w:t>a</w:t>
      </w:r>
      <w:r w:rsidR="000056CC">
        <w:rPr>
          <w:rFonts w:ascii="Book Antiqua" w:eastAsia="Book Antiqua" w:hAnsi="Book Antiqua" w:cs="Book Antiqua"/>
        </w:rPr>
        <w:t xml:space="preserve"> la </w:t>
      </w:r>
      <w:r w:rsidR="00ED44F1">
        <w:rPr>
          <w:rFonts w:ascii="Book Antiqua" w:eastAsia="Book Antiqua" w:hAnsi="Book Antiqua" w:cs="Book Antiqua"/>
        </w:rPr>
        <w:t>Autoridad</w:t>
      </w:r>
      <w:r w:rsidR="000056CC">
        <w:rPr>
          <w:rFonts w:ascii="Book Antiqua" w:eastAsia="Book Antiqua" w:hAnsi="Book Antiqua" w:cs="Book Antiqua"/>
        </w:rPr>
        <w:t xml:space="preserve"> </w:t>
      </w:r>
      <w:r w:rsidR="00ED44F1">
        <w:rPr>
          <w:rFonts w:ascii="Book Antiqua" w:eastAsia="Book Antiqua" w:hAnsi="Book Antiqua" w:cs="Book Antiqua"/>
        </w:rPr>
        <w:t>de Transporte Integrado (ATI)</w:t>
      </w:r>
    </w:p>
    <w:p w14:paraId="2D35DCA3" w14:textId="77777777" w:rsidR="00DC6066" w:rsidRDefault="00DC6066" w:rsidP="00DC6066">
      <w:pPr>
        <w:ind w:firstLine="720"/>
        <w:jc w:val="both"/>
        <w:rPr>
          <w:rFonts w:ascii="Book Antiqua" w:hAnsi="Book Antiqua"/>
          <w:color w:val="000000" w:themeColor="text1"/>
        </w:rPr>
      </w:pPr>
    </w:p>
    <w:p w14:paraId="685FF5D4" w14:textId="77777777" w:rsidR="008E0700" w:rsidRDefault="00DC6066" w:rsidP="00DC6066">
      <w:pPr>
        <w:rPr>
          <w:rFonts w:ascii="Book Antiqua" w:hAnsi="Book Antiqua"/>
          <w:b/>
          <w:bCs/>
          <w:color w:val="000000" w:themeColor="text1"/>
        </w:rPr>
      </w:pPr>
      <w:r>
        <w:rPr>
          <w:rFonts w:ascii="Book Antiqua" w:hAnsi="Book Antiqua"/>
          <w:b/>
          <w:bCs/>
          <w:color w:val="000000" w:themeColor="text1"/>
        </w:rPr>
        <w:t xml:space="preserve">                                    </w:t>
      </w:r>
      <w:r w:rsidR="00F841A9">
        <w:rPr>
          <w:rFonts w:ascii="Book Antiqua" w:hAnsi="Book Antiqua"/>
          <w:b/>
          <w:bCs/>
          <w:color w:val="000000" w:themeColor="text1"/>
        </w:rPr>
        <w:t xml:space="preserve">        </w:t>
      </w:r>
      <w:bookmarkStart w:id="3" w:name="_Hlk196743090"/>
    </w:p>
    <w:bookmarkEnd w:id="3"/>
    <w:p w14:paraId="3C15A384" w14:textId="4C068818" w:rsidR="00DC6066" w:rsidRDefault="00134FAB" w:rsidP="00074381">
      <w:pPr>
        <w:jc w:val="center"/>
        <w:rPr>
          <w:rFonts w:ascii="Book Antiqua" w:hAnsi="Book Antiqua"/>
          <w:b/>
          <w:bCs/>
          <w:color w:val="000000" w:themeColor="text1"/>
          <w:u w:val="single"/>
        </w:rPr>
      </w:pPr>
      <w:r>
        <w:rPr>
          <w:rFonts w:ascii="Book Antiqua" w:hAnsi="Book Antiqua"/>
          <w:b/>
          <w:bCs/>
          <w:color w:val="000000" w:themeColor="text1"/>
          <w:u w:val="single"/>
        </w:rPr>
        <w:t>Autoridad de Transporte Integrado (ATI)</w:t>
      </w:r>
      <w:r w:rsidR="00074381" w:rsidRPr="00074381">
        <w:rPr>
          <w:rFonts w:ascii="Book Antiqua" w:hAnsi="Book Antiqua"/>
          <w:b/>
          <w:bCs/>
          <w:color w:val="000000" w:themeColor="text1"/>
          <w:u w:val="single"/>
        </w:rPr>
        <w:t xml:space="preserve"> </w:t>
      </w:r>
    </w:p>
    <w:p w14:paraId="6CAAC805" w14:textId="77777777" w:rsidR="00074381" w:rsidRPr="00074381" w:rsidRDefault="00074381" w:rsidP="00074381">
      <w:pPr>
        <w:jc w:val="center"/>
        <w:rPr>
          <w:rFonts w:ascii="Book Antiqua" w:hAnsi="Book Antiqua"/>
          <w:b/>
          <w:bCs/>
          <w:color w:val="000000" w:themeColor="text1"/>
          <w:u w:val="single"/>
        </w:rPr>
      </w:pPr>
    </w:p>
    <w:p w14:paraId="131856CA" w14:textId="77777777" w:rsidR="00B037B5" w:rsidRPr="00B037B5" w:rsidRDefault="007E0FCE" w:rsidP="00B037B5">
      <w:pPr>
        <w:jc w:val="both"/>
        <w:rPr>
          <w:rFonts w:ascii="Book Antiqua" w:hAnsi="Book Antiqua"/>
          <w:color w:val="000000" w:themeColor="text1"/>
          <w:lang w:val="es-PR"/>
        </w:rPr>
      </w:pPr>
      <w:r>
        <w:rPr>
          <w:rFonts w:ascii="Book Antiqua" w:hAnsi="Book Antiqua"/>
          <w:color w:val="000000" w:themeColor="text1"/>
        </w:rPr>
        <w:tab/>
      </w:r>
      <w:r w:rsidR="00B037B5" w:rsidRPr="00B037B5">
        <w:rPr>
          <w:rFonts w:ascii="Book Antiqua" w:hAnsi="Book Antiqua"/>
          <w:color w:val="000000" w:themeColor="text1"/>
          <w:lang w:val="es-PR"/>
        </w:rPr>
        <w:t xml:space="preserve">La Autoridad de Transporte Integrado (ATI), creada mediante la Ley 123-2014, tiene la encomienda de integrar los sistemas de transportación colectiva en Puerto Rico, incluyendo el Tren Urbano, la Autoridad Metropolitana de Autobuses y la Autoridad de Transporte Marítimo. En cumplimiento con su misión institucional, </w:t>
      </w:r>
      <w:r w:rsidR="00B037B5" w:rsidRPr="00B037B5">
        <w:rPr>
          <w:rFonts w:ascii="Book Antiqua" w:hAnsi="Book Antiqua"/>
          <w:b/>
          <w:bCs/>
          <w:color w:val="000000" w:themeColor="text1"/>
          <w:lang w:val="es-PR"/>
        </w:rPr>
        <w:t>la ATI manifestó no tener reparos en que se apruebe esta medida</w:t>
      </w:r>
      <w:r w:rsidR="00B037B5" w:rsidRPr="00B037B5">
        <w:rPr>
          <w:rFonts w:ascii="Book Antiqua" w:hAnsi="Book Antiqua"/>
          <w:color w:val="000000" w:themeColor="text1"/>
          <w:lang w:val="es-PR"/>
        </w:rPr>
        <w:t>, siempre sujeto a la obtención de los fondos necesarios para cubrir los costos asociados al proyecto.</w:t>
      </w:r>
    </w:p>
    <w:p w14:paraId="27C64B17" w14:textId="77777777" w:rsidR="00B037B5" w:rsidRPr="00B037B5" w:rsidRDefault="00B037B5" w:rsidP="00B037B5">
      <w:pPr>
        <w:jc w:val="both"/>
        <w:rPr>
          <w:rFonts w:ascii="Book Antiqua" w:hAnsi="Book Antiqua"/>
          <w:color w:val="000000" w:themeColor="text1"/>
          <w:lang w:val="es-PR"/>
        </w:rPr>
      </w:pPr>
    </w:p>
    <w:p w14:paraId="7D3B84AC" w14:textId="77777777" w:rsidR="00B037B5" w:rsidRPr="00B037B5" w:rsidRDefault="00B037B5" w:rsidP="00B037B5">
      <w:pPr>
        <w:ind w:firstLine="720"/>
        <w:jc w:val="both"/>
        <w:rPr>
          <w:rFonts w:ascii="Book Antiqua" w:hAnsi="Book Antiqua"/>
          <w:color w:val="000000" w:themeColor="text1"/>
          <w:lang w:val="es-PR"/>
        </w:rPr>
      </w:pPr>
      <w:r w:rsidRPr="00B037B5">
        <w:rPr>
          <w:rFonts w:ascii="Book Antiqua" w:hAnsi="Book Antiqua"/>
          <w:color w:val="000000" w:themeColor="text1"/>
          <w:lang w:val="es-PR"/>
        </w:rPr>
        <w:t>En su memorial, la ATI reconoce que esta resolución conjunta no solo atiende un reclamo cultural, sino que también fomenta el desarrollo académico y social, al rendir homenaje a una de las figuras más emblemáticas del deporte puertorriqueño. La instalación del mosaico contribuirá a preservar el legado de Johnny Báez y a inspirar a la juventud desde un espacio de alto valor histórico y comunitario.</w:t>
      </w:r>
    </w:p>
    <w:p w14:paraId="30291CC5" w14:textId="6F5DBA16" w:rsidR="00F5452D" w:rsidRPr="00F5452D" w:rsidRDefault="00F5452D" w:rsidP="00B037B5">
      <w:pPr>
        <w:jc w:val="both"/>
        <w:rPr>
          <w:rFonts w:ascii="Book Antiqua" w:hAnsi="Book Antiqua"/>
          <w:color w:val="000000" w:themeColor="text1"/>
          <w:lang w:val="es-PR"/>
        </w:rPr>
      </w:pPr>
    </w:p>
    <w:p w14:paraId="1DEF7D2C" w14:textId="6FE863BE" w:rsidR="006D5E63" w:rsidRDefault="00E06F78" w:rsidP="00B037B5">
      <w:pPr>
        <w:jc w:val="both"/>
        <w:rPr>
          <w:rFonts w:ascii="Book Antiqua" w:hAnsi="Book Antiqua"/>
          <w:color w:val="000000" w:themeColor="text1"/>
          <w:lang w:val="es-PR"/>
        </w:rPr>
      </w:pPr>
      <w:r w:rsidRPr="00E06F78">
        <w:rPr>
          <w:rFonts w:ascii="Book Antiqua" w:hAnsi="Book Antiqua"/>
          <w:color w:val="000000" w:themeColor="text1"/>
          <w:lang w:val="es-PR"/>
        </w:rPr>
        <w:t xml:space="preserve"> </w:t>
      </w:r>
    </w:p>
    <w:p w14:paraId="24EF73C5" w14:textId="77777777" w:rsidR="006D5E63" w:rsidRPr="00500BFE" w:rsidRDefault="006D5E63" w:rsidP="006D5E63">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11391E64" w14:textId="77777777" w:rsidR="006D5E63" w:rsidRPr="00E135D5" w:rsidRDefault="006D5E63" w:rsidP="006D5E63">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574FA34A" w14:textId="77777777" w:rsidR="006D5E63" w:rsidRPr="00E135D5" w:rsidRDefault="006D5E63" w:rsidP="006D5E63">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62107EFA" w14:textId="77777777" w:rsidR="006D5E63" w:rsidRPr="00DA2B1C" w:rsidRDefault="006D5E63" w:rsidP="006D5E63">
      <w:pPr>
        <w:jc w:val="both"/>
        <w:rPr>
          <w:rFonts w:ascii="Book Antiqua" w:hAnsi="Book Antiqua"/>
          <w:color w:val="000000" w:themeColor="text1"/>
          <w:lang w:val="es-PR"/>
        </w:rPr>
      </w:pPr>
    </w:p>
    <w:p w14:paraId="0E0F4F0E" w14:textId="081A4CC9" w:rsidR="006D110C" w:rsidRPr="006D5E63" w:rsidRDefault="006D110C" w:rsidP="006D5E63">
      <w:pPr>
        <w:jc w:val="both"/>
        <w:rPr>
          <w:rFonts w:ascii="Book Antiqua" w:hAnsi="Book Antiqua"/>
          <w:color w:val="000000" w:themeColor="text1"/>
          <w:lang w:val="es-PR"/>
        </w:rPr>
      </w:pPr>
    </w:p>
    <w:p w14:paraId="00000021" w14:textId="6AE27E2C"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CONCLUSIÓN</w:t>
      </w:r>
    </w:p>
    <w:p w14:paraId="37151745" w14:textId="77777777" w:rsidR="00F86041" w:rsidRDefault="00F86041" w:rsidP="00F86041">
      <w:pPr>
        <w:jc w:val="both"/>
        <w:rPr>
          <w:rFonts w:ascii="Book Antiqua" w:eastAsia="Book Antiqua" w:hAnsi="Book Antiqua" w:cs="Book Antiqua"/>
        </w:rPr>
      </w:pPr>
      <w:r>
        <w:rPr>
          <w:rFonts w:ascii="Book Antiqua" w:eastAsia="Book Antiqua" w:hAnsi="Book Antiqua" w:cs="Book Antiqua"/>
        </w:rPr>
        <w:tab/>
      </w:r>
    </w:p>
    <w:p w14:paraId="18C6050B" w14:textId="76E8D59C" w:rsidR="00CA4854" w:rsidRPr="00CA4854" w:rsidRDefault="00987C5A" w:rsidP="00CA4854">
      <w:pPr>
        <w:ind w:firstLine="720"/>
        <w:jc w:val="both"/>
        <w:rPr>
          <w:rFonts w:ascii="Book Antiqua" w:eastAsia="Book Antiqua" w:hAnsi="Book Antiqua" w:cs="Book Antiqua"/>
          <w:lang w:val="es-PR"/>
        </w:rPr>
      </w:pPr>
      <w:r w:rsidRPr="00987C5A">
        <w:rPr>
          <w:rFonts w:ascii="Book Antiqua" w:eastAsia="Book Antiqua" w:hAnsi="Book Antiqua" w:cs="Book Antiqua"/>
        </w:rPr>
        <w:t xml:space="preserve">La Comisión de Transportación e Infraestructura, </w:t>
      </w:r>
      <w:r w:rsidR="0038221B">
        <w:rPr>
          <w:rFonts w:ascii="Book Antiqua" w:eastAsia="Book Antiqua" w:hAnsi="Book Antiqua" w:cs="Book Antiqua"/>
          <w:lang w:val="es-PR"/>
        </w:rPr>
        <w:t>l</w:t>
      </w:r>
      <w:r w:rsidR="0038221B" w:rsidRPr="0038221B">
        <w:rPr>
          <w:rFonts w:ascii="Book Antiqua" w:eastAsia="Book Antiqua" w:hAnsi="Book Antiqua" w:cs="Book Antiqua"/>
          <w:lang w:val="es-PR"/>
        </w:rPr>
        <w:t xml:space="preserve">uego de evaluar los argumentos presentados en la Exposición de Motivos, así como el memorial explicativo sometido por </w:t>
      </w:r>
      <w:r w:rsidR="0051555B">
        <w:rPr>
          <w:rFonts w:ascii="Book Antiqua" w:eastAsia="Book Antiqua" w:hAnsi="Book Antiqua" w:cs="Book Antiqua"/>
          <w:lang w:val="es-PR"/>
        </w:rPr>
        <w:lastRenderedPageBreak/>
        <w:t>la Autoridad de Transporte Integrado</w:t>
      </w:r>
      <w:r w:rsidR="0038221B" w:rsidRPr="0038221B">
        <w:rPr>
          <w:rFonts w:ascii="Book Antiqua" w:eastAsia="Book Antiqua" w:hAnsi="Book Antiqua" w:cs="Book Antiqua"/>
          <w:lang w:val="es-PR"/>
        </w:rPr>
        <w:t xml:space="preserve">, </w:t>
      </w:r>
      <w:r w:rsidR="00BA39A1" w:rsidRPr="00BA39A1">
        <w:rPr>
          <w:rFonts w:ascii="Book Antiqua" w:eastAsia="Book Antiqua" w:hAnsi="Book Antiqua" w:cs="Book Antiqua"/>
        </w:rPr>
        <w:t xml:space="preserve">esta Comisión </w:t>
      </w:r>
      <w:r w:rsidR="00CA4854" w:rsidRPr="00CA4854">
        <w:rPr>
          <w:rFonts w:ascii="Book Antiqua" w:eastAsia="Book Antiqua" w:hAnsi="Book Antiqua" w:cs="Book Antiqua"/>
          <w:lang w:val="es-PR"/>
        </w:rPr>
        <w:t>entiende que la aprobación de esta Resolución Conjunta es meritoria, pues reconoce y exalta la memoria de un atleta que enalteció a Puerto Rico en escenarios nacionales e internacionales. Asimismo, fomenta la conservación de la historia deportiva del país, fortaleciendo la identidad cultural y nacional.</w:t>
      </w:r>
    </w:p>
    <w:p w14:paraId="5744C945" w14:textId="216112BE" w:rsidR="009B476A" w:rsidRPr="004F1783" w:rsidRDefault="009B476A" w:rsidP="00CA4854">
      <w:pPr>
        <w:jc w:val="both"/>
        <w:rPr>
          <w:rFonts w:ascii="Book Antiqua" w:eastAsia="Book Antiqua" w:hAnsi="Book Antiqua" w:cs="Book Antiqua"/>
          <w:lang w:val="es-PR"/>
        </w:rPr>
      </w:pPr>
    </w:p>
    <w:p w14:paraId="00000025" w14:textId="6C513458" w:rsidR="003867AC" w:rsidRPr="00700566" w:rsidRDefault="0085373F" w:rsidP="00BA39A1">
      <w:pPr>
        <w:ind w:firstLine="720"/>
        <w:jc w:val="both"/>
        <w:rPr>
          <w:rFonts w:ascii="Book Antiqua" w:eastAsia="Book Antiqua" w:hAnsi="Book Antiqua" w:cs="Book Antiqua"/>
        </w:rPr>
      </w:pPr>
      <w:r w:rsidRPr="00700566">
        <w:rPr>
          <w:rFonts w:ascii="Book Antiqua" w:eastAsia="Book Antiqua" w:hAnsi="Book Antiqua" w:cs="Book Antiqua"/>
        </w:rPr>
        <w:t>Por los fundamentos antes expuestos, la Comisión de Transportación e Infraestructura, somete el presente Informe Positivo</w:t>
      </w:r>
      <w:r w:rsidR="00785D01">
        <w:rPr>
          <w:rFonts w:ascii="Book Antiqua" w:eastAsia="Book Antiqua" w:hAnsi="Book Antiqua" w:cs="Book Antiqua"/>
        </w:rPr>
        <w:t xml:space="preserve"> de la Resolución Conjunta de la Cámara Núm. </w:t>
      </w:r>
      <w:r w:rsidR="004F1783">
        <w:rPr>
          <w:rFonts w:ascii="Book Antiqua" w:eastAsia="Book Antiqua" w:hAnsi="Book Antiqua" w:cs="Book Antiqua"/>
        </w:rPr>
        <w:t>1</w:t>
      </w:r>
      <w:r w:rsidR="00CA4854">
        <w:rPr>
          <w:rFonts w:ascii="Book Antiqua" w:eastAsia="Book Antiqua" w:hAnsi="Book Antiqua" w:cs="Book Antiqua"/>
        </w:rPr>
        <w:t>84</w:t>
      </w:r>
      <w:r w:rsidRPr="00700566">
        <w:rPr>
          <w:rFonts w:ascii="Book Antiqua" w:eastAsia="Book Antiqua" w:hAnsi="Book Antiqua" w:cs="Book Antiqua"/>
        </w:rPr>
        <w:t xml:space="preserve"> en el que recomendamos a este Honorable Cuerpo </w:t>
      </w:r>
      <w:r w:rsidR="00142992">
        <w:rPr>
          <w:rFonts w:ascii="Book Antiqua" w:eastAsia="Book Antiqua" w:hAnsi="Book Antiqua" w:cs="Book Antiqua"/>
        </w:rPr>
        <w:t>su</w:t>
      </w:r>
      <w:r w:rsidRPr="00700566">
        <w:rPr>
          <w:rFonts w:ascii="Book Antiqua" w:eastAsia="Book Antiqua" w:hAnsi="Book Antiqua" w:cs="Book Antiqua"/>
        </w:rPr>
        <w:t xml:space="preserve"> aprobación</w:t>
      </w:r>
      <w:r w:rsidR="00142992">
        <w:rPr>
          <w:rFonts w:ascii="Book Antiqua" w:eastAsia="Book Antiqua" w:hAnsi="Book Antiqua" w:cs="Book Antiqua"/>
        </w:rPr>
        <w:t>,</w:t>
      </w:r>
      <w:r w:rsidRPr="00700566">
        <w:rPr>
          <w:rFonts w:ascii="Book Antiqua" w:eastAsia="Book Antiqua" w:hAnsi="Book Antiqua" w:cs="Book Antiqua"/>
        </w:rPr>
        <w:t xml:space="preserve"> con enmiendas</w:t>
      </w:r>
      <w:r w:rsidR="00142992">
        <w:rPr>
          <w:rFonts w:ascii="Book Antiqua" w:eastAsia="Book Antiqua" w:hAnsi="Book Antiqua" w:cs="Book Antiqua"/>
        </w:rPr>
        <w:t xml:space="preserve"> incluidas en el </w:t>
      </w:r>
      <w:proofErr w:type="spellStart"/>
      <w:r w:rsidR="00142992">
        <w:rPr>
          <w:rFonts w:ascii="Book Antiqua" w:eastAsia="Book Antiqua" w:hAnsi="Book Antiqua" w:cs="Book Antiqua"/>
        </w:rPr>
        <w:t>entirillado</w:t>
      </w:r>
      <w:proofErr w:type="spellEnd"/>
      <w:r w:rsidR="00142992">
        <w:rPr>
          <w:rFonts w:ascii="Book Antiqua" w:eastAsia="Book Antiqua" w:hAnsi="Book Antiqua" w:cs="Book Antiqua"/>
        </w:rPr>
        <w:t xml:space="preserve"> electrónico que se acompaña</w:t>
      </w:r>
      <w:r w:rsidRPr="00700566">
        <w:rPr>
          <w:rFonts w:ascii="Book Antiqua" w:eastAsia="Book Antiqua" w:hAnsi="Book Antiqua" w:cs="Book Antiqua"/>
        </w:rPr>
        <w:t>.</w:t>
      </w:r>
    </w:p>
    <w:p w14:paraId="00000026" w14:textId="77777777" w:rsidR="003867AC" w:rsidRDefault="003867AC">
      <w:pPr>
        <w:jc w:val="both"/>
        <w:rPr>
          <w:rFonts w:ascii="Book Antiqua" w:eastAsia="Book Antiqua" w:hAnsi="Book Antiqua" w:cs="Book Antiqua"/>
        </w:rPr>
      </w:pPr>
    </w:p>
    <w:p w14:paraId="0E332CF8" w14:textId="77777777" w:rsidR="006D110C" w:rsidRPr="00700566" w:rsidRDefault="006D110C">
      <w:pPr>
        <w:jc w:val="both"/>
        <w:rPr>
          <w:rFonts w:ascii="Book Antiqua" w:eastAsia="Book Antiqua" w:hAnsi="Book Antiqua" w:cs="Book Antiqua"/>
        </w:rPr>
      </w:pPr>
    </w:p>
    <w:p w14:paraId="00000028"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Respetuosamente sometido,</w:t>
      </w:r>
    </w:p>
    <w:p w14:paraId="00000029" w14:textId="77777777" w:rsidR="003867AC" w:rsidRPr="00700566" w:rsidRDefault="003867AC">
      <w:pPr>
        <w:jc w:val="both"/>
        <w:rPr>
          <w:rFonts w:ascii="Book Antiqua" w:eastAsia="Book Antiqua" w:hAnsi="Book Antiqua" w:cs="Book Antiqua"/>
        </w:rPr>
      </w:pPr>
    </w:p>
    <w:p w14:paraId="0000002A" w14:textId="77777777" w:rsidR="003867AC" w:rsidRPr="00700566" w:rsidRDefault="003867AC">
      <w:pPr>
        <w:jc w:val="both"/>
        <w:rPr>
          <w:rFonts w:ascii="Book Antiqua" w:eastAsia="Book Antiqua" w:hAnsi="Book Antiqua" w:cs="Book Antiqua"/>
        </w:rPr>
      </w:pPr>
    </w:p>
    <w:p w14:paraId="5914E0EE" w14:textId="77777777" w:rsidR="006D110C" w:rsidRDefault="006D110C">
      <w:pPr>
        <w:jc w:val="both"/>
        <w:rPr>
          <w:rFonts w:ascii="Book Antiqua" w:eastAsia="Book Antiqua" w:hAnsi="Book Antiqua" w:cs="Book Antiqua"/>
        </w:rPr>
      </w:pPr>
    </w:p>
    <w:p w14:paraId="2B5BE0E7" w14:textId="77777777" w:rsidR="006D110C" w:rsidRDefault="006D110C">
      <w:pPr>
        <w:jc w:val="both"/>
        <w:rPr>
          <w:rFonts w:ascii="Book Antiqua" w:eastAsia="Book Antiqua" w:hAnsi="Book Antiqua" w:cs="Book Antiqua"/>
        </w:rPr>
      </w:pPr>
    </w:p>
    <w:p w14:paraId="0000002D" w14:textId="1766F7FE" w:rsidR="003867AC" w:rsidRPr="00700566" w:rsidRDefault="0085373F">
      <w:pPr>
        <w:jc w:val="both"/>
        <w:rPr>
          <w:rFonts w:ascii="Book Antiqua" w:eastAsia="Book Antiqua" w:hAnsi="Book Antiqua" w:cs="Book Antiqua"/>
        </w:rPr>
      </w:pPr>
      <w:proofErr w:type="spellStart"/>
      <w:r w:rsidRPr="00700566">
        <w:rPr>
          <w:rFonts w:ascii="Book Antiqua" w:eastAsia="Book Antiqua" w:hAnsi="Book Antiqua" w:cs="Book Antiqua"/>
        </w:rPr>
        <w:t>Hon</w:t>
      </w:r>
      <w:proofErr w:type="spellEnd"/>
      <w:r w:rsidRPr="00700566">
        <w:rPr>
          <w:rFonts w:ascii="Book Antiqua" w:eastAsia="Book Antiqua" w:hAnsi="Book Antiqua" w:cs="Book Antiqua"/>
        </w:rPr>
        <w:t xml:space="preserve">. José </w:t>
      </w:r>
      <w:r w:rsidR="00454E88">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0000002E" w14:textId="77777777"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00000030" w14:textId="5573F6F3" w:rsidR="003867AC" w:rsidRPr="00700566" w:rsidRDefault="0085373F">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FCD89" w14:textId="77777777" w:rsidR="008478FE" w:rsidRDefault="008478FE">
      <w:r>
        <w:separator/>
      </w:r>
    </w:p>
  </w:endnote>
  <w:endnote w:type="continuationSeparator" w:id="0">
    <w:p w14:paraId="5C165D57" w14:textId="77777777" w:rsidR="008478FE" w:rsidRDefault="0084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DA1C105-3C53-488C-9323-115252AEED80}"/>
  </w:font>
  <w:font w:name="Helvetica">
    <w:panose1 w:val="020B0604020202020204"/>
    <w:charset w:val="00"/>
    <w:family w:val="swiss"/>
    <w:pitch w:val="variable"/>
    <w:sig w:usb0="E0002EFF" w:usb1="C000785B" w:usb2="00000009" w:usb3="00000000" w:csb0="000001FF" w:csb1="00000000"/>
    <w:embedRegular r:id="rId2" w:fontKey="{BFD1826E-B0EC-4F75-BA75-5C51186D271F}"/>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94F35458-1EF9-43E7-B156-B2FE5AAF211A}"/>
  </w:font>
  <w:font w:name="Georgia">
    <w:panose1 w:val="02040502050405020303"/>
    <w:charset w:val="00"/>
    <w:family w:val="roman"/>
    <w:pitch w:val="variable"/>
    <w:sig w:usb0="00000287" w:usb1="00000000" w:usb2="00000000" w:usb3="00000000" w:csb0="0000009F" w:csb1="00000000"/>
    <w:embedRegular r:id="rId4" w:fontKey="{8C44FD34-0CFB-4D36-AB3F-C9B685FAB61F}"/>
    <w:embedItalic r:id="rId5" w:fontKey="{97CAB3EC-1077-4D90-9650-F05530EC884C}"/>
  </w:font>
  <w:font w:name="Book Antiqua">
    <w:panose1 w:val="02040602050305030304"/>
    <w:charset w:val="00"/>
    <w:family w:val="roman"/>
    <w:pitch w:val="variable"/>
    <w:sig w:usb0="00000287" w:usb1="00000000" w:usb2="00000000" w:usb3="00000000" w:csb0="0000009F" w:csb1="00000000"/>
    <w:embedRegular r:id="rId6" w:fontKey="{CD819B95-CD60-4B79-BEBB-A934F89F9272}"/>
    <w:embedBold r:id="rId7" w:fontKey="{519D3A6E-2328-4801-8983-6E5853CA0266}"/>
  </w:font>
  <w:font w:name="Helvetica Neue">
    <w:charset w:val="00"/>
    <w:family w:val="auto"/>
    <w:pitch w:val="default"/>
    <w:embedRegular r:id="rId8" w:fontKey="{588F5301-4A45-480C-8242-F3948AFBB5D3}"/>
  </w:font>
  <w:font w:name="Lustria">
    <w:altName w:val="Calibri"/>
    <w:charset w:val="00"/>
    <w:family w:val="auto"/>
    <w:pitch w:val="default"/>
    <w:embedRegular r:id="rId9" w:fontKey="{47490864-5625-4984-A2EE-5AC415120558}"/>
    <w:embedBoldItalic r:id="rId10" w:fontKey="{AD0A8C93-3D7B-4220-85C7-8B0BFF598031}"/>
  </w:font>
  <w:font w:name="Cambria">
    <w:panose1 w:val="02040503050406030204"/>
    <w:charset w:val="00"/>
    <w:family w:val="roman"/>
    <w:pitch w:val="variable"/>
    <w:sig w:usb0="E00006FF" w:usb1="420024FF" w:usb2="02000000" w:usb3="00000000" w:csb0="0000019F" w:csb1="00000000"/>
    <w:embedRegular r:id="rId11" w:fontKey="{5826AEB1-C92D-45F4-99C9-47156554140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A3097" w14:textId="77777777" w:rsidR="008478FE" w:rsidRDefault="008478FE">
      <w:r>
        <w:separator/>
      </w:r>
    </w:p>
  </w:footnote>
  <w:footnote w:type="continuationSeparator" w:id="0">
    <w:p w14:paraId="2C56359F" w14:textId="77777777" w:rsidR="008478FE" w:rsidRDefault="008478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69BCFF5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C91EBF">
      <w:rPr>
        <w:rFonts w:ascii="Lustria" w:eastAsia="Lustria" w:hAnsi="Lustria" w:cs="Lustria"/>
        <w:b/>
        <w:i/>
        <w:sz w:val="22"/>
        <w:szCs w:val="22"/>
      </w:rPr>
      <w:t>1</w:t>
    </w:r>
    <w:r w:rsidR="000056CC">
      <w:rPr>
        <w:rFonts w:ascii="Lustria" w:eastAsia="Lustria" w:hAnsi="Lustria" w:cs="Lustria"/>
        <w:b/>
        <w:i/>
        <w:sz w:val="22"/>
        <w:szCs w:val="22"/>
      </w:rPr>
      <w:t>84</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DDB7766"/>
    <w:multiLevelType w:val="hybridMultilevel"/>
    <w:tmpl w:val="EC10A6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3183540"/>
    <w:multiLevelType w:val="hybridMultilevel"/>
    <w:tmpl w:val="81BA46C4"/>
    <w:lvl w:ilvl="0" w:tplc="DC32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089543">
    <w:abstractNumId w:val="0"/>
  </w:num>
  <w:num w:numId="2" w16cid:durableId="1357926718">
    <w:abstractNumId w:val="2"/>
  </w:num>
  <w:num w:numId="3" w16cid:durableId="17501534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E20"/>
    <w:rsid w:val="000056CC"/>
    <w:rsid w:val="00011335"/>
    <w:rsid w:val="00014F74"/>
    <w:rsid w:val="0001669D"/>
    <w:rsid w:val="0002716B"/>
    <w:rsid w:val="000474BF"/>
    <w:rsid w:val="0005078D"/>
    <w:rsid w:val="000513EE"/>
    <w:rsid w:val="00073383"/>
    <w:rsid w:val="00074381"/>
    <w:rsid w:val="00081999"/>
    <w:rsid w:val="000954FA"/>
    <w:rsid w:val="000A24B5"/>
    <w:rsid w:val="000D0AEC"/>
    <w:rsid w:val="000D6E2D"/>
    <w:rsid w:val="00104900"/>
    <w:rsid w:val="001120D5"/>
    <w:rsid w:val="00123556"/>
    <w:rsid w:val="0012621A"/>
    <w:rsid w:val="00134FAB"/>
    <w:rsid w:val="00136F66"/>
    <w:rsid w:val="00142992"/>
    <w:rsid w:val="00166443"/>
    <w:rsid w:val="00166DBA"/>
    <w:rsid w:val="001740BA"/>
    <w:rsid w:val="001A7D73"/>
    <w:rsid w:val="001B7B4C"/>
    <w:rsid w:val="001D2E22"/>
    <w:rsid w:val="001E27E2"/>
    <w:rsid w:val="001F4438"/>
    <w:rsid w:val="0022375C"/>
    <w:rsid w:val="00223F0B"/>
    <w:rsid w:val="0025299B"/>
    <w:rsid w:val="00262649"/>
    <w:rsid w:val="00294E5A"/>
    <w:rsid w:val="002F1B49"/>
    <w:rsid w:val="00330BEF"/>
    <w:rsid w:val="00333C82"/>
    <w:rsid w:val="00336056"/>
    <w:rsid w:val="00337D03"/>
    <w:rsid w:val="0036416B"/>
    <w:rsid w:val="00371165"/>
    <w:rsid w:val="0038221B"/>
    <w:rsid w:val="003867AC"/>
    <w:rsid w:val="003C7C26"/>
    <w:rsid w:val="003D5C07"/>
    <w:rsid w:val="003E1347"/>
    <w:rsid w:val="0043560D"/>
    <w:rsid w:val="00451791"/>
    <w:rsid w:val="00452828"/>
    <w:rsid w:val="00454E88"/>
    <w:rsid w:val="00465ECA"/>
    <w:rsid w:val="00483EF1"/>
    <w:rsid w:val="004C1B5A"/>
    <w:rsid w:val="004D4B21"/>
    <w:rsid w:val="004F1783"/>
    <w:rsid w:val="00507562"/>
    <w:rsid w:val="0051555B"/>
    <w:rsid w:val="00515AD9"/>
    <w:rsid w:val="00517E2C"/>
    <w:rsid w:val="00523EBD"/>
    <w:rsid w:val="005416C7"/>
    <w:rsid w:val="0054777A"/>
    <w:rsid w:val="005611DF"/>
    <w:rsid w:val="00563BA1"/>
    <w:rsid w:val="0056775D"/>
    <w:rsid w:val="00577950"/>
    <w:rsid w:val="00577FD5"/>
    <w:rsid w:val="005E1146"/>
    <w:rsid w:val="005F333D"/>
    <w:rsid w:val="006212C5"/>
    <w:rsid w:val="006C05D6"/>
    <w:rsid w:val="006D110C"/>
    <w:rsid w:val="006D5E63"/>
    <w:rsid w:val="00700566"/>
    <w:rsid w:val="007017B9"/>
    <w:rsid w:val="00726DD5"/>
    <w:rsid w:val="007276A1"/>
    <w:rsid w:val="00734787"/>
    <w:rsid w:val="0076596B"/>
    <w:rsid w:val="00770E7B"/>
    <w:rsid w:val="00782181"/>
    <w:rsid w:val="00785D01"/>
    <w:rsid w:val="007C60D2"/>
    <w:rsid w:val="007D7D6A"/>
    <w:rsid w:val="007E0FCE"/>
    <w:rsid w:val="008258F9"/>
    <w:rsid w:val="008355BE"/>
    <w:rsid w:val="008478FE"/>
    <w:rsid w:val="0085373F"/>
    <w:rsid w:val="0087061E"/>
    <w:rsid w:val="008E0700"/>
    <w:rsid w:val="008E3BD0"/>
    <w:rsid w:val="008F30F0"/>
    <w:rsid w:val="009078E7"/>
    <w:rsid w:val="00914A7F"/>
    <w:rsid w:val="0094342D"/>
    <w:rsid w:val="00943961"/>
    <w:rsid w:val="00961ACD"/>
    <w:rsid w:val="00965742"/>
    <w:rsid w:val="00976D08"/>
    <w:rsid w:val="00987C5A"/>
    <w:rsid w:val="00991C8A"/>
    <w:rsid w:val="009A5A17"/>
    <w:rsid w:val="009B476A"/>
    <w:rsid w:val="009C2352"/>
    <w:rsid w:val="009F0BB7"/>
    <w:rsid w:val="00A42594"/>
    <w:rsid w:val="00A44A22"/>
    <w:rsid w:val="00A75C45"/>
    <w:rsid w:val="00AC77D8"/>
    <w:rsid w:val="00AD5D26"/>
    <w:rsid w:val="00AF6BB6"/>
    <w:rsid w:val="00B037B5"/>
    <w:rsid w:val="00B03AA1"/>
    <w:rsid w:val="00B172FA"/>
    <w:rsid w:val="00B32650"/>
    <w:rsid w:val="00B54CC1"/>
    <w:rsid w:val="00B61637"/>
    <w:rsid w:val="00B83F9F"/>
    <w:rsid w:val="00B90788"/>
    <w:rsid w:val="00B94F42"/>
    <w:rsid w:val="00BA39A1"/>
    <w:rsid w:val="00C3772E"/>
    <w:rsid w:val="00C577BB"/>
    <w:rsid w:val="00C86EC0"/>
    <w:rsid w:val="00C91EBF"/>
    <w:rsid w:val="00C9741A"/>
    <w:rsid w:val="00CA4854"/>
    <w:rsid w:val="00CB45A2"/>
    <w:rsid w:val="00CE31D2"/>
    <w:rsid w:val="00CE34E6"/>
    <w:rsid w:val="00CE5944"/>
    <w:rsid w:val="00D1092C"/>
    <w:rsid w:val="00D14ED7"/>
    <w:rsid w:val="00D4238A"/>
    <w:rsid w:val="00D42747"/>
    <w:rsid w:val="00D51C4E"/>
    <w:rsid w:val="00D52A5D"/>
    <w:rsid w:val="00D7350C"/>
    <w:rsid w:val="00D74285"/>
    <w:rsid w:val="00D81951"/>
    <w:rsid w:val="00D862EE"/>
    <w:rsid w:val="00D92BD8"/>
    <w:rsid w:val="00DA0DAF"/>
    <w:rsid w:val="00DA2B1C"/>
    <w:rsid w:val="00DA34D8"/>
    <w:rsid w:val="00DB2246"/>
    <w:rsid w:val="00DC6066"/>
    <w:rsid w:val="00DD6D1E"/>
    <w:rsid w:val="00DE6D37"/>
    <w:rsid w:val="00DE74F9"/>
    <w:rsid w:val="00DF2F20"/>
    <w:rsid w:val="00E04691"/>
    <w:rsid w:val="00E06F78"/>
    <w:rsid w:val="00E13DED"/>
    <w:rsid w:val="00E14D95"/>
    <w:rsid w:val="00E20394"/>
    <w:rsid w:val="00E27ECE"/>
    <w:rsid w:val="00E308E7"/>
    <w:rsid w:val="00E34937"/>
    <w:rsid w:val="00E606CC"/>
    <w:rsid w:val="00E611E8"/>
    <w:rsid w:val="00EB0218"/>
    <w:rsid w:val="00EC70DA"/>
    <w:rsid w:val="00ED44F1"/>
    <w:rsid w:val="00EE4DEB"/>
    <w:rsid w:val="00EE4E71"/>
    <w:rsid w:val="00F21710"/>
    <w:rsid w:val="00F2205D"/>
    <w:rsid w:val="00F42078"/>
    <w:rsid w:val="00F5452D"/>
    <w:rsid w:val="00F701DF"/>
    <w:rsid w:val="00F841A9"/>
    <w:rsid w:val="00F86041"/>
    <w:rsid w:val="00F96E64"/>
    <w:rsid w:val="00FC7C96"/>
    <w:rsid w:val="00FF6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486">
      <w:bodyDiv w:val="1"/>
      <w:marLeft w:val="0"/>
      <w:marRight w:val="0"/>
      <w:marTop w:val="0"/>
      <w:marBottom w:val="0"/>
      <w:divBdr>
        <w:top w:val="none" w:sz="0" w:space="0" w:color="auto"/>
        <w:left w:val="none" w:sz="0" w:space="0" w:color="auto"/>
        <w:bottom w:val="none" w:sz="0" w:space="0" w:color="auto"/>
        <w:right w:val="none" w:sz="0" w:space="0" w:color="auto"/>
      </w:divBdr>
    </w:div>
    <w:div w:id="36976731">
      <w:bodyDiv w:val="1"/>
      <w:marLeft w:val="0"/>
      <w:marRight w:val="0"/>
      <w:marTop w:val="0"/>
      <w:marBottom w:val="0"/>
      <w:divBdr>
        <w:top w:val="none" w:sz="0" w:space="0" w:color="auto"/>
        <w:left w:val="none" w:sz="0" w:space="0" w:color="auto"/>
        <w:bottom w:val="none" w:sz="0" w:space="0" w:color="auto"/>
        <w:right w:val="none" w:sz="0" w:space="0" w:color="auto"/>
      </w:divBdr>
    </w:div>
    <w:div w:id="462622371">
      <w:bodyDiv w:val="1"/>
      <w:marLeft w:val="0"/>
      <w:marRight w:val="0"/>
      <w:marTop w:val="0"/>
      <w:marBottom w:val="0"/>
      <w:divBdr>
        <w:top w:val="none" w:sz="0" w:space="0" w:color="auto"/>
        <w:left w:val="none" w:sz="0" w:space="0" w:color="auto"/>
        <w:bottom w:val="none" w:sz="0" w:space="0" w:color="auto"/>
        <w:right w:val="none" w:sz="0" w:space="0" w:color="auto"/>
      </w:divBdr>
    </w:div>
    <w:div w:id="1157184875">
      <w:bodyDiv w:val="1"/>
      <w:marLeft w:val="0"/>
      <w:marRight w:val="0"/>
      <w:marTop w:val="0"/>
      <w:marBottom w:val="0"/>
      <w:divBdr>
        <w:top w:val="none" w:sz="0" w:space="0" w:color="auto"/>
        <w:left w:val="none" w:sz="0" w:space="0" w:color="auto"/>
        <w:bottom w:val="none" w:sz="0" w:space="0" w:color="auto"/>
        <w:right w:val="none" w:sz="0" w:space="0" w:color="auto"/>
      </w:divBdr>
    </w:div>
    <w:div w:id="1286959976">
      <w:bodyDiv w:val="1"/>
      <w:marLeft w:val="0"/>
      <w:marRight w:val="0"/>
      <w:marTop w:val="0"/>
      <w:marBottom w:val="0"/>
      <w:divBdr>
        <w:top w:val="none" w:sz="0" w:space="0" w:color="auto"/>
        <w:left w:val="none" w:sz="0" w:space="0" w:color="auto"/>
        <w:bottom w:val="none" w:sz="0" w:space="0" w:color="auto"/>
        <w:right w:val="none" w:sz="0" w:space="0" w:color="auto"/>
      </w:divBdr>
    </w:div>
    <w:div w:id="1698655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732</Words>
  <Characters>4173</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Yadira Saavedra</dc:creator>
  <cp:lastModifiedBy>Camyl Moreno Pantojas</cp:lastModifiedBy>
  <cp:revision>2</cp:revision>
  <cp:lastPrinted>2025-10-02T12:45:00Z</cp:lastPrinted>
  <dcterms:created xsi:type="dcterms:W3CDTF">2025-10-03T18:56:00Z</dcterms:created>
  <dcterms:modified xsi:type="dcterms:W3CDTF">2025-10-03T18:56:00Z</dcterms:modified>
</cp:coreProperties>
</file>