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2D749" w14:textId="77777777" w:rsidR="005600B5" w:rsidRPr="007C49CD" w:rsidRDefault="005600B5" w:rsidP="005600B5">
      <w:pPr>
        <w:spacing w:after="0" w:line="259" w:lineRule="auto"/>
        <w:jc w:val="center"/>
        <w:rPr>
          <w:rFonts w:ascii="Book Antiqua" w:eastAsia="Calibri" w:hAnsi="Book Antiqua" w:cs="Times New Roman"/>
          <w:color w:val="000000" w:themeColor="text1"/>
          <w:spacing w:val="12"/>
          <w:kern w:val="0"/>
          <w:sz w:val="36"/>
          <w:szCs w:val="22"/>
          <w14:ligatures w14:val="none"/>
        </w:rPr>
      </w:pPr>
      <w:r w:rsidRPr="007C49CD">
        <w:rPr>
          <w:rFonts w:ascii="Book Antiqua" w:eastAsia="Calibri" w:hAnsi="Book Antiqua" w:cs="Times New Roman"/>
          <w:color w:val="000000" w:themeColor="text1"/>
          <w:spacing w:val="12"/>
          <w:kern w:val="0"/>
          <w:sz w:val="36"/>
          <w:szCs w:val="22"/>
          <w14:ligatures w14:val="none"/>
        </w:rPr>
        <w:t>GOBIERNO DE PUERTO RICO</w:t>
      </w:r>
    </w:p>
    <w:p w14:paraId="6409B8ED" w14:textId="77777777" w:rsidR="005600B5" w:rsidRPr="0011027E" w:rsidRDefault="005600B5" w:rsidP="005600B5">
      <w:pPr>
        <w:spacing w:after="0" w:line="259" w:lineRule="auto"/>
        <w:jc w:val="center"/>
        <w:rPr>
          <w:rFonts w:ascii="Book Antiqua" w:eastAsia="Calibri" w:hAnsi="Book Antiqua" w:cs="Times New Roman"/>
          <w:color w:val="000000" w:themeColor="text1"/>
          <w:kern w:val="0"/>
          <w:sz w:val="36"/>
          <w:szCs w:val="22"/>
          <w14:ligatures w14:val="none"/>
        </w:rPr>
      </w:pPr>
    </w:p>
    <w:p w14:paraId="640838C8" w14:textId="1CD9DEB6" w:rsidR="005600B5" w:rsidRPr="0011027E" w:rsidRDefault="005600B5" w:rsidP="005600B5">
      <w:pPr>
        <w:tabs>
          <w:tab w:val="left" w:pos="648"/>
          <w:tab w:val="right" w:pos="7776"/>
          <w:tab w:val="left" w:pos="7848"/>
        </w:tabs>
        <w:spacing w:after="0" w:line="240" w:lineRule="auto"/>
        <w:rPr>
          <w:rFonts w:ascii="Book Antiqua" w:eastAsia="Times New Roman" w:hAnsi="Book Antiqua" w:cs="Times New Roman"/>
          <w:color w:val="000000" w:themeColor="text1"/>
          <w:kern w:val="0"/>
          <w:szCs w:val="20"/>
          <w14:ligatures w14:val="none"/>
        </w:rPr>
      </w:pPr>
      <w:r w:rsidRPr="0011027E">
        <w:rPr>
          <w:rFonts w:ascii="Book Antiqua" w:eastAsia="Times New Roman" w:hAnsi="Book Antiqua" w:cs="Times New Roman"/>
          <w:color w:val="000000" w:themeColor="text1"/>
          <w:kern w:val="0"/>
          <w:szCs w:val="20"/>
          <w14:ligatures w14:val="none"/>
        </w:rPr>
        <w:t>20</w:t>
      </w:r>
      <w:r w:rsidR="008A68C3">
        <w:rPr>
          <w:rFonts w:ascii="Book Antiqua" w:eastAsia="Times New Roman" w:hAnsi="Book Antiqua" w:cs="Times New Roman"/>
          <w:color w:val="000000" w:themeColor="text1"/>
          <w:kern w:val="0"/>
          <w:szCs w:val="20"/>
          <w:vertAlign w:val="superscript"/>
          <w14:ligatures w14:val="none"/>
        </w:rPr>
        <w:t>.</w:t>
      </w:r>
      <w:r w:rsidRPr="0011027E">
        <w:rPr>
          <w:rFonts w:ascii="Book Antiqua" w:eastAsia="Times New Roman" w:hAnsi="Book Antiqua" w:cs="Times New Roman"/>
          <w:color w:val="000000" w:themeColor="text1"/>
          <w:kern w:val="0"/>
          <w:szCs w:val="20"/>
          <w:vertAlign w:val="superscript"/>
          <w14:ligatures w14:val="none"/>
        </w:rPr>
        <w:t>a</w:t>
      </w:r>
      <w:r w:rsidRPr="0011027E">
        <w:rPr>
          <w:rFonts w:ascii="Book Antiqua" w:eastAsia="Times New Roman" w:hAnsi="Book Antiqua" w:cs="Times New Roman"/>
          <w:color w:val="000000" w:themeColor="text1"/>
          <w:kern w:val="0"/>
          <w:szCs w:val="20"/>
          <w14:ligatures w14:val="none"/>
        </w:rPr>
        <w:tab/>
        <w:t>Asamblea</w:t>
      </w:r>
      <w:r w:rsidRPr="0011027E">
        <w:rPr>
          <w:rFonts w:ascii="Book Antiqua" w:eastAsia="Times New Roman" w:hAnsi="Book Antiqua" w:cs="Times New Roman"/>
          <w:color w:val="000000" w:themeColor="text1"/>
          <w:kern w:val="0"/>
          <w:szCs w:val="20"/>
          <w14:ligatures w14:val="none"/>
        </w:rPr>
        <w:tab/>
      </w:r>
      <w:r w:rsidR="00B45017" w:rsidRPr="0011027E">
        <w:rPr>
          <w:rFonts w:ascii="Book Antiqua" w:eastAsia="Times New Roman" w:hAnsi="Book Antiqua" w:cs="Times New Roman"/>
          <w:color w:val="000000" w:themeColor="text1"/>
          <w:kern w:val="0"/>
          <w:szCs w:val="20"/>
          <w14:ligatures w14:val="none"/>
        </w:rPr>
        <w:t>3</w:t>
      </w:r>
      <w:r w:rsidR="008A68C3">
        <w:rPr>
          <w:rFonts w:ascii="Book Antiqua" w:eastAsia="Times New Roman" w:hAnsi="Book Antiqua" w:cs="Times New Roman"/>
          <w:color w:val="000000" w:themeColor="text1"/>
          <w:kern w:val="0"/>
          <w:szCs w:val="20"/>
          <w:vertAlign w:val="superscript"/>
          <w14:ligatures w14:val="none"/>
        </w:rPr>
        <w:t>.</w:t>
      </w:r>
      <w:r w:rsidR="00B45017" w:rsidRPr="0011027E">
        <w:rPr>
          <w:rFonts w:ascii="Book Antiqua" w:eastAsia="Times New Roman" w:hAnsi="Book Antiqua" w:cs="Times New Roman"/>
          <w:color w:val="000000" w:themeColor="text1"/>
          <w:kern w:val="0"/>
          <w:szCs w:val="20"/>
          <w:vertAlign w:val="superscript"/>
          <w14:ligatures w14:val="none"/>
        </w:rPr>
        <w:t>a</w:t>
      </w:r>
      <w:r w:rsidRPr="0011027E">
        <w:rPr>
          <w:rFonts w:ascii="Book Antiqua" w:eastAsia="Times New Roman" w:hAnsi="Book Antiqua" w:cs="Times New Roman"/>
          <w:color w:val="000000" w:themeColor="text1"/>
          <w:kern w:val="0"/>
          <w:szCs w:val="20"/>
          <w14:ligatures w14:val="none"/>
        </w:rPr>
        <w:tab/>
      </w:r>
      <w:r w:rsidR="008A68C3">
        <w:rPr>
          <w:rFonts w:ascii="Book Antiqua" w:eastAsia="Times New Roman" w:hAnsi="Book Antiqua" w:cs="Times New Roman"/>
          <w:color w:val="000000" w:themeColor="text1"/>
          <w:kern w:val="0"/>
          <w:szCs w:val="20"/>
          <w14:ligatures w14:val="none"/>
        </w:rPr>
        <w:t xml:space="preserve">   </w:t>
      </w:r>
      <w:r w:rsidRPr="0011027E">
        <w:rPr>
          <w:rFonts w:ascii="Book Antiqua" w:eastAsia="Times New Roman" w:hAnsi="Book Antiqua" w:cs="Times New Roman"/>
          <w:color w:val="000000" w:themeColor="text1"/>
          <w:kern w:val="0"/>
          <w:szCs w:val="20"/>
          <w14:ligatures w14:val="none"/>
        </w:rPr>
        <w:t>Sesión</w:t>
      </w:r>
    </w:p>
    <w:p w14:paraId="2A7744F2" w14:textId="0B8949CB" w:rsidR="005600B5" w:rsidRPr="0011027E" w:rsidRDefault="005600B5" w:rsidP="005600B5">
      <w:pPr>
        <w:tabs>
          <w:tab w:val="left" w:pos="648"/>
          <w:tab w:val="right" w:pos="7776"/>
          <w:tab w:val="left" w:pos="7848"/>
        </w:tabs>
        <w:spacing w:after="0" w:line="240" w:lineRule="auto"/>
        <w:rPr>
          <w:rFonts w:ascii="Book Antiqua" w:eastAsia="Times New Roman" w:hAnsi="Book Antiqua" w:cs="Times New Roman"/>
          <w:color w:val="000000" w:themeColor="text1"/>
          <w:kern w:val="0"/>
          <w:szCs w:val="20"/>
          <w14:ligatures w14:val="none"/>
        </w:rPr>
      </w:pPr>
      <w:r w:rsidRPr="0011027E">
        <w:rPr>
          <w:rFonts w:ascii="Book Antiqua" w:eastAsia="Times New Roman" w:hAnsi="Book Antiqua" w:cs="Times New Roman"/>
          <w:color w:val="000000" w:themeColor="text1"/>
          <w:kern w:val="0"/>
          <w:szCs w:val="20"/>
          <w14:ligatures w14:val="none"/>
        </w:rPr>
        <w:tab/>
        <w:t>Legislativa</w:t>
      </w:r>
      <w:r w:rsidRPr="0011027E">
        <w:rPr>
          <w:rFonts w:ascii="Book Antiqua" w:eastAsia="Times New Roman" w:hAnsi="Book Antiqua" w:cs="Times New Roman"/>
          <w:color w:val="000000" w:themeColor="text1"/>
          <w:kern w:val="0"/>
          <w:szCs w:val="20"/>
          <w14:ligatures w14:val="none"/>
        </w:rPr>
        <w:tab/>
      </w:r>
      <w:r w:rsidRPr="0011027E">
        <w:rPr>
          <w:rFonts w:ascii="Book Antiqua" w:eastAsia="Times New Roman" w:hAnsi="Book Antiqua" w:cs="Times New Roman"/>
          <w:color w:val="000000" w:themeColor="text1"/>
          <w:kern w:val="0"/>
          <w:szCs w:val="20"/>
          <w14:ligatures w14:val="none"/>
        </w:rPr>
        <w:tab/>
      </w:r>
      <w:r w:rsidR="008A68C3">
        <w:rPr>
          <w:rFonts w:ascii="Book Antiqua" w:eastAsia="Times New Roman" w:hAnsi="Book Antiqua" w:cs="Times New Roman"/>
          <w:color w:val="000000" w:themeColor="text1"/>
          <w:kern w:val="0"/>
          <w:szCs w:val="20"/>
          <w14:ligatures w14:val="none"/>
        </w:rPr>
        <w:t xml:space="preserve">   </w:t>
      </w:r>
      <w:r w:rsidRPr="0011027E">
        <w:rPr>
          <w:rFonts w:ascii="Book Antiqua" w:eastAsia="Times New Roman" w:hAnsi="Book Antiqua" w:cs="Times New Roman"/>
          <w:color w:val="000000" w:themeColor="text1"/>
          <w:kern w:val="0"/>
          <w:szCs w:val="20"/>
          <w14:ligatures w14:val="none"/>
        </w:rPr>
        <w:t>Ordinaria</w:t>
      </w:r>
    </w:p>
    <w:p w14:paraId="3C9CCE28" w14:textId="77777777" w:rsidR="005600B5" w:rsidRPr="0011027E" w:rsidRDefault="005600B5" w:rsidP="005600B5">
      <w:pPr>
        <w:spacing w:after="0" w:line="259" w:lineRule="auto"/>
        <w:rPr>
          <w:rFonts w:ascii="Calibri" w:eastAsia="Calibri" w:hAnsi="Calibri" w:cs="Times New Roman"/>
          <w:color w:val="000000" w:themeColor="text1"/>
          <w:kern w:val="0"/>
          <w:sz w:val="22"/>
          <w:szCs w:val="22"/>
          <w14:ligatures w14:val="none"/>
        </w:rPr>
      </w:pPr>
    </w:p>
    <w:p w14:paraId="669DB0FE" w14:textId="27D50AB7" w:rsidR="005600B5" w:rsidRPr="0011027E" w:rsidRDefault="00FF6B3F" w:rsidP="005600B5">
      <w:pPr>
        <w:spacing w:after="0" w:line="360" w:lineRule="auto"/>
        <w:jc w:val="center"/>
        <w:rPr>
          <w:rStyle w:val="Strong"/>
          <w:rFonts w:ascii="Book Antiqua" w:eastAsia="Calibri" w:hAnsi="Book Antiqua" w:cs="Times New Roman"/>
          <w:bCs w:val="0"/>
          <w:color w:val="000000" w:themeColor="text1"/>
          <w:kern w:val="0"/>
          <w:sz w:val="36"/>
          <w:szCs w:val="22"/>
          <w14:ligatures w14:val="none"/>
        </w:rPr>
      </w:pPr>
      <w:r w:rsidRPr="0011027E">
        <w:rPr>
          <w:rFonts w:ascii="Book Antiqua" w:eastAsia="Calibri" w:hAnsi="Book Antiqua" w:cs="Times New Roman"/>
          <w:b/>
          <w:color w:val="000000" w:themeColor="text1"/>
          <w:kern w:val="0"/>
          <w:sz w:val="36"/>
          <w:szCs w:val="22"/>
          <w14:ligatures w14:val="none"/>
        </w:rPr>
        <w:t xml:space="preserve">CÁMARA DE REPRESENTANTES </w:t>
      </w:r>
    </w:p>
    <w:p w14:paraId="4A9BDFA8" w14:textId="5C0FAEAD" w:rsidR="005600B5" w:rsidRPr="0011027E" w:rsidRDefault="005600B5" w:rsidP="005600B5">
      <w:pPr>
        <w:pStyle w:val="NormalWeb"/>
        <w:jc w:val="center"/>
        <w:rPr>
          <w:rFonts w:ascii="Book Antiqua" w:hAnsi="Book Antiqua"/>
          <w:color w:val="000000" w:themeColor="text1"/>
          <w:sz w:val="52"/>
          <w:szCs w:val="52"/>
          <w:lang w:val="es-PR"/>
        </w:rPr>
      </w:pPr>
      <w:r w:rsidRPr="0011027E">
        <w:rPr>
          <w:rStyle w:val="Strong"/>
          <w:rFonts w:ascii="Book Antiqua" w:eastAsiaTheme="majorEastAsia" w:hAnsi="Book Antiqua"/>
          <w:color w:val="000000" w:themeColor="text1"/>
          <w:sz w:val="52"/>
          <w:szCs w:val="52"/>
          <w:lang w:val="es-PR"/>
        </w:rPr>
        <w:t xml:space="preserve">P. del S. </w:t>
      </w:r>
      <w:r w:rsidR="00770DBE">
        <w:rPr>
          <w:rStyle w:val="Strong"/>
          <w:rFonts w:ascii="Book Antiqua" w:eastAsiaTheme="majorEastAsia" w:hAnsi="Book Antiqua"/>
          <w:color w:val="000000" w:themeColor="text1"/>
          <w:sz w:val="52"/>
          <w:szCs w:val="52"/>
          <w:lang w:val="es-PR"/>
        </w:rPr>
        <w:t>707</w:t>
      </w:r>
    </w:p>
    <w:p w14:paraId="58E012A3" w14:textId="403743D1" w:rsidR="005600B5" w:rsidRPr="00F41051" w:rsidRDefault="005600B5" w:rsidP="005600B5">
      <w:pPr>
        <w:pStyle w:val="NormalWeb"/>
        <w:jc w:val="center"/>
        <w:rPr>
          <w:rFonts w:ascii="Book Antiqua" w:hAnsi="Book Antiqua"/>
          <w:b/>
          <w:bCs/>
          <w:color w:val="000000" w:themeColor="text1"/>
          <w:spacing w:val="12"/>
          <w:lang w:val="es-PR"/>
        </w:rPr>
      </w:pPr>
      <w:r w:rsidRPr="00F41051">
        <w:rPr>
          <w:rStyle w:val="Strong"/>
          <w:rFonts w:ascii="Book Antiqua" w:eastAsiaTheme="majorEastAsia" w:hAnsi="Book Antiqua"/>
          <w:b w:val="0"/>
          <w:bCs w:val="0"/>
          <w:color w:val="000000" w:themeColor="text1"/>
          <w:spacing w:val="12"/>
          <w:lang w:val="es-PR"/>
        </w:rPr>
        <w:t>INFORME POSITIVO</w:t>
      </w:r>
    </w:p>
    <w:p w14:paraId="2737D28E" w14:textId="57EFD2C9" w:rsidR="005600B5" w:rsidRPr="0011027E" w:rsidRDefault="00AC6105" w:rsidP="005600B5">
      <w:pPr>
        <w:pStyle w:val="NormalWeb"/>
        <w:jc w:val="center"/>
        <w:rPr>
          <w:rStyle w:val="Strong"/>
          <w:rFonts w:ascii="Book Antiqua" w:eastAsiaTheme="majorEastAsia" w:hAnsi="Book Antiqua"/>
          <w:b w:val="0"/>
          <w:bCs w:val="0"/>
          <w:color w:val="000000" w:themeColor="text1"/>
          <w:lang w:val="es-PR"/>
        </w:rPr>
      </w:pPr>
      <w:r>
        <w:rPr>
          <w:rFonts w:ascii="Book Antiqua" w:hAnsi="Book Antiqua"/>
          <w:color w:val="000000" w:themeColor="text1"/>
          <w:lang w:val="es-PR"/>
        </w:rPr>
        <w:t>5</w:t>
      </w:r>
      <w:r w:rsidR="005600B5" w:rsidRPr="0011027E">
        <w:rPr>
          <w:rFonts w:ascii="Book Antiqua" w:hAnsi="Book Antiqua"/>
          <w:color w:val="000000" w:themeColor="text1"/>
          <w:lang w:val="es-PR"/>
        </w:rPr>
        <w:t xml:space="preserve"> de</w:t>
      </w:r>
      <w:r w:rsidR="00184557" w:rsidRPr="0011027E">
        <w:rPr>
          <w:rFonts w:ascii="Book Antiqua" w:hAnsi="Book Antiqua"/>
          <w:color w:val="000000" w:themeColor="text1"/>
          <w:lang w:val="es-PR"/>
        </w:rPr>
        <w:t xml:space="preserve"> </w:t>
      </w:r>
      <w:r w:rsidR="00770DBE">
        <w:rPr>
          <w:rFonts w:ascii="Book Antiqua" w:hAnsi="Book Antiqua"/>
          <w:color w:val="000000" w:themeColor="text1"/>
          <w:lang w:val="es-PR"/>
        </w:rPr>
        <w:t>juni</w:t>
      </w:r>
      <w:r w:rsidR="000D346E" w:rsidRPr="0011027E">
        <w:rPr>
          <w:rFonts w:ascii="Book Antiqua" w:hAnsi="Book Antiqua"/>
          <w:color w:val="000000" w:themeColor="text1"/>
          <w:lang w:val="es-PR"/>
        </w:rPr>
        <w:t>o</w:t>
      </w:r>
      <w:r w:rsidR="005600B5" w:rsidRPr="0011027E">
        <w:rPr>
          <w:rFonts w:ascii="Book Antiqua" w:hAnsi="Book Antiqua"/>
          <w:color w:val="000000" w:themeColor="text1"/>
          <w:lang w:val="es-PR"/>
        </w:rPr>
        <w:t xml:space="preserve"> de 202</w:t>
      </w:r>
      <w:r w:rsidR="000D346E" w:rsidRPr="0011027E">
        <w:rPr>
          <w:rFonts w:ascii="Book Antiqua" w:hAnsi="Book Antiqua"/>
          <w:color w:val="000000" w:themeColor="text1"/>
          <w:lang w:val="es-PR"/>
        </w:rPr>
        <w:t>6</w:t>
      </w:r>
    </w:p>
    <w:p w14:paraId="165D7CAD" w14:textId="7F20896E" w:rsidR="008944CA" w:rsidRPr="008A68C3" w:rsidRDefault="005600B5" w:rsidP="008944CA">
      <w:pPr>
        <w:pStyle w:val="NormalWeb"/>
        <w:jc w:val="both"/>
        <w:rPr>
          <w:rFonts w:ascii="Book Antiqua" w:hAnsi="Book Antiqua"/>
          <w:b/>
          <w:bCs/>
          <w:color w:val="000000" w:themeColor="text1"/>
          <w:spacing w:val="12"/>
          <w:lang w:val="es-PR"/>
        </w:rPr>
      </w:pPr>
      <w:r w:rsidRPr="008A68C3">
        <w:rPr>
          <w:rStyle w:val="Strong"/>
          <w:rFonts w:ascii="Book Antiqua" w:eastAsiaTheme="majorEastAsia" w:hAnsi="Book Antiqua"/>
          <w:b w:val="0"/>
          <w:bCs w:val="0"/>
          <w:color w:val="000000" w:themeColor="text1"/>
          <w:spacing w:val="12"/>
          <w:lang w:val="es-PR"/>
        </w:rPr>
        <w:t>A</w:t>
      </w:r>
      <w:r w:rsidR="00223530" w:rsidRPr="008A68C3">
        <w:rPr>
          <w:rStyle w:val="Strong"/>
          <w:rFonts w:ascii="Book Antiqua" w:eastAsiaTheme="majorEastAsia" w:hAnsi="Book Antiqua"/>
          <w:b w:val="0"/>
          <w:bCs w:val="0"/>
          <w:color w:val="000000" w:themeColor="text1"/>
          <w:spacing w:val="12"/>
          <w:lang w:val="es-PR"/>
        </w:rPr>
        <w:t xml:space="preserve"> </w:t>
      </w:r>
      <w:r w:rsidRPr="008A68C3">
        <w:rPr>
          <w:rStyle w:val="Strong"/>
          <w:rFonts w:ascii="Book Antiqua" w:eastAsiaTheme="majorEastAsia" w:hAnsi="Book Antiqua"/>
          <w:b w:val="0"/>
          <w:bCs w:val="0"/>
          <w:color w:val="000000" w:themeColor="text1"/>
          <w:spacing w:val="12"/>
          <w:lang w:val="es-PR"/>
        </w:rPr>
        <w:t>L</w:t>
      </w:r>
      <w:r w:rsidR="00223530" w:rsidRPr="008A68C3">
        <w:rPr>
          <w:rStyle w:val="Strong"/>
          <w:rFonts w:ascii="Book Antiqua" w:eastAsiaTheme="majorEastAsia" w:hAnsi="Book Antiqua"/>
          <w:b w:val="0"/>
          <w:bCs w:val="0"/>
          <w:color w:val="000000" w:themeColor="text1"/>
          <w:spacing w:val="12"/>
          <w:lang w:val="es-PR"/>
        </w:rPr>
        <w:t xml:space="preserve">A CÁMARA DE REPRESENTANTES </w:t>
      </w:r>
      <w:r w:rsidRPr="008A68C3">
        <w:rPr>
          <w:rStyle w:val="Strong"/>
          <w:rFonts w:ascii="Book Antiqua" w:eastAsiaTheme="majorEastAsia" w:hAnsi="Book Antiqua"/>
          <w:b w:val="0"/>
          <w:bCs w:val="0"/>
          <w:color w:val="000000" w:themeColor="text1"/>
          <w:spacing w:val="12"/>
          <w:lang w:val="es-PR"/>
        </w:rPr>
        <w:t>DE PUERTO RICO</w:t>
      </w:r>
    </w:p>
    <w:p w14:paraId="6944B8D1" w14:textId="0068E30F" w:rsidR="005600B5" w:rsidRPr="0011027E" w:rsidRDefault="00B122B8" w:rsidP="008A68C3">
      <w:pPr>
        <w:spacing w:after="0" w:line="288" w:lineRule="auto"/>
        <w:ind w:firstLine="720"/>
        <w:jc w:val="both"/>
        <w:rPr>
          <w:rFonts w:ascii="Book Antiqua" w:eastAsia="Calibri" w:hAnsi="Book Antiqua" w:cs="Times New Roman"/>
          <w:color w:val="000000" w:themeColor="text1"/>
          <w:kern w:val="0"/>
          <w14:ligatures w14:val="none"/>
        </w:rPr>
      </w:pPr>
      <w:r>
        <w:rPr>
          <w:rFonts w:ascii="Book Antiqua" w:eastAsia="Calibri" w:hAnsi="Book Antiqua" w:cs="Times New Roman"/>
          <w:color w:val="000000" w:themeColor="text1"/>
          <w:kern w:val="0"/>
          <w14:ligatures w14:val="none"/>
        </w:rPr>
        <w:t>P</w:t>
      </w:r>
      <w:r w:rsidR="008944CA" w:rsidRPr="0011027E">
        <w:rPr>
          <w:rFonts w:ascii="Book Antiqua" w:eastAsia="Calibri" w:hAnsi="Book Antiqua" w:cs="Times New Roman"/>
          <w:color w:val="000000" w:themeColor="text1"/>
          <w:kern w:val="0"/>
          <w14:ligatures w14:val="none"/>
        </w:rPr>
        <w:t xml:space="preserve">revio estudio y consideración del </w:t>
      </w:r>
      <w:r w:rsidR="00223530" w:rsidRPr="0011027E">
        <w:rPr>
          <w:rFonts w:ascii="Book Antiqua" w:eastAsia="Calibri" w:hAnsi="Book Antiqua" w:cs="Times New Roman"/>
          <w:bCs/>
          <w:color w:val="000000" w:themeColor="text1"/>
          <w:kern w:val="0"/>
          <w14:ligatures w14:val="none"/>
        </w:rPr>
        <w:t>Proyecto del Senado</w:t>
      </w:r>
      <w:r w:rsidR="00B45017" w:rsidRPr="0011027E">
        <w:rPr>
          <w:rFonts w:ascii="Book Antiqua" w:eastAsia="Calibri" w:hAnsi="Book Antiqua" w:cs="Times New Roman"/>
          <w:bCs/>
          <w:color w:val="000000" w:themeColor="text1"/>
          <w:kern w:val="0"/>
          <w14:ligatures w14:val="none"/>
        </w:rPr>
        <w:t xml:space="preserve"> </w:t>
      </w:r>
      <w:r w:rsidR="007C49CD">
        <w:rPr>
          <w:rFonts w:ascii="Book Antiqua" w:eastAsia="Calibri" w:hAnsi="Book Antiqua" w:cs="Times New Roman"/>
          <w:bCs/>
          <w:color w:val="000000" w:themeColor="text1"/>
          <w:kern w:val="0"/>
          <w14:ligatures w14:val="none"/>
        </w:rPr>
        <w:t>707</w:t>
      </w:r>
      <w:r>
        <w:rPr>
          <w:rFonts w:ascii="Book Antiqua" w:eastAsia="Calibri" w:hAnsi="Book Antiqua" w:cs="Times New Roman"/>
          <w:bCs/>
          <w:color w:val="000000" w:themeColor="text1"/>
          <w:kern w:val="0"/>
          <w14:ligatures w14:val="none"/>
        </w:rPr>
        <w:t xml:space="preserve"> </w:t>
      </w:r>
      <w:r w:rsidR="007C49CD">
        <w:rPr>
          <w:rFonts w:ascii="Book Antiqua" w:eastAsia="Calibri" w:hAnsi="Book Antiqua" w:cs="Times New Roman"/>
          <w:bCs/>
          <w:color w:val="000000" w:themeColor="text1"/>
          <w:kern w:val="0"/>
          <w14:ligatures w14:val="none"/>
        </w:rPr>
        <w:t>(</w:t>
      </w:r>
      <w:r w:rsidRPr="0011027E">
        <w:rPr>
          <w:rFonts w:ascii="Book Antiqua" w:eastAsia="Times New Roman" w:hAnsi="Book Antiqua" w:cs="Times New Roman"/>
          <w:color w:val="000000" w:themeColor="text1"/>
          <w:kern w:val="0"/>
          <w14:ligatures w14:val="none"/>
        </w:rPr>
        <w:t xml:space="preserve">P. del S. </w:t>
      </w:r>
      <w:r w:rsidR="007C49CD">
        <w:rPr>
          <w:rFonts w:ascii="Book Antiqua" w:eastAsia="Times New Roman" w:hAnsi="Book Antiqua" w:cs="Times New Roman"/>
          <w:color w:val="000000" w:themeColor="text1"/>
          <w:kern w:val="0"/>
          <w14:ligatures w14:val="none"/>
        </w:rPr>
        <w:t>707)</w:t>
      </w:r>
      <w:r w:rsidR="008944CA" w:rsidRPr="0011027E">
        <w:rPr>
          <w:rFonts w:ascii="Book Antiqua" w:eastAsia="Calibri" w:hAnsi="Book Antiqua" w:cs="Times New Roman"/>
          <w:color w:val="000000" w:themeColor="text1"/>
          <w:kern w:val="0"/>
          <w14:ligatures w14:val="none"/>
        </w:rPr>
        <w:t xml:space="preserve">, </w:t>
      </w:r>
      <w:r>
        <w:rPr>
          <w:rFonts w:ascii="Book Antiqua" w:eastAsia="Calibri" w:hAnsi="Book Antiqua" w:cs="Times New Roman"/>
          <w:color w:val="000000" w:themeColor="text1"/>
          <w:kern w:val="0"/>
          <w14:ligatures w14:val="none"/>
        </w:rPr>
        <w:t>la Comisió</w:t>
      </w:r>
      <w:r w:rsidR="00D4097E">
        <w:rPr>
          <w:rFonts w:ascii="Book Antiqua" w:eastAsia="Calibri" w:hAnsi="Book Antiqua" w:cs="Times New Roman"/>
          <w:color w:val="000000" w:themeColor="text1"/>
          <w:kern w:val="0"/>
          <w14:ligatures w14:val="none"/>
        </w:rPr>
        <w:t xml:space="preserve">n de lo Jurídico </w:t>
      </w:r>
      <w:r w:rsidR="00520E2A" w:rsidRPr="009B1224">
        <w:rPr>
          <w:rFonts w:ascii="Book Antiqua" w:eastAsia="Calibri" w:hAnsi="Book Antiqua" w:cs="Times New Roman"/>
          <w:kern w:val="0"/>
          <w:lang w:val="es-ES"/>
          <w14:ligatures w14:val="none"/>
        </w:rPr>
        <w:t>de la Cámara de Representantes</w:t>
      </w:r>
      <w:r w:rsidR="00520E2A" w:rsidRPr="0011027E">
        <w:rPr>
          <w:rFonts w:ascii="Book Antiqua" w:eastAsia="Calibri" w:hAnsi="Book Antiqua" w:cs="Times New Roman"/>
          <w:color w:val="000000" w:themeColor="text1"/>
          <w:kern w:val="0"/>
          <w14:ligatures w14:val="none"/>
        </w:rPr>
        <w:t xml:space="preserve"> </w:t>
      </w:r>
      <w:r w:rsidR="008944CA" w:rsidRPr="0011027E">
        <w:rPr>
          <w:rFonts w:ascii="Book Antiqua" w:eastAsia="Calibri" w:hAnsi="Book Antiqua" w:cs="Times New Roman"/>
          <w:color w:val="000000" w:themeColor="text1"/>
          <w:kern w:val="0"/>
          <w14:ligatures w14:val="none"/>
        </w:rPr>
        <w:t>recomiend</w:t>
      </w:r>
      <w:r w:rsidR="00FA18AC" w:rsidRPr="0011027E">
        <w:rPr>
          <w:rFonts w:ascii="Book Antiqua" w:eastAsia="Calibri" w:hAnsi="Book Antiqua" w:cs="Times New Roman"/>
          <w:color w:val="000000" w:themeColor="text1"/>
          <w:kern w:val="0"/>
          <w14:ligatures w14:val="none"/>
        </w:rPr>
        <w:t xml:space="preserve">a </w:t>
      </w:r>
      <w:r w:rsidR="00D4097E">
        <w:rPr>
          <w:rFonts w:ascii="Book Antiqua" w:eastAsia="Calibri" w:hAnsi="Book Antiqua" w:cs="Times New Roman"/>
          <w:color w:val="000000" w:themeColor="text1"/>
          <w:kern w:val="0"/>
          <w14:ligatures w14:val="none"/>
        </w:rPr>
        <w:t xml:space="preserve">que </w:t>
      </w:r>
      <w:r w:rsidR="008944CA" w:rsidRPr="0011027E">
        <w:rPr>
          <w:rFonts w:ascii="Book Antiqua" w:eastAsia="Calibri" w:hAnsi="Book Antiqua" w:cs="Times New Roman"/>
          <w:color w:val="000000" w:themeColor="text1"/>
          <w:kern w:val="0"/>
          <w14:ligatures w14:val="none"/>
        </w:rPr>
        <w:t>s</w:t>
      </w:r>
      <w:r w:rsidR="00D4097E">
        <w:rPr>
          <w:rFonts w:ascii="Book Antiqua" w:eastAsia="Calibri" w:hAnsi="Book Antiqua" w:cs="Times New Roman"/>
          <w:color w:val="000000" w:themeColor="text1"/>
          <w:kern w:val="0"/>
          <w14:ligatures w14:val="none"/>
        </w:rPr>
        <w:t>e</w:t>
      </w:r>
      <w:r w:rsidR="008944CA" w:rsidRPr="0011027E">
        <w:rPr>
          <w:rFonts w:ascii="Book Antiqua" w:eastAsia="Calibri" w:hAnsi="Book Antiqua" w:cs="Times New Roman"/>
          <w:color w:val="000000" w:themeColor="text1"/>
          <w:kern w:val="0"/>
          <w14:ligatures w14:val="none"/>
        </w:rPr>
        <w:t xml:space="preserve"> apr</w:t>
      </w:r>
      <w:r w:rsidR="00A8587C">
        <w:rPr>
          <w:rFonts w:ascii="Book Antiqua" w:eastAsia="Calibri" w:hAnsi="Book Antiqua" w:cs="Times New Roman"/>
          <w:color w:val="000000" w:themeColor="text1"/>
          <w:kern w:val="0"/>
          <w14:ligatures w14:val="none"/>
        </w:rPr>
        <w:t xml:space="preserve">uebe </w:t>
      </w:r>
      <w:r w:rsidR="00A8587C">
        <w:rPr>
          <w:rFonts w:ascii="Book Antiqua" w:eastAsia="Calibri" w:hAnsi="Book Antiqua" w:cs="Times New Roman"/>
          <w:bCs/>
          <w:color w:val="000000" w:themeColor="text1"/>
          <w:kern w:val="0"/>
          <w14:ligatures w14:val="none"/>
        </w:rPr>
        <w:t>con las</w:t>
      </w:r>
      <w:r w:rsidR="00A8587C" w:rsidRPr="0011027E">
        <w:rPr>
          <w:rFonts w:ascii="Book Antiqua" w:eastAsia="Calibri" w:hAnsi="Book Antiqua" w:cs="Times New Roman"/>
          <w:bCs/>
          <w:color w:val="000000" w:themeColor="text1"/>
          <w:kern w:val="0"/>
          <w14:ligatures w14:val="none"/>
        </w:rPr>
        <w:t xml:space="preserve"> enmiendas</w:t>
      </w:r>
      <w:r w:rsidR="00A8587C">
        <w:rPr>
          <w:rFonts w:ascii="Book Antiqua" w:eastAsia="Calibri" w:hAnsi="Book Antiqua" w:cs="Times New Roman"/>
          <w:bCs/>
          <w:color w:val="000000" w:themeColor="text1"/>
          <w:kern w:val="0"/>
          <w14:ligatures w14:val="none"/>
        </w:rPr>
        <w:t xml:space="preserve"> en el </w:t>
      </w:r>
      <w:proofErr w:type="spellStart"/>
      <w:r w:rsidR="00A8587C">
        <w:rPr>
          <w:rFonts w:ascii="Book Antiqua" w:eastAsia="Calibri" w:hAnsi="Book Antiqua" w:cs="Times New Roman"/>
          <w:bCs/>
          <w:color w:val="000000" w:themeColor="text1"/>
          <w:kern w:val="0"/>
          <w14:ligatures w14:val="none"/>
        </w:rPr>
        <w:t>entirillado</w:t>
      </w:r>
      <w:proofErr w:type="spellEnd"/>
      <w:r w:rsidR="00A8587C">
        <w:rPr>
          <w:rFonts w:ascii="Book Antiqua" w:eastAsia="Calibri" w:hAnsi="Book Antiqua" w:cs="Times New Roman"/>
          <w:bCs/>
          <w:color w:val="000000" w:themeColor="text1"/>
          <w:kern w:val="0"/>
          <w14:ligatures w14:val="none"/>
        </w:rPr>
        <w:t xml:space="preserve"> electrónico adjunto</w:t>
      </w:r>
      <w:r w:rsidR="0057516C">
        <w:rPr>
          <w:rFonts w:ascii="Book Antiqua" w:eastAsia="Calibri" w:hAnsi="Book Antiqua" w:cs="Times New Roman"/>
          <w:bCs/>
          <w:color w:val="000000" w:themeColor="text1"/>
          <w:kern w:val="0"/>
          <w14:ligatures w14:val="none"/>
        </w:rPr>
        <w:t>.</w:t>
      </w:r>
      <w:r w:rsidR="00FA18AC" w:rsidRPr="0011027E">
        <w:rPr>
          <w:rFonts w:ascii="Book Antiqua" w:eastAsia="Calibri" w:hAnsi="Book Antiqua" w:cs="Times New Roman"/>
          <w:color w:val="000000" w:themeColor="text1"/>
          <w:kern w:val="0"/>
          <w14:ligatures w14:val="none"/>
        </w:rPr>
        <w:t xml:space="preserve"> </w:t>
      </w:r>
    </w:p>
    <w:p w14:paraId="56F8B727" w14:textId="3E807132" w:rsidR="005600B5" w:rsidRPr="008A68C3" w:rsidRDefault="00767EBE" w:rsidP="005600B5">
      <w:pPr>
        <w:spacing w:before="100" w:beforeAutospacing="1" w:after="100" w:afterAutospacing="1" w:line="240" w:lineRule="auto"/>
        <w:jc w:val="center"/>
        <w:outlineLvl w:val="2"/>
        <w:rPr>
          <w:rFonts w:ascii="Book Antiqua" w:eastAsia="Times New Roman" w:hAnsi="Book Antiqua" w:cs="Times New Roman"/>
          <w:color w:val="000000" w:themeColor="text1"/>
          <w:spacing w:val="12"/>
          <w:kern w:val="0"/>
          <w14:ligatures w14:val="none"/>
        </w:rPr>
      </w:pPr>
      <w:r w:rsidRPr="008A68C3">
        <w:rPr>
          <w:rFonts w:ascii="Book Antiqua" w:eastAsia="Times New Roman" w:hAnsi="Book Antiqua" w:cs="Times New Roman"/>
          <w:color w:val="000000" w:themeColor="text1"/>
          <w:spacing w:val="12"/>
          <w:kern w:val="0"/>
          <w14:ligatures w14:val="none"/>
        </w:rPr>
        <w:t>A</w:t>
      </w:r>
      <w:r w:rsidR="005600B5" w:rsidRPr="008A68C3">
        <w:rPr>
          <w:rFonts w:ascii="Book Antiqua" w:eastAsia="Times New Roman" w:hAnsi="Book Antiqua" w:cs="Times New Roman"/>
          <w:color w:val="000000" w:themeColor="text1"/>
          <w:spacing w:val="12"/>
          <w:kern w:val="0"/>
          <w14:ligatures w14:val="none"/>
        </w:rPr>
        <w:t>LCANCE DE LA MEDIDA</w:t>
      </w:r>
    </w:p>
    <w:p w14:paraId="03D7264E" w14:textId="0FCB42ED" w:rsidR="007B6CBC" w:rsidRDefault="00473356" w:rsidP="008A68C3">
      <w:pPr>
        <w:spacing w:before="120" w:after="120" w:line="288" w:lineRule="auto"/>
        <w:ind w:firstLine="720"/>
        <w:jc w:val="both"/>
        <w:rPr>
          <w:color w:val="000000" w:themeColor="text1"/>
          <w:sz w:val="23"/>
          <w:szCs w:val="23"/>
        </w:rPr>
      </w:pPr>
      <w:r w:rsidRPr="0011027E">
        <w:rPr>
          <w:rFonts w:ascii="Book Antiqua" w:eastAsia="Times New Roman" w:hAnsi="Book Antiqua" w:cs="Times New Roman"/>
          <w:color w:val="000000" w:themeColor="text1"/>
          <w:kern w:val="0"/>
          <w14:ligatures w14:val="none"/>
        </w:rPr>
        <w:t xml:space="preserve">El P. del S. </w:t>
      </w:r>
      <w:r w:rsidR="007546F9">
        <w:rPr>
          <w:rFonts w:ascii="Book Antiqua" w:eastAsia="Times New Roman" w:hAnsi="Book Antiqua" w:cs="Times New Roman"/>
          <w:color w:val="000000" w:themeColor="text1"/>
          <w:kern w:val="0"/>
          <w14:ligatures w14:val="none"/>
        </w:rPr>
        <w:t>707</w:t>
      </w:r>
      <w:r w:rsidR="0060083D" w:rsidRPr="0011027E">
        <w:rPr>
          <w:rFonts w:ascii="Book Antiqua" w:eastAsia="Times New Roman" w:hAnsi="Book Antiqua" w:cs="Times New Roman"/>
          <w:color w:val="000000" w:themeColor="text1"/>
          <w:kern w:val="0"/>
          <w14:ligatures w14:val="none"/>
        </w:rPr>
        <w:t xml:space="preserve"> </w:t>
      </w:r>
      <w:r w:rsidR="000E435D" w:rsidRPr="0011027E">
        <w:rPr>
          <w:rFonts w:ascii="Book Antiqua" w:eastAsia="Times New Roman" w:hAnsi="Book Antiqua" w:cs="Times New Roman"/>
          <w:color w:val="000000" w:themeColor="text1"/>
          <w:kern w:val="0"/>
          <w14:ligatures w14:val="none"/>
        </w:rPr>
        <w:t xml:space="preserve">tiene </w:t>
      </w:r>
      <w:r w:rsidR="007B6CBC" w:rsidRPr="0011027E">
        <w:rPr>
          <w:rFonts w:ascii="Book Antiqua" w:eastAsia="Times New Roman" w:hAnsi="Book Antiqua" w:cs="Times New Roman"/>
          <w:color w:val="000000" w:themeColor="text1"/>
          <w:kern w:val="0"/>
          <w14:ligatures w14:val="none"/>
        </w:rPr>
        <w:t xml:space="preserve">el objetivo de enmendar </w:t>
      </w:r>
      <w:r w:rsidR="00522050" w:rsidRPr="00522050">
        <w:rPr>
          <w:rFonts w:ascii="Book Antiqua" w:eastAsia="Times New Roman" w:hAnsi="Book Antiqua" w:cs="Times New Roman"/>
          <w:color w:val="000000" w:themeColor="text1"/>
          <w:kern w:val="0"/>
          <w14:ligatures w14:val="none"/>
        </w:rPr>
        <w:t xml:space="preserve">los </w:t>
      </w:r>
      <w:r w:rsidR="00522050">
        <w:rPr>
          <w:rFonts w:ascii="Book Antiqua" w:eastAsia="Times New Roman" w:hAnsi="Book Antiqua" w:cs="Times New Roman"/>
          <w:color w:val="000000" w:themeColor="text1"/>
          <w:kern w:val="0"/>
          <w14:ligatures w14:val="none"/>
        </w:rPr>
        <w:t>a</w:t>
      </w:r>
      <w:r w:rsidR="00522050" w:rsidRPr="00522050">
        <w:rPr>
          <w:rFonts w:ascii="Book Antiqua" w:eastAsia="Times New Roman" w:hAnsi="Book Antiqua" w:cs="Times New Roman"/>
          <w:color w:val="000000" w:themeColor="text1"/>
          <w:kern w:val="0"/>
          <w14:ligatures w14:val="none"/>
        </w:rPr>
        <w:t>rtículos 40, 58, 59, 60, 105, 106,</w:t>
      </w:r>
      <w:r w:rsidR="004405BD">
        <w:rPr>
          <w:rFonts w:ascii="Book Antiqua" w:eastAsia="Times New Roman" w:hAnsi="Book Antiqua" w:cs="Times New Roman"/>
          <w:color w:val="000000" w:themeColor="text1"/>
          <w:kern w:val="0"/>
          <w14:ligatures w14:val="none"/>
        </w:rPr>
        <w:t xml:space="preserve"> 177</w:t>
      </w:r>
      <w:r w:rsidR="00997C88">
        <w:rPr>
          <w:rFonts w:ascii="Book Antiqua" w:eastAsia="Times New Roman" w:hAnsi="Book Antiqua" w:cs="Times New Roman"/>
          <w:color w:val="000000" w:themeColor="text1"/>
          <w:kern w:val="0"/>
          <w14:ligatures w14:val="none"/>
        </w:rPr>
        <w:t>, 185</w:t>
      </w:r>
      <w:r w:rsidR="00522050" w:rsidRPr="00522050">
        <w:rPr>
          <w:rFonts w:ascii="Book Antiqua" w:eastAsia="Times New Roman" w:hAnsi="Book Antiqua" w:cs="Times New Roman"/>
          <w:color w:val="000000" w:themeColor="text1"/>
          <w:kern w:val="0"/>
          <w14:ligatures w14:val="none"/>
        </w:rPr>
        <w:t xml:space="preserve"> y 209 de la Ley Núm. 210-2015, según enmendada,</w:t>
      </w:r>
      <w:r w:rsidR="00522050">
        <w:rPr>
          <w:rStyle w:val="FootnoteReference"/>
          <w:rFonts w:ascii="Book Antiqua" w:eastAsia="Times New Roman" w:hAnsi="Book Antiqua" w:cs="Times New Roman"/>
          <w:color w:val="000000" w:themeColor="text1"/>
          <w:kern w:val="0"/>
          <w14:ligatures w14:val="none"/>
        </w:rPr>
        <w:footnoteReference w:id="1"/>
      </w:r>
      <w:r w:rsidR="00522050" w:rsidRPr="00522050">
        <w:rPr>
          <w:rFonts w:ascii="Book Antiqua" w:eastAsia="Times New Roman" w:hAnsi="Book Antiqua" w:cs="Times New Roman"/>
          <w:color w:val="000000" w:themeColor="text1"/>
          <w:kern w:val="0"/>
          <w14:ligatures w14:val="none"/>
        </w:rPr>
        <w:t xml:space="preserve"> a los fines de realizar enmiendas para armonizar el estatuto al ordenamiento jurídico vigente; y para otros fines relacionados.</w:t>
      </w:r>
      <w:r w:rsidR="000D587B">
        <w:rPr>
          <w:rStyle w:val="FootnoteReference"/>
          <w:rFonts w:ascii="Book Antiqua" w:eastAsia="Times New Roman" w:hAnsi="Book Antiqua" w:cs="Times New Roman"/>
          <w:color w:val="000000" w:themeColor="text1"/>
          <w:kern w:val="0"/>
          <w14:ligatures w14:val="none"/>
        </w:rPr>
        <w:footnoteReference w:id="2"/>
      </w:r>
    </w:p>
    <w:p w14:paraId="7990F4D7" w14:textId="77777777" w:rsidR="00632155" w:rsidRDefault="00632155" w:rsidP="008A68C3">
      <w:pPr>
        <w:spacing w:before="120" w:after="120" w:line="288" w:lineRule="auto"/>
        <w:ind w:firstLine="720"/>
        <w:jc w:val="both"/>
        <w:rPr>
          <w:color w:val="000000" w:themeColor="text1"/>
          <w:sz w:val="23"/>
          <w:szCs w:val="23"/>
        </w:rPr>
      </w:pPr>
    </w:p>
    <w:p w14:paraId="7488BBD9" w14:textId="77777777" w:rsidR="00381762" w:rsidRDefault="00381762" w:rsidP="008A68C3">
      <w:pPr>
        <w:spacing w:before="120" w:after="120" w:line="288" w:lineRule="auto"/>
        <w:ind w:firstLine="720"/>
        <w:jc w:val="both"/>
        <w:rPr>
          <w:color w:val="000000" w:themeColor="text1"/>
          <w:sz w:val="23"/>
          <w:szCs w:val="23"/>
        </w:rPr>
      </w:pPr>
    </w:p>
    <w:p w14:paraId="33A264E0" w14:textId="77777777" w:rsidR="00381762" w:rsidRDefault="00381762" w:rsidP="008A68C3">
      <w:pPr>
        <w:spacing w:before="120" w:after="120" w:line="288" w:lineRule="auto"/>
        <w:ind w:firstLine="720"/>
        <w:jc w:val="both"/>
        <w:rPr>
          <w:color w:val="000000" w:themeColor="text1"/>
          <w:sz w:val="23"/>
          <w:szCs w:val="23"/>
        </w:rPr>
      </w:pPr>
    </w:p>
    <w:p w14:paraId="68621B93" w14:textId="77777777" w:rsidR="00381762" w:rsidRDefault="00381762" w:rsidP="008A68C3">
      <w:pPr>
        <w:spacing w:before="120" w:after="120" w:line="288" w:lineRule="auto"/>
        <w:ind w:firstLine="720"/>
        <w:jc w:val="both"/>
        <w:rPr>
          <w:color w:val="000000" w:themeColor="text1"/>
          <w:sz w:val="23"/>
          <w:szCs w:val="23"/>
        </w:rPr>
      </w:pPr>
    </w:p>
    <w:p w14:paraId="2E6E318E" w14:textId="77777777" w:rsidR="00381762" w:rsidRDefault="00381762" w:rsidP="008A68C3">
      <w:pPr>
        <w:spacing w:before="120" w:after="120" w:line="288" w:lineRule="auto"/>
        <w:ind w:firstLine="720"/>
        <w:jc w:val="both"/>
        <w:rPr>
          <w:color w:val="000000" w:themeColor="text1"/>
          <w:sz w:val="23"/>
          <w:szCs w:val="23"/>
        </w:rPr>
      </w:pPr>
    </w:p>
    <w:p w14:paraId="248A9EA0" w14:textId="12E28A5B" w:rsidR="007B6CBC" w:rsidRPr="008A68C3" w:rsidRDefault="007B6CBC" w:rsidP="007C4192">
      <w:pPr>
        <w:spacing w:before="100" w:beforeAutospacing="1" w:after="120" w:line="288" w:lineRule="auto"/>
        <w:jc w:val="center"/>
        <w:outlineLvl w:val="2"/>
        <w:rPr>
          <w:rFonts w:ascii="Book Antiqua" w:eastAsia="Times New Roman" w:hAnsi="Book Antiqua" w:cs="Times New Roman"/>
          <w:color w:val="000000" w:themeColor="text1"/>
          <w:spacing w:val="12"/>
          <w:kern w:val="0"/>
          <w14:ligatures w14:val="none"/>
        </w:rPr>
      </w:pPr>
      <w:r w:rsidRPr="008A68C3">
        <w:rPr>
          <w:rFonts w:ascii="Book Antiqua" w:eastAsia="Times New Roman" w:hAnsi="Book Antiqua" w:cs="Times New Roman"/>
          <w:color w:val="000000" w:themeColor="text1"/>
          <w:spacing w:val="12"/>
          <w:kern w:val="0"/>
          <w14:ligatures w14:val="none"/>
        </w:rPr>
        <w:lastRenderedPageBreak/>
        <w:t>TRASFONDO</w:t>
      </w:r>
    </w:p>
    <w:p w14:paraId="62400D2C" w14:textId="11E1CE9B" w:rsidR="006929CC" w:rsidRDefault="006929CC" w:rsidP="00B8192C">
      <w:pPr>
        <w:spacing w:after="0" w:line="288" w:lineRule="auto"/>
        <w:ind w:firstLine="720"/>
        <w:jc w:val="both"/>
        <w:rPr>
          <w:rFonts w:ascii="Book Antiqua" w:eastAsia="Times New Roman" w:hAnsi="Book Antiqua" w:cs="Times New Roman"/>
          <w:color w:val="000000" w:themeColor="text1"/>
          <w:kern w:val="0"/>
          <w14:ligatures w14:val="none"/>
        </w:rPr>
      </w:pPr>
      <w:r w:rsidRPr="006929CC">
        <w:rPr>
          <w:rFonts w:ascii="Book Antiqua" w:eastAsia="Times New Roman" w:hAnsi="Book Antiqua" w:cs="Times New Roman"/>
          <w:color w:val="000000" w:themeColor="text1"/>
          <w:kern w:val="0"/>
          <w14:ligatures w14:val="none"/>
        </w:rPr>
        <w:t>La Ley Núm. 210-2015 se aprobó para brindar certeza en el tráfico de las transacciones jurídicas,</w:t>
      </w:r>
      <w:r w:rsidR="00567BD2">
        <w:rPr>
          <w:rFonts w:ascii="Book Antiqua" w:eastAsia="Times New Roman" w:hAnsi="Book Antiqua" w:cs="Times New Roman"/>
          <w:color w:val="000000" w:themeColor="text1"/>
          <w:kern w:val="0"/>
          <w14:ligatures w14:val="none"/>
        </w:rPr>
        <w:t xml:space="preserve"> lo cual</w:t>
      </w:r>
      <w:r w:rsidRPr="006929CC">
        <w:rPr>
          <w:rFonts w:ascii="Book Antiqua" w:eastAsia="Times New Roman" w:hAnsi="Book Antiqua" w:cs="Times New Roman"/>
          <w:color w:val="000000" w:themeColor="text1"/>
          <w:kern w:val="0"/>
          <w14:ligatures w14:val="none"/>
        </w:rPr>
        <w:t xml:space="preserve"> transform</w:t>
      </w:r>
      <w:r w:rsidR="00567BD2">
        <w:rPr>
          <w:rFonts w:ascii="Book Antiqua" w:eastAsia="Times New Roman" w:hAnsi="Book Antiqua" w:cs="Times New Roman"/>
          <w:color w:val="000000" w:themeColor="text1"/>
          <w:kern w:val="0"/>
          <w14:ligatures w14:val="none"/>
        </w:rPr>
        <w:t>ó</w:t>
      </w:r>
      <w:r w:rsidRPr="006929CC">
        <w:rPr>
          <w:rFonts w:ascii="Book Antiqua" w:eastAsia="Times New Roman" w:hAnsi="Book Antiqua" w:cs="Times New Roman"/>
          <w:color w:val="000000" w:themeColor="text1"/>
          <w:kern w:val="0"/>
          <w14:ligatures w14:val="none"/>
        </w:rPr>
        <w:t xml:space="preserve"> legal y tecnológicamente el derecho inmobiliario y el Registro de la Propiedad.</w:t>
      </w:r>
      <w:r w:rsidR="00567BD2">
        <w:rPr>
          <w:rFonts w:ascii="Book Antiqua" w:eastAsia="Times New Roman" w:hAnsi="Book Antiqua" w:cs="Times New Roman"/>
          <w:color w:val="000000" w:themeColor="text1"/>
          <w:kern w:val="0"/>
          <w14:ligatures w14:val="none"/>
        </w:rPr>
        <w:t xml:space="preserve"> </w:t>
      </w:r>
    </w:p>
    <w:p w14:paraId="501E8395" w14:textId="77777777" w:rsidR="00343795" w:rsidRDefault="002B2A9C" w:rsidP="00B8192C">
      <w:pPr>
        <w:spacing w:after="0" w:line="288" w:lineRule="auto"/>
        <w:ind w:firstLine="720"/>
        <w:jc w:val="both"/>
        <w:rPr>
          <w:rFonts w:ascii="Book Antiqua" w:eastAsia="Times New Roman" w:hAnsi="Book Antiqua" w:cs="Times New Roman"/>
          <w:color w:val="000000" w:themeColor="text1"/>
          <w:kern w:val="0"/>
          <w14:ligatures w14:val="none"/>
        </w:rPr>
      </w:pPr>
      <w:r w:rsidRPr="002B2A9C">
        <w:rPr>
          <w:rFonts w:ascii="Book Antiqua" w:eastAsia="Times New Roman" w:hAnsi="Book Antiqua" w:cs="Times New Roman"/>
          <w:color w:val="000000" w:themeColor="text1"/>
          <w:kern w:val="0"/>
          <w14:ligatures w14:val="none"/>
        </w:rPr>
        <w:t xml:space="preserve">La mencionada </w:t>
      </w:r>
      <w:r>
        <w:rPr>
          <w:rFonts w:ascii="Book Antiqua" w:eastAsia="Times New Roman" w:hAnsi="Book Antiqua" w:cs="Times New Roman"/>
          <w:color w:val="000000" w:themeColor="text1"/>
          <w:kern w:val="0"/>
          <w14:ligatures w14:val="none"/>
        </w:rPr>
        <w:t>l</w:t>
      </w:r>
      <w:r w:rsidRPr="002B2A9C">
        <w:rPr>
          <w:rFonts w:ascii="Book Antiqua" w:eastAsia="Times New Roman" w:hAnsi="Book Antiqua" w:cs="Times New Roman"/>
          <w:color w:val="000000" w:themeColor="text1"/>
          <w:kern w:val="0"/>
          <w14:ligatures w14:val="none"/>
        </w:rPr>
        <w:t>ey es producto del esfuerzo para innovar el Registro mediante la tecnología,</w:t>
      </w:r>
      <w:r w:rsidR="008D5709">
        <w:rPr>
          <w:rFonts w:ascii="Book Antiqua" w:eastAsia="Times New Roman" w:hAnsi="Book Antiqua" w:cs="Times New Roman"/>
          <w:color w:val="000000" w:themeColor="text1"/>
          <w:kern w:val="0"/>
          <w14:ligatures w14:val="none"/>
        </w:rPr>
        <w:t xml:space="preserve"> y</w:t>
      </w:r>
      <w:r w:rsidRPr="002B2A9C">
        <w:rPr>
          <w:rFonts w:ascii="Book Antiqua" w:eastAsia="Times New Roman" w:hAnsi="Book Antiqua" w:cs="Times New Roman"/>
          <w:color w:val="000000" w:themeColor="text1"/>
          <w:kern w:val="0"/>
          <w14:ligatures w14:val="none"/>
        </w:rPr>
        <w:t xml:space="preserve"> la creación de un sistema registral digitalizado y electrónico. La </w:t>
      </w:r>
      <w:r w:rsidR="008D5709">
        <w:rPr>
          <w:rFonts w:ascii="Book Antiqua" w:eastAsia="Times New Roman" w:hAnsi="Book Antiqua" w:cs="Times New Roman"/>
          <w:color w:val="000000" w:themeColor="text1"/>
          <w:kern w:val="0"/>
          <w14:ligatures w14:val="none"/>
        </w:rPr>
        <w:t>l</w:t>
      </w:r>
      <w:r w:rsidRPr="002B2A9C">
        <w:rPr>
          <w:rFonts w:ascii="Book Antiqua" w:eastAsia="Times New Roman" w:hAnsi="Book Antiqua" w:cs="Times New Roman"/>
          <w:color w:val="000000" w:themeColor="text1"/>
          <w:kern w:val="0"/>
          <w14:ligatures w14:val="none"/>
        </w:rPr>
        <w:t xml:space="preserve">ey está organizada en 323 </w:t>
      </w:r>
      <w:r w:rsidR="008D5709">
        <w:rPr>
          <w:rFonts w:ascii="Book Antiqua" w:eastAsia="Times New Roman" w:hAnsi="Book Antiqua" w:cs="Times New Roman"/>
          <w:color w:val="000000" w:themeColor="text1"/>
          <w:kern w:val="0"/>
          <w14:ligatures w14:val="none"/>
        </w:rPr>
        <w:t>a</w:t>
      </w:r>
      <w:r w:rsidRPr="002B2A9C">
        <w:rPr>
          <w:rFonts w:ascii="Book Antiqua" w:eastAsia="Times New Roman" w:hAnsi="Book Antiqua" w:cs="Times New Roman"/>
          <w:color w:val="000000" w:themeColor="text1"/>
          <w:kern w:val="0"/>
          <w14:ligatures w14:val="none"/>
        </w:rPr>
        <w:t>rtículos presentados de manera coherente</w:t>
      </w:r>
      <w:r w:rsidR="003A331D">
        <w:rPr>
          <w:rFonts w:ascii="Book Antiqua" w:eastAsia="Times New Roman" w:hAnsi="Book Antiqua" w:cs="Times New Roman"/>
          <w:color w:val="000000" w:themeColor="text1"/>
          <w:kern w:val="0"/>
          <w14:ligatures w14:val="none"/>
        </w:rPr>
        <w:t xml:space="preserve">. Se </w:t>
      </w:r>
      <w:r w:rsidRPr="002B2A9C">
        <w:rPr>
          <w:rFonts w:ascii="Book Antiqua" w:eastAsia="Times New Roman" w:hAnsi="Book Antiqua" w:cs="Times New Roman"/>
          <w:color w:val="000000" w:themeColor="text1"/>
          <w:kern w:val="0"/>
          <w14:ligatures w14:val="none"/>
        </w:rPr>
        <w:t>integra</w:t>
      </w:r>
      <w:r w:rsidR="003A331D">
        <w:rPr>
          <w:rFonts w:ascii="Book Antiqua" w:eastAsia="Times New Roman" w:hAnsi="Book Antiqua" w:cs="Times New Roman"/>
          <w:color w:val="000000" w:themeColor="text1"/>
          <w:kern w:val="0"/>
          <w14:ligatures w14:val="none"/>
        </w:rPr>
        <w:t>ron</w:t>
      </w:r>
      <w:r w:rsidRPr="002B2A9C">
        <w:rPr>
          <w:rFonts w:ascii="Book Antiqua" w:eastAsia="Times New Roman" w:hAnsi="Book Antiqua" w:cs="Times New Roman"/>
          <w:color w:val="000000" w:themeColor="text1"/>
          <w:kern w:val="0"/>
          <w14:ligatures w14:val="none"/>
        </w:rPr>
        <w:t xml:space="preserve"> los textos de leyes vigentes con trascendencia en el tema, tales como lo era el Reglamento Hipotecario y jurisprudencia que tuv</w:t>
      </w:r>
      <w:r w:rsidR="00773031">
        <w:rPr>
          <w:rFonts w:ascii="Book Antiqua" w:eastAsia="Times New Roman" w:hAnsi="Book Antiqua" w:cs="Times New Roman"/>
          <w:color w:val="000000" w:themeColor="text1"/>
          <w:kern w:val="0"/>
          <w14:ligatures w14:val="none"/>
        </w:rPr>
        <w:t>o</w:t>
      </w:r>
      <w:r w:rsidRPr="002B2A9C">
        <w:rPr>
          <w:rFonts w:ascii="Book Antiqua" w:eastAsia="Times New Roman" w:hAnsi="Book Antiqua" w:cs="Times New Roman"/>
          <w:color w:val="000000" w:themeColor="text1"/>
          <w:kern w:val="0"/>
          <w14:ligatures w14:val="none"/>
        </w:rPr>
        <w:t xml:space="preserve"> un impacto en la materia. </w:t>
      </w:r>
    </w:p>
    <w:p w14:paraId="76FF3A23" w14:textId="63162F4A" w:rsidR="006929CC" w:rsidRDefault="002B2A9C" w:rsidP="004405BD">
      <w:pPr>
        <w:spacing w:after="0" w:line="288" w:lineRule="auto"/>
        <w:ind w:firstLine="720"/>
        <w:jc w:val="both"/>
        <w:rPr>
          <w:rFonts w:ascii="Book Antiqua" w:eastAsia="Times New Roman" w:hAnsi="Book Antiqua" w:cs="Times New Roman"/>
          <w:color w:val="000000" w:themeColor="text1"/>
          <w:kern w:val="0"/>
          <w14:ligatures w14:val="none"/>
        </w:rPr>
      </w:pPr>
      <w:r w:rsidRPr="002B2A9C">
        <w:rPr>
          <w:rFonts w:ascii="Book Antiqua" w:eastAsia="Times New Roman" w:hAnsi="Book Antiqua" w:cs="Times New Roman"/>
          <w:color w:val="000000" w:themeColor="text1"/>
          <w:kern w:val="0"/>
          <w14:ligatures w14:val="none"/>
        </w:rPr>
        <w:t xml:space="preserve">Con el </w:t>
      </w:r>
      <w:r w:rsidR="00343795">
        <w:rPr>
          <w:rFonts w:ascii="Book Antiqua" w:eastAsia="Times New Roman" w:hAnsi="Book Antiqua" w:cs="Times New Roman"/>
          <w:color w:val="000000" w:themeColor="text1"/>
          <w:kern w:val="0"/>
          <w14:ligatures w14:val="none"/>
        </w:rPr>
        <w:t>paso</w:t>
      </w:r>
      <w:r w:rsidRPr="002B2A9C">
        <w:rPr>
          <w:rFonts w:ascii="Book Antiqua" w:eastAsia="Times New Roman" w:hAnsi="Book Antiqua" w:cs="Times New Roman"/>
          <w:color w:val="000000" w:themeColor="text1"/>
          <w:kern w:val="0"/>
          <w14:ligatures w14:val="none"/>
        </w:rPr>
        <w:t xml:space="preserve"> del tiempo, algunas de las referencias </w:t>
      </w:r>
      <w:r w:rsidR="00343795">
        <w:rPr>
          <w:rFonts w:ascii="Book Antiqua" w:eastAsia="Times New Roman" w:hAnsi="Book Antiqua" w:cs="Times New Roman"/>
          <w:color w:val="000000" w:themeColor="text1"/>
          <w:kern w:val="0"/>
          <w14:ligatures w14:val="none"/>
        </w:rPr>
        <w:t xml:space="preserve">en </w:t>
      </w:r>
      <w:r w:rsidRPr="002B2A9C">
        <w:rPr>
          <w:rFonts w:ascii="Book Antiqua" w:eastAsia="Times New Roman" w:hAnsi="Book Antiqua" w:cs="Times New Roman"/>
          <w:color w:val="000000" w:themeColor="text1"/>
          <w:kern w:val="0"/>
          <w14:ligatures w14:val="none"/>
        </w:rPr>
        <w:t xml:space="preserve">la Ley del Registro Inmobiliario han sufrido cambios trascendentales. Entre ellas, la derogación del Código Civil de 1930, según enmendado, para establecer un nuevo Código Civil en 2020. El Código Civil, como bien indica su exposición de motivos es una ley general que reglamenta </w:t>
      </w:r>
      <w:r w:rsidR="00343795">
        <w:rPr>
          <w:rFonts w:ascii="Book Antiqua" w:eastAsia="Times New Roman" w:hAnsi="Book Antiqua" w:cs="Times New Roman"/>
          <w:color w:val="000000" w:themeColor="text1"/>
          <w:kern w:val="0"/>
          <w14:ligatures w14:val="none"/>
        </w:rPr>
        <w:t xml:space="preserve">múltiples </w:t>
      </w:r>
      <w:r w:rsidRPr="002B2A9C">
        <w:rPr>
          <w:rFonts w:ascii="Book Antiqua" w:eastAsia="Times New Roman" w:hAnsi="Book Antiqua" w:cs="Times New Roman"/>
          <w:color w:val="000000" w:themeColor="text1"/>
          <w:kern w:val="0"/>
          <w14:ligatures w14:val="none"/>
        </w:rPr>
        <w:t xml:space="preserve">asuntos relacionados con la vida de los seres humanos y su interacción cotidiana con los demás. </w:t>
      </w:r>
    </w:p>
    <w:p w14:paraId="5A842B36" w14:textId="0AAA4896" w:rsidR="004405BD" w:rsidRDefault="004405BD" w:rsidP="004405BD">
      <w:pPr>
        <w:suppressLineNumbers/>
        <w:spacing w:after="120" w:line="288" w:lineRule="auto"/>
        <w:ind w:firstLine="720"/>
        <w:jc w:val="both"/>
        <w:rPr>
          <w:rFonts w:ascii="Book Antiqua" w:eastAsia="Times New Roman" w:hAnsi="Book Antiqua" w:cs="Times New Roman"/>
          <w:color w:val="000000" w:themeColor="text1"/>
          <w:spacing w:val="12"/>
          <w:kern w:val="0"/>
          <w14:ligatures w14:val="none"/>
        </w:rPr>
      </w:pPr>
      <w:r w:rsidRPr="004405BD">
        <w:rPr>
          <w:rFonts w:ascii="Book Antiqua" w:hAnsi="Book Antiqua"/>
        </w:rPr>
        <w:t xml:space="preserve">En esencia, se removieron las referencias a los artículos específicos del </w:t>
      </w:r>
      <w:r w:rsidRPr="004405BD">
        <w:rPr>
          <w:rFonts w:ascii="Book Antiqua" w:hAnsi="Book Antiqua"/>
          <w:lang w:val="es-ES_tradnl"/>
        </w:rPr>
        <w:t xml:space="preserve">Código Civil de 1930, y se incluyeron referencias a </w:t>
      </w:r>
      <w:r w:rsidRPr="004405BD">
        <w:rPr>
          <w:rFonts w:ascii="Book Antiqua" w:hAnsi="Book Antiqua"/>
        </w:rPr>
        <w:t xml:space="preserve">la Ley Núm. 55-2020. En el caso de usufructo legal del cónyuge viudo, y del expediente de dominio, se mantuvieron las referencias a ambos códigos. En otras enmiendas se hizo referencia directa al contenido de la Ley Núm. 55-2020 en lugar de mencionar el Código Civil de 2020. Por último, se enmendó la hora de comienzo de las subastas.   </w:t>
      </w:r>
    </w:p>
    <w:p w14:paraId="1019624F" w14:textId="4E4638D6" w:rsidR="0032132D" w:rsidRPr="008A68C3" w:rsidRDefault="0032132D" w:rsidP="00B8192C">
      <w:pPr>
        <w:spacing w:after="120" w:line="288" w:lineRule="auto"/>
        <w:ind w:firstLine="720"/>
        <w:jc w:val="center"/>
        <w:rPr>
          <w:rFonts w:ascii="Book Antiqua" w:eastAsia="Times New Roman" w:hAnsi="Book Antiqua" w:cs="Times New Roman"/>
          <w:color w:val="000000" w:themeColor="text1"/>
          <w:spacing w:val="12"/>
          <w:kern w:val="0"/>
          <w14:ligatures w14:val="none"/>
        </w:rPr>
      </w:pPr>
      <w:r w:rsidRPr="008A68C3">
        <w:rPr>
          <w:rFonts w:ascii="Book Antiqua" w:eastAsia="Times New Roman" w:hAnsi="Book Antiqua" w:cs="Times New Roman"/>
          <w:color w:val="000000" w:themeColor="text1"/>
          <w:spacing w:val="12"/>
          <w:kern w:val="0"/>
          <w14:ligatures w14:val="none"/>
        </w:rPr>
        <w:t>ANÁLISIS DE LA MEDIDA</w:t>
      </w:r>
    </w:p>
    <w:p w14:paraId="6E209778" w14:textId="1F709478" w:rsidR="002C29F1" w:rsidRDefault="002C29F1" w:rsidP="002C29F1">
      <w:pPr>
        <w:tabs>
          <w:tab w:val="left" w:pos="-720"/>
        </w:tabs>
        <w:suppressAutoHyphens/>
        <w:spacing w:after="120" w:line="288" w:lineRule="auto"/>
        <w:ind w:firstLine="720"/>
        <w:jc w:val="both"/>
        <w:rPr>
          <w:rFonts w:ascii="Book Antiqua" w:hAnsi="Book Antiqua"/>
        </w:rPr>
      </w:pPr>
      <w:r>
        <w:rPr>
          <w:rFonts w:ascii="Book Antiqua" w:hAnsi="Book Antiqua"/>
        </w:rPr>
        <w:t>A continuación, se reseñan los memoriales recibidos al momento de redactar este informe</w:t>
      </w:r>
      <w:r w:rsidR="00EB69BA">
        <w:rPr>
          <w:rFonts w:ascii="Book Antiqua" w:hAnsi="Book Antiqua"/>
        </w:rPr>
        <w:t xml:space="preserve">, los cuales se expresaron sobre </w:t>
      </w:r>
      <w:r w:rsidR="003A5A27">
        <w:rPr>
          <w:rFonts w:ascii="Book Antiqua" w:hAnsi="Book Antiqua"/>
        </w:rPr>
        <w:t>la versión original de la medida antes de que fuera aprobada por el Senado.</w:t>
      </w:r>
      <w:r w:rsidRPr="00A16D50">
        <w:rPr>
          <w:rFonts w:ascii="Book Antiqua" w:hAnsi="Book Antiqua"/>
        </w:rPr>
        <w:tab/>
      </w:r>
    </w:p>
    <w:p w14:paraId="735FD119" w14:textId="77777777" w:rsidR="002C29F1" w:rsidRPr="003E477A" w:rsidRDefault="002C29F1" w:rsidP="002C29F1">
      <w:pPr>
        <w:tabs>
          <w:tab w:val="left" w:pos="-720"/>
        </w:tabs>
        <w:suppressAutoHyphens/>
        <w:spacing w:after="120" w:line="288" w:lineRule="auto"/>
        <w:jc w:val="both"/>
        <w:rPr>
          <w:rFonts w:ascii="Book Antiqua" w:hAnsi="Book Antiqua"/>
        </w:rPr>
      </w:pPr>
      <w:r>
        <w:rPr>
          <w:rFonts w:ascii="Book Antiqua" w:hAnsi="Book Antiqua"/>
          <w:sz w:val="22"/>
          <w:szCs w:val="22"/>
        </w:rPr>
        <w:tab/>
      </w:r>
      <w:r w:rsidRPr="003E477A">
        <w:rPr>
          <w:rFonts w:ascii="Book Antiqua" w:hAnsi="Book Antiqua"/>
        </w:rPr>
        <w:t xml:space="preserve">La </w:t>
      </w:r>
      <w:r w:rsidRPr="003E477A">
        <w:rPr>
          <w:rFonts w:ascii="Book Antiqua" w:hAnsi="Book Antiqua"/>
          <w:b/>
          <w:bCs/>
        </w:rPr>
        <w:t xml:space="preserve">Oficina de Administración de los Tribunales </w:t>
      </w:r>
      <w:r w:rsidRPr="003E477A">
        <w:rPr>
          <w:rFonts w:ascii="Book Antiqua" w:hAnsi="Book Antiqua"/>
        </w:rPr>
        <w:t>(OAT) esbozó que la medida constituye un asunto de política pública que se enmarca en el ejercicio de las potestades legislativas. Así, la OAT invocó su norma de abstenerse de emitir juicio sobre asuntos de política pública gubernamental de la competencia de las otras ramas de gobierno.</w:t>
      </w:r>
    </w:p>
    <w:p w14:paraId="44F985E8" w14:textId="77777777" w:rsidR="004405BD" w:rsidRDefault="005060A9" w:rsidP="004771FF">
      <w:pPr>
        <w:spacing w:after="0" w:line="288" w:lineRule="auto"/>
        <w:ind w:firstLine="720"/>
        <w:jc w:val="both"/>
        <w:rPr>
          <w:rFonts w:ascii="Book Antiqua" w:eastAsia="Times New Roman" w:hAnsi="Book Antiqua" w:cs="Times New Roman"/>
          <w:color w:val="000000" w:themeColor="text1"/>
          <w:kern w:val="0"/>
          <w14:ligatures w14:val="none"/>
        </w:rPr>
      </w:pPr>
      <w:r>
        <w:rPr>
          <w:rFonts w:ascii="Book Antiqua" w:hAnsi="Book Antiqua"/>
        </w:rPr>
        <w:t xml:space="preserve">La </w:t>
      </w:r>
      <w:r>
        <w:rPr>
          <w:rFonts w:ascii="Book Antiqua" w:hAnsi="Book Antiqua"/>
          <w:b/>
          <w:bCs/>
        </w:rPr>
        <w:t xml:space="preserve">Asociación de Bancos de Puerto Rico </w:t>
      </w:r>
      <w:r>
        <w:rPr>
          <w:rFonts w:ascii="Book Antiqua" w:hAnsi="Book Antiqua"/>
        </w:rPr>
        <w:t xml:space="preserve">(Asociación) </w:t>
      </w:r>
      <w:r w:rsidR="00315EA0" w:rsidRPr="00315EA0">
        <w:rPr>
          <w:rFonts w:ascii="Book Antiqua" w:hAnsi="Book Antiqua"/>
        </w:rPr>
        <w:t xml:space="preserve">favorece las enmiendas propuestas a los </w:t>
      </w:r>
      <w:r w:rsidR="00315EA0">
        <w:rPr>
          <w:rFonts w:ascii="Book Antiqua" w:hAnsi="Book Antiqua"/>
        </w:rPr>
        <w:t>a</w:t>
      </w:r>
      <w:r w:rsidR="00315EA0" w:rsidRPr="00315EA0">
        <w:rPr>
          <w:rFonts w:ascii="Book Antiqua" w:hAnsi="Book Antiqua"/>
        </w:rPr>
        <w:t>rtículos 40, 58, 59, 60, 105, 129 y 131</w:t>
      </w:r>
      <w:r w:rsidR="00315EA0">
        <w:rPr>
          <w:rFonts w:ascii="Book Antiqua" w:hAnsi="Book Antiqua"/>
        </w:rPr>
        <w:t xml:space="preserve"> de la </w:t>
      </w:r>
      <w:r w:rsidR="00315EA0" w:rsidRPr="00522050">
        <w:rPr>
          <w:rFonts w:ascii="Book Antiqua" w:eastAsia="Times New Roman" w:hAnsi="Book Antiqua" w:cs="Times New Roman"/>
          <w:color w:val="000000" w:themeColor="text1"/>
          <w:kern w:val="0"/>
          <w14:ligatures w14:val="none"/>
        </w:rPr>
        <w:t>Ley Núm. 210-2015</w:t>
      </w:r>
      <w:r w:rsidR="00991310">
        <w:rPr>
          <w:rFonts w:ascii="Book Antiqua" w:eastAsia="Times New Roman" w:hAnsi="Book Antiqua" w:cs="Times New Roman"/>
          <w:color w:val="000000" w:themeColor="text1"/>
          <w:kern w:val="0"/>
          <w14:ligatures w14:val="none"/>
        </w:rPr>
        <w:t xml:space="preserve">. </w:t>
      </w:r>
      <w:r w:rsidR="0076119E">
        <w:rPr>
          <w:rFonts w:ascii="Book Antiqua" w:eastAsia="Times New Roman" w:hAnsi="Book Antiqua" w:cs="Times New Roman"/>
          <w:color w:val="000000" w:themeColor="text1"/>
          <w:kern w:val="0"/>
          <w14:ligatures w14:val="none"/>
        </w:rPr>
        <w:t>No quiso emitir comentarios a</w:t>
      </w:r>
      <w:r w:rsidR="00F85367">
        <w:rPr>
          <w:rFonts w:ascii="Book Antiqua" w:eastAsia="Times New Roman" w:hAnsi="Book Antiqua" w:cs="Times New Roman"/>
          <w:color w:val="000000" w:themeColor="text1"/>
          <w:kern w:val="0"/>
          <w14:ligatures w14:val="none"/>
        </w:rPr>
        <w:t xml:space="preserve"> los cambios propuestos para el artículo 209</w:t>
      </w:r>
      <w:r w:rsidR="000D3663">
        <w:rPr>
          <w:rFonts w:ascii="Book Antiqua" w:eastAsia="Times New Roman" w:hAnsi="Book Antiqua" w:cs="Times New Roman"/>
          <w:color w:val="000000" w:themeColor="text1"/>
          <w:kern w:val="0"/>
          <w14:ligatures w14:val="none"/>
        </w:rPr>
        <w:t>.</w:t>
      </w:r>
    </w:p>
    <w:p w14:paraId="5174AD73" w14:textId="2536DE43" w:rsidR="00020F32" w:rsidRDefault="000D3663" w:rsidP="004771FF">
      <w:pPr>
        <w:spacing w:after="0" w:line="288" w:lineRule="auto"/>
        <w:ind w:firstLine="720"/>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 xml:space="preserve"> </w:t>
      </w:r>
    </w:p>
    <w:p w14:paraId="2FF24499" w14:textId="21C6C339" w:rsidR="00D17A84" w:rsidRPr="005060A9" w:rsidRDefault="000D3663" w:rsidP="00F43EFB">
      <w:pPr>
        <w:spacing w:after="120" w:line="288" w:lineRule="auto"/>
        <w:ind w:firstLine="720"/>
        <w:jc w:val="both"/>
        <w:rPr>
          <w:rFonts w:ascii="Book Antiqua" w:hAnsi="Book Antiqua"/>
        </w:rPr>
      </w:pPr>
      <w:r>
        <w:rPr>
          <w:rFonts w:ascii="Book Antiqua" w:eastAsia="Times New Roman" w:hAnsi="Book Antiqua" w:cs="Times New Roman"/>
          <w:color w:val="000000" w:themeColor="text1"/>
          <w:kern w:val="0"/>
          <w14:ligatures w14:val="none"/>
        </w:rPr>
        <w:lastRenderedPageBreak/>
        <w:t xml:space="preserve">Tampoco recomendó </w:t>
      </w:r>
      <w:r w:rsidR="00E057BD" w:rsidRPr="00E057BD">
        <w:rPr>
          <w:rFonts w:ascii="Book Antiqua" w:eastAsia="Times New Roman" w:hAnsi="Book Antiqua" w:cs="Times New Roman"/>
          <w:color w:val="000000" w:themeColor="text1"/>
          <w:kern w:val="0"/>
          <w14:ligatures w14:val="none"/>
        </w:rPr>
        <w:t xml:space="preserve">el lenguaje propuesto para las subsecciones 2, 3 y 4 de la enmienda al </w:t>
      </w:r>
      <w:r w:rsidR="007D734D">
        <w:rPr>
          <w:rFonts w:ascii="Book Antiqua" w:eastAsia="Times New Roman" w:hAnsi="Book Antiqua" w:cs="Times New Roman"/>
          <w:color w:val="000000" w:themeColor="text1"/>
          <w:kern w:val="0"/>
          <w14:ligatures w14:val="none"/>
        </w:rPr>
        <w:t>a</w:t>
      </w:r>
      <w:r w:rsidR="00E057BD" w:rsidRPr="00E057BD">
        <w:rPr>
          <w:rFonts w:ascii="Book Antiqua" w:eastAsia="Times New Roman" w:hAnsi="Book Antiqua" w:cs="Times New Roman"/>
          <w:color w:val="000000" w:themeColor="text1"/>
          <w:kern w:val="0"/>
          <w14:ligatures w14:val="none"/>
        </w:rPr>
        <w:t>rtículo 106</w:t>
      </w:r>
      <w:r w:rsidR="007D734D">
        <w:rPr>
          <w:rFonts w:ascii="Book Antiqua" w:eastAsia="Times New Roman" w:hAnsi="Book Antiqua" w:cs="Times New Roman"/>
          <w:color w:val="000000" w:themeColor="text1"/>
          <w:kern w:val="0"/>
          <w14:ligatures w14:val="none"/>
        </w:rPr>
        <w:t>. Tal lenguaje</w:t>
      </w:r>
      <w:r w:rsidR="00E057BD" w:rsidRPr="00E057BD">
        <w:rPr>
          <w:rFonts w:ascii="Book Antiqua" w:eastAsia="Times New Roman" w:hAnsi="Book Antiqua" w:cs="Times New Roman"/>
          <w:color w:val="000000" w:themeColor="text1"/>
          <w:kern w:val="0"/>
          <w14:ligatures w14:val="none"/>
        </w:rPr>
        <w:t xml:space="preserve"> existió en el </w:t>
      </w:r>
      <w:r w:rsidR="007D734D">
        <w:rPr>
          <w:rFonts w:ascii="Book Antiqua" w:eastAsia="Times New Roman" w:hAnsi="Book Antiqua" w:cs="Times New Roman"/>
          <w:color w:val="000000" w:themeColor="text1"/>
          <w:kern w:val="0"/>
          <w14:ligatures w14:val="none"/>
        </w:rPr>
        <w:t>a</w:t>
      </w:r>
      <w:r w:rsidR="00E057BD" w:rsidRPr="00E057BD">
        <w:rPr>
          <w:rFonts w:ascii="Book Antiqua" w:eastAsia="Times New Roman" w:hAnsi="Book Antiqua" w:cs="Times New Roman"/>
          <w:color w:val="000000" w:themeColor="text1"/>
          <w:kern w:val="0"/>
          <w14:ligatures w14:val="none"/>
        </w:rPr>
        <w:t xml:space="preserve">rtículo 1348 del Código Civil de 1930 y </w:t>
      </w:r>
      <w:r w:rsidR="00195860">
        <w:rPr>
          <w:rFonts w:ascii="Book Antiqua" w:eastAsia="Times New Roman" w:hAnsi="Book Antiqua" w:cs="Times New Roman"/>
          <w:color w:val="000000" w:themeColor="text1"/>
          <w:kern w:val="0"/>
          <w14:ligatures w14:val="none"/>
        </w:rPr>
        <w:t xml:space="preserve">la referencia a ese artículo 1348 </w:t>
      </w:r>
      <w:r w:rsidR="00E057BD" w:rsidRPr="00E057BD">
        <w:rPr>
          <w:rFonts w:ascii="Book Antiqua" w:eastAsia="Times New Roman" w:hAnsi="Book Antiqua" w:cs="Times New Roman"/>
          <w:color w:val="000000" w:themeColor="text1"/>
          <w:kern w:val="0"/>
          <w14:ligatures w14:val="none"/>
        </w:rPr>
        <w:t>se propone derogar en</w:t>
      </w:r>
      <w:r w:rsidR="00E66FCB">
        <w:rPr>
          <w:rFonts w:ascii="Book Antiqua" w:eastAsia="Times New Roman" w:hAnsi="Book Antiqua" w:cs="Times New Roman"/>
          <w:color w:val="000000" w:themeColor="text1"/>
          <w:kern w:val="0"/>
          <w14:ligatures w14:val="none"/>
        </w:rPr>
        <w:t xml:space="preserve"> la medida</w:t>
      </w:r>
      <w:r w:rsidR="00E057BD" w:rsidRPr="00E057BD">
        <w:rPr>
          <w:rFonts w:ascii="Book Antiqua" w:eastAsia="Times New Roman" w:hAnsi="Book Antiqua" w:cs="Times New Roman"/>
          <w:color w:val="000000" w:themeColor="text1"/>
          <w:kern w:val="0"/>
          <w14:ligatures w14:val="none"/>
        </w:rPr>
        <w:t xml:space="preserve">. </w:t>
      </w:r>
      <w:r w:rsidR="00824FF0">
        <w:rPr>
          <w:rFonts w:ascii="Book Antiqua" w:eastAsia="Times New Roman" w:hAnsi="Book Antiqua" w:cs="Times New Roman"/>
          <w:color w:val="000000" w:themeColor="text1"/>
          <w:kern w:val="0"/>
          <w14:ligatures w14:val="none"/>
        </w:rPr>
        <w:t>La Asociación r</w:t>
      </w:r>
      <w:r w:rsidR="00E057BD" w:rsidRPr="00E057BD">
        <w:rPr>
          <w:rFonts w:ascii="Book Antiqua" w:eastAsia="Times New Roman" w:hAnsi="Book Antiqua" w:cs="Times New Roman"/>
          <w:color w:val="000000" w:themeColor="text1"/>
          <w:kern w:val="0"/>
          <w14:ligatures w14:val="none"/>
        </w:rPr>
        <w:t>ecomend</w:t>
      </w:r>
      <w:r w:rsidR="00824FF0">
        <w:rPr>
          <w:rFonts w:ascii="Book Antiqua" w:eastAsia="Times New Roman" w:hAnsi="Book Antiqua" w:cs="Times New Roman"/>
          <w:color w:val="000000" w:themeColor="text1"/>
          <w:kern w:val="0"/>
          <w14:ligatures w14:val="none"/>
        </w:rPr>
        <w:t>ó</w:t>
      </w:r>
      <w:r w:rsidR="00E057BD" w:rsidRPr="00E057BD">
        <w:rPr>
          <w:rFonts w:ascii="Book Antiqua" w:eastAsia="Times New Roman" w:hAnsi="Book Antiqua" w:cs="Times New Roman"/>
          <w:color w:val="000000" w:themeColor="text1"/>
          <w:kern w:val="0"/>
          <w14:ligatures w14:val="none"/>
        </w:rPr>
        <w:t xml:space="preserve"> reenumerar la subsección número 5 por la subsección 2</w:t>
      </w:r>
      <w:r w:rsidR="0033033C">
        <w:rPr>
          <w:rFonts w:ascii="Book Antiqua" w:eastAsia="Times New Roman" w:hAnsi="Book Antiqua" w:cs="Times New Roman"/>
          <w:color w:val="000000" w:themeColor="text1"/>
          <w:kern w:val="0"/>
          <w14:ligatures w14:val="none"/>
        </w:rPr>
        <w:t xml:space="preserve"> del a</w:t>
      </w:r>
      <w:r w:rsidR="0033033C" w:rsidRPr="00E057BD">
        <w:rPr>
          <w:rFonts w:ascii="Book Antiqua" w:eastAsia="Times New Roman" w:hAnsi="Book Antiqua" w:cs="Times New Roman"/>
          <w:color w:val="000000" w:themeColor="text1"/>
          <w:kern w:val="0"/>
          <w14:ligatures w14:val="none"/>
        </w:rPr>
        <w:t>rtículo 106</w:t>
      </w:r>
      <w:r w:rsidR="00824FF0">
        <w:rPr>
          <w:rFonts w:ascii="Book Antiqua" w:eastAsia="Times New Roman" w:hAnsi="Book Antiqua" w:cs="Times New Roman"/>
          <w:color w:val="000000" w:themeColor="text1"/>
          <w:kern w:val="0"/>
          <w14:ligatures w14:val="none"/>
        </w:rPr>
        <w:t>,</w:t>
      </w:r>
      <w:r w:rsidR="00E057BD" w:rsidRPr="00E057BD">
        <w:rPr>
          <w:rFonts w:ascii="Book Antiqua" w:eastAsia="Times New Roman" w:hAnsi="Book Antiqua" w:cs="Times New Roman"/>
          <w:color w:val="000000" w:themeColor="text1"/>
          <w:kern w:val="0"/>
          <w14:ligatures w14:val="none"/>
        </w:rPr>
        <w:t xml:space="preserve"> la cual hace referencia al </w:t>
      </w:r>
      <w:r w:rsidR="00824FF0">
        <w:rPr>
          <w:rFonts w:ascii="Book Antiqua" w:eastAsia="Times New Roman" w:hAnsi="Book Antiqua" w:cs="Times New Roman"/>
          <w:color w:val="000000" w:themeColor="text1"/>
          <w:kern w:val="0"/>
          <w14:ligatures w14:val="none"/>
        </w:rPr>
        <w:t>a</w:t>
      </w:r>
      <w:r w:rsidR="00E057BD" w:rsidRPr="00E057BD">
        <w:rPr>
          <w:rFonts w:ascii="Book Antiqua" w:eastAsia="Times New Roman" w:hAnsi="Book Antiqua" w:cs="Times New Roman"/>
          <w:color w:val="000000" w:themeColor="text1"/>
          <w:kern w:val="0"/>
          <w14:ligatures w14:val="none"/>
        </w:rPr>
        <w:t>rtículo 1277 del Código Civil de 2020</w:t>
      </w:r>
      <w:r w:rsidR="00D14184">
        <w:rPr>
          <w:rFonts w:ascii="Book Antiqua" w:eastAsia="Times New Roman" w:hAnsi="Book Antiqua" w:cs="Times New Roman"/>
          <w:color w:val="000000" w:themeColor="text1"/>
          <w:kern w:val="0"/>
          <w14:ligatures w14:val="none"/>
        </w:rPr>
        <w:t>. Este</w:t>
      </w:r>
      <w:r w:rsidR="00F12EE4">
        <w:rPr>
          <w:rFonts w:ascii="Book Antiqua" w:eastAsia="Times New Roman" w:hAnsi="Book Antiqua" w:cs="Times New Roman"/>
          <w:color w:val="000000" w:themeColor="text1"/>
          <w:kern w:val="0"/>
          <w14:ligatures w14:val="none"/>
        </w:rPr>
        <w:t xml:space="preserve"> artículo</w:t>
      </w:r>
      <w:r w:rsidR="00E057BD" w:rsidRPr="00E057BD">
        <w:rPr>
          <w:rFonts w:ascii="Book Antiqua" w:eastAsia="Times New Roman" w:hAnsi="Book Antiqua" w:cs="Times New Roman"/>
          <w:color w:val="000000" w:themeColor="text1"/>
          <w:kern w:val="0"/>
          <w14:ligatures w14:val="none"/>
        </w:rPr>
        <w:t xml:space="preserve"> es la contrarreferencia al </w:t>
      </w:r>
      <w:r w:rsidR="00D14184">
        <w:rPr>
          <w:rFonts w:ascii="Book Antiqua" w:eastAsia="Times New Roman" w:hAnsi="Book Antiqua" w:cs="Times New Roman"/>
          <w:color w:val="000000" w:themeColor="text1"/>
          <w:kern w:val="0"/>
          <w14:ligatures w14:val="none"/>
        </w:rPr>
        <w:t>a</w:t>
      </w:r>
      <w:r w:rsidR="00E057BD" w:rsidRPr="00E057BD">
        <w:rPr>
          <w:rFonts w:ascii="Book Antiqua" w:eastAsia="Times New Roman" w:hAnsi="Book Antiqua" w:cs="Times New Roman"/>
          <w:color w:val="000000" w:themeColor="text1"/>
          <w:kern w:val="0"/>
          <w14:ligatures w14:val="none"/>
        </w:rPr>
        <w:t>rtículo 1348 del Código Civil de 1930</w:t>
      </w:r>
      <w:r w:rsidR="00D14184">
        <w:rPr>
          <w:rFonts w:ascii="Book Antiqua" w:eastAsia="Times New Roman" w:hAnsi="Book Antiqua" w:cs="Times New Roman"/>
          <w:color w:val="000000" w:themeColor="text1"/>
          <w:kern w:val="0"/>
          <w14:ligatures w14:val="none"/>
        </w:rPr>
        <w:t>.</w:t>
      </w:r>
    </w:p>
    <w:p w14:paraId="42E0C627" w14:textId="5CCB88AB" w:rsidR="00D17A84" w:rsidRDefault="00005E4C" w:rsidP="00AA4559">
      <w:pPr>
        <w:spacing w:after="0" w:line="288" w:lineRule="auto"/>
        <w:ind w:firstLine="720"/>
        <w:jc w:val="both"/>
        <w:rPr>
          <w:rFonts w:ascii="Book Antiqua" w:hAnsi="Book Antiqua"/>
        </w:rPr>
      </w:pPr>
      <w:r>
        <w:rPr>
          <w:rFonts w:ascii="Book Antiqua" w:hAnsi="Book Antiqua"/>
        </w:rPr>
        <w:t>A</w:t>
      </w:r>
      <w:r w:rsidR="003E2ABD">
        <w:rPr>
          <w:rFonts w:ascii="Book Antiqua" w:hAnsi="Book Antiqua"/>
        </w:rPr>
        <w:t xml:space="preserve">l </w:t>
      </w:r>
      <w:r w:rsidR="003E2ABD">
        <w:rPr>
          <w:rFonts w:ascii="Book Antiqua" w:hAnsi="Book Antiqua"/>
          <w:b/>
          <w:bCs/>
        </w:rPr>
        <w:t xml:space="preserve">Colegio Notarial de Puerto Rico </w:t>
      </w:r>
      <w:r w:rsidR="002016E8">
        <w:rPr>
          <w:rFonts w:ascii="Book Antiqua" w:hAnsi="Book Antiqua"/>
        </w:rPr>
        <w:t>(Colegio)</w:t>
      </w:r>
      <w:r>
        <w:rPr>
          <w:rFonts w:ascii="Book Antiqua" w:hAnsi="Book Antiqua"/>
        </w:rPr>
        <w:t xml:space="preserve"> le preocupan las </w:t>
      </w:r>
      <w:r w:rsidR="00787DF0">
        <w:rPr>
          <w:rFonts w:ascii="Book Antiqua" w:hAnsi="Book Antiqua"/>
        </w:rPr>
        <w:t xml:space="preserve">enmiendas relacionadas con la cuota viudal usufructuaria. </w:t>
      </w:r>
      <w:r w:rsidR="00B27E7B">
        <w:rPr>
          <w:rFonts w:ascii="Book Antiqua" w:hAnsi="Book Antiqua"/>
        </w:rPr>
        <w:t>S</w:t>
      </w:r>
      <w:r w:rsidR="00B27E7B" w:rsidRPr="00B27E7B">
        <w:rPr>
          <w:rFonts w:ascii="Book Antiqua" w:hAnsi="Book Antiqua"/>
        </w:rPr>
        <w:t>ubsiste</w:t>
      </w:r>
      <w:r w:rsidR="00B27E7B">
        <w:rPr>
          <w:rFonts w:ascii="Book Antiqua" w:hAnsi="Book Antiqua"/>
        </w:rPr>
        <w:t>n</w:t>
      </w:r>
      <w:r w:rsidR="00B27E7B" w:rsidRPr="00B27E7B">
        <w:rPr>
          <w:rFonts w:ascii="Book Antiqua" w:hAnsi="Book Antiqua"/>
        </w:rPr>
        <w:t xml:space="preserve"> sucesiones</w:t>
      </w:r>
      <w:r w:rsidR="00B27E7B">
        <w:rPr>
          <w:rFonts w:ascii="Book Antiqua" w:hAnsi="Book Antiqua"/>
        </w:rPr>
        <w:t xml:space="preserve"> p</w:t>
      </w:r>
      <w:r w:rsidR="00B27E7B" w:rsidRPr="00B27E7B">
        <w:rPr>
          <w:rFonts w:ascii="Book Antiqua" w:hAnsi="Book Antiqua"/>
        </w:rPr>
        <w:t>endientes de liquidación que se rigen por el régimen del Código Civil de 1930, en las</w:t>
      </w:r>
      <w:r w:rsidR="00D1499E">
        <w:rPr>
          <w:rFonts w:ascii="Book Antiqua" w:hAnsi="Book Antiqua"/>
        </w:rPr>
        <w:t xml:space="preserve"> </w:t>
      </w:r>
      <w:r w:rsidR="00B27E7B" w:rsidRPr="00B27E7B">
        <w:rPr>
          <w:rFonts w:ascii="Book Antiqua" w:hAnsi="Book Antiqua"/>
        </w:rPr>
        <w:t>cuales aplica la cuota viudal usufructuaria. Por tanto, eliminar</w:t>
      </w:r>
      <w:r w:rsidR="00D1499E">
        <w:rPr>
          <w:rFonts w:ascii="Book Antiqua" w:hAnsi="Book Antiqua"/>
        </w:rPr>
        <w:t xml:space="preserve"> </w:t>
      </w:r>
      <w:r w:rsidR="00B27E7B" w:rsidRPr="00B27E7B">
        <w:rPr>
          <w:rFonts w:ascii="Book Antiqua" w:hAnsi="Book Antiqua"/>
        </w:rPr>
        <w:t>referencias a dicha figura del texto de la Ley del Registro de la Propiedad podría generar</w:t>
      </w:r>
      <w:r w:rsidR="00D1499E">
        <w:rPr>
          <w:rFonts w:ascii="Book Antiqua" w:hAnsi="Book Antiqua"/>
        </w:rPr>
        <w:t xml:space="preserve"> </w:t>
      </w:r>
      <w:r w:rsidR="00B27E7B" w:rsidRPr="00B27E7B">
        <w:rPr>
          <w:rFonts w:ascii="Book Antiqua" w:hAnsi="Book Antiqua"/>
        </w:rPr>
        <w:t>incertidumbre jurídica y dificultades prácticas en los procesos de inscripción y</w:t>
      </w:r>
      <w:r w:rsidR="00D1499E">
        <w:rPr>
          <w:rFonts w:ascii="Book Antiqua" w:hAnsi="Book Antiqua"/>
        </w:rPr>
        <w:t xml:space="preserve"> </w:t>
      </w:r>
      <w:r w:rsidR="00B27E7B" w:rsidRPr="00B27E7B">
        <w:rPr>
          <w:rFonts w:ascii="Book Antiqua" w:hAnsi="Book Antiqua"/>
        </w:rPr>
        <w:t>adjudicación hereditaria.</w:t>
      </w:r>
    </w:p>
    <w:p w14:paraId="5EAB7E89" w14:textId="12010BC7" w:rsidR="00AE33C6" w:rsidRPr="003E2ABD" w:rsidRDefault="00AE33C6" w:rsidP="00601AF3">
      <w:pPr>
        <w:spacing w:after="0" w:line="288" w:lineRule="auto"/>
        <w:ind w:firstLine="720"/>
        <w:jc w:val="both"/>
        <w:rPr>
          <w:rFonts w:ascii="Book Antiqua" w:hAnsi="Book Antiqua"/>
        </w:rPr>
      </w:pPr>
      <w:r>
        <w:rPr>
          <w:rFonts w:ascii="Book Antiqua" w:hAnsi="Book Antiqua"/>
        </w:rPr>
        <w:t xml:space="preserve">El Colegio recomendó </w:t>
      </w:r>
      <w:r w:rsidR="00244103" w:rsidRPr="00244103">
        <w:rPr>
          <w:rFonts w:ascii="Book Antiqua" w:hAnsi="Book Antiqua"/>
        </w:rPr>
        <w:t>que se mantenga la referencia</w:t>
      </w:r>
      <w:r w:rsidR="00244103">
        <w:rPr>
          <w:rFonts w:ascii="Book Antiqua" w:hAnsi="Book Antiqua"/>
        </w:rPr>
        <w:t xml:space="preserve"> </w:t>
      </w:r>
      <w:r w:rsidR="00244103" w:rsidRPr="00244103">
        <w:rPr>
          <w:rFonts w:ascii="Book Antiqua" w:hAnsi="Book Antiqua"/>
        </w:rPr>
        <w:t xml:space="preserve">a la cuota viudal usufructuaria en los </w:t>
      </w:r>
      <w:r w:rsidR="00244103">
        <w:rPr>
          <w:rFonts w:ascii="Book Antiqua" w:hAnsi="Book Antiqua"/>
        </w:rPr>
        <w:t>a</w:t>
      </w:r>
      <w:r w:rsidR="00244103" w:rsidRPr="00244103">
        <w:rPr>
          <w:rFonts w:ascii="Book Antiqua" w:hAnsi="Book Antiqua"/>
        </w:rPr>
        <w:t>rtículos 129 y 131 de la</w:t>
      </w:r>
      <w:r w:rsidR="00FB620D">
        <w:rPr>
          <w:rFonts w:ascii="Book Antiqua" w:hAnsi="Book Antiqua"/>
        </w:rPr>
        <w:t xml:space="preserve"> </w:t>
      </w:r>
      <w:r w:rsidR="00FB620D" w:rsidRPr="00FB620D">
        <w:rPr>
          <w:rFonts w:ascii="Book Antiqua" w:hAnsi="Book Antiqua"/>
        </w:rPr>
        <w:t>Ley Núm. 210-2015</w:t>
      </w:r>
      <w:r w:rsidR="005768CB">
        <w:rPr>
          <w:rFonts w:ascii="Book Antiqua" w:hAnsi="Book Antiqua"/>
        </w:rPr>
        <w:t>. También sugirió que se</w:t>
      </w:r>
      <w:r w:rsidR="00FB620D">
        <w:rPr>
          <w:rFonts w:ascii="Book Antiqua" w:hAnsi="Book Antiqua"/>
        </w:rPr>
        <w:t xml:space="preserve"> </w:t>
      </w:r>
      <w:r w:rsidR="005768CB" w:rsidRPr="005768CB">
        <w:rPr>
          <w:rFonts w:ascii="Book Antiqua" w:hAnsi="Book Antiqua"/>
        </w:rPr>
        <w:t>incluya un</w:t>
      </w:r>
      <w:r w:rsidR="005768CB">
        <w:rPr>
          <w:rFonts w:ascii="Book Antiqua" w:hAnsi="Book Antiqua"/>
        </w:rPr>
        <w:t xml:space="preserve"> </w:t>
      </w:r>
      <w:r w:rsidR="005768CB" w:rsidRPr="005768CB">
        <w:rPr>
          <w:rFonts w:ascii="Book Antiqua" w:hAnsi="Book Antiqua"/>
        </w:rPr>
        <w:t>lenguaje que preserve la aplicabilidad de la cuota viudal usufructuaria en aquellos casos</w:t>
      </w:r>
      <w:r w:rsidR="009472AE">
        <w:rPr>
          <w:rFonts w:ascii="Book Antiqua" w:hAnsi="Book Antiqua"/>
        </w:rPr>
        <w:t xml:space="preserve"> </w:t>
      </w:r>
      <w:r w:rsidR="009472AE" w:rsidRPr="009472AE">
        <w:rPr>
          <w:rFonts w:ascii="Book Antiqua" w:hAnsi="Book Antiqua"/>
        </w:rPr>
        <w:t>que, conforme a las disposiciones transitorias del Código Civil de 2020, continúe</w:t>
      </w:r>
      <w:r w:rsidR="009472AE">
        <w:rPr>
          <w:rFonts w:ascii="Book Antiqua" w:hAnsi="Book Antiqua"/>
        </w:rPr>
        <w:t xml:space="preserve"> </w:t>
      </w:r>
      <w:r w:rsidR="009472AE" w:rsidRPr="009472AE">
        <w:rPr>
          <w:rFonts w:ascii="Book Antiqua" w:hAnsi="Book Antiqua"/>
        </w:rPr>
        <w:t>vigente el régimen del Código Civil de 1930.</w:t>
      </w:r>
    </w:p>
    <w:p w14:paraId="668B5749" w14:textId="66155BB2" w:rsidR="00D17A84" w:rsidRDefault="008D5EC6" w:rsidP="00075A87">
      <w:pPr>
        <w:spacing w:after="240" w:line="288" w:lineRule="auto"/>
        <w:ind w:firstLine="720"/>
        <w:jc w:val="both"/>
        <w:rPr>
          <w:rFonts w:ascii="Book Antiqua" w:hAnsi="Book Antiqua"/>
        </w:rPr>
      </w:pPr>
      <w:r>
        <w:rPr>
          <w:rFonts w:ascii="Book Antiqua" w:hAnsi="Book Antiqua"/>
        </w:rPr>
        <w:t xml:space="preserve">Así, el Colegio </w:t>
      </w:r>
      <w:r w:rsidR="00601AF3">
        <w:rPr>
          <w:rFonts w:ascii="Book Antiqua" w:hAnsi="Book Antiqua"/>
        </w:rPr>
        <w:t xml:space="preserve">reitera </w:t>
      </w:r>
      <w:r w:rsidR="00601AF3" w:rsidRPr="00601AF3">
        <w:rPr>
          <w:rFonts w:ascii="Book Antiqua" w:hAnsi="Book Antiqua"/>
        </w:rPr>
        <w:t>su apoyo a toda medida legislativa dirigida a</w:t>
      </w:r>
      <w:r w:rsidR="00601AF3">
        <w:rPr>
          <w:rFonts w:ascii="Book Antiqua" w:hAnsi="Book Antiqua"/>
        </w:rPr>
        <w:t xml:space="preserve"> </w:t>
      </w:r>
      <w:r w:rsidR="00601AF3" w:rsidRPr="00601AF3">
        <w:rPr>
          <w:rFonts w:ascii="Book Antiqua" w:hAnsi="Book Antiqua"/>
        </w:rPr>
        <w:t>armonizar las disposiciones de la Ley del Registro de la Propiedad Inmobiliaria con el</w:t>
      </w:r>
      <w:r w:rsidR="00601AF3">
        <w:rPr>
          <w:rFonts w:ascii="Book Antiqua" w:hAnsi="Book Antiqua"/>
        </w:rPr>
        <w:t xml:space="preserve"> </w:t>
      </w:r>
      <w:r w:rsidR="00601AF3" w:rsidRPr="00601AF3">
        <w:rPr>
          <w:rFonts w:ascii="Book Antiqua" w:hAnsi="Book Antiqua"/>
        </w:rPr>
        <w:t>ordenamiento jurídico vigente, en especial con el Código Civil de 2020</w:t>
      </w:r>
      <w:r w:rsidR="00601AF3">
        <w:rPr>
          <w:rFonts w:ascii="Book Antiqua" w:hAnsi="Book Antiqua"/>
        </w:rPr>
        <w:t>.</w:t>
      </w:r>
    </w:p>
    <w:p w14:paraId="34B610B5" w14:textId="0F767942" w:rsidR="005600B5" w:rsidRPr="00C93D61" w:rsidRDefault="005600B5" w:rsidP="00507510">
      <w:pPr>
        <w:tabs>
          <w:tab w:val="left" w:pos="4145"/>
        </w:tabs>
        <w:spacing w:after="120" w:line="288" w:lineRule="auto"/>
        <w:ind w:firstLine="720"/>
        <w:jc w:val="center"/>
        <w:rPr>
          <w:rFonts w:ascii="Book Antiqua" w:eastAsia="Times New Roman" w:hAnsi="Book Antiqua" w:cs="Times New Roman"/>
          <w:color w:val="000000" w:themeColor="text1"/>
          <w:spacing w:val="12"/>
          <w:kern w:val="0"/>
          <w14:ligatures w14:val="none"/>
        </w:rPr>
      </w:pPr>
      <w:r w:rsidRPr="00C93D61">
        <w:rPr>
          <w:rFonts w:ascii="Book Antiqua" w:eastAsia="Times New Roman" w:hAnsi="Book Antiqua" w:cs="Times New Roman"/>
          <w:color w:val="000000" w:themeColor="text1"/>
          <w:spacing w:val="12"/>
          <w:kern w:val="0"/>
          <w14:ligatures w14:val="none"/>
        </w:rPr>
        <w:t>CONCLUSIÓN</w:t>
      </w:r>
      <w:r w:rsidR="00507510">
        <w:rPr>
          <w:rFonts w:ascii="Book Antiqua" w:eastAsia="Times New Roman" w:hAnsi="Book Antiqua" w:cs="Times New Roman"/>
          <w:color w:val="000000" w:themeColor="text1"/>
          <w:spacing w:val="12"/>
          <w:kern w:val="0"/>
          <w14:ligatures w14:val="none"/>
        </w:rPr>
        <w:t xml:space="preserve"> Y RECOMENDACI</w:t>
      </w:r>
      <w:r w:rsidR="00507510" w:rsidRPr="00C93D61">
        <w:rPr>
          <w:rFonts w:ascii="Book Antiqua" w:eastAsia="Times New Roman" w:hAnsi="Book Antiqua" w:cs="Times New Roman"/>
          <w:color w:val="000000" w:themeColor="text1"/>
          <w:spacing w:val="12"/>
          <w:kern w:val="0"/>
          <w14:ligatures w14:val="none"/>
        </w:rPr>
        <w:t>Ó</w:t>
      </w:r>
      <w:r w:rsidR="00507510">
        <w:rPr>
          <w:rFonts w:ascii="Book Antiqua" w:eastAsia="Times New Roman" w:hAnsi="Book Antiqua" w:cs="Times New Roman"/>
          <w:color w:val="000000" w:themeColor="text1"/>
          <w:spacing w:val="12"/>
          <w:kern w:val="0"/>
          <w14:ligatures w14:val="none"/>
        </w:rPr>
        <w:t>N</w:t>
      </w:r>
    </w:p>
    <w:p w14:paraId="58D7C74F" w14:textId="22E19210" w:rsidR="00DD348B" w:rsidRDefault="004875E0" w:rsidP="00EF529B">
      <w:pPr>
        <w:spacing w:after="0" w:line="288" w:lineRule="auto"/>
        <w:ind w:firstLine="720"/>
        <w:jc w:val="both"/>
        <w:rPr>
          <w:rFonts w:ascii="Book Antiqua" w:hAnsi="Book Antiqua"/>
          <w:color w:val="000000" w:themeColor="text1"/>
        </w:rPr>
      </w:pPr>
      <w:r>
        <w:rPr>
          <w:rFonts w:ascii="Book Antiqua" w:hAnsi="Book Antiqua"/>
          <w:color w:val="000000" w:themeColor="text1"/>
        </w:rPr>
        <w:t xml:space="preserve">Según el trámite legislativo, el Senado </w:t>
      </w:r>
      <w:r w:rsidR="000E6823">
        <w:rPr>
          <w:rFonts w:ascii="Book Antiqua" w:hAnsi="Book Antiqua"/>
          <w:color w:val="000000" w:themeColor="text1"/>
        </w:rPr>
        <w:t xml:space="preserve">eliminó las enmiendas a los </w:t>
      </w:r>
      <w:r w:rsidR="003E6FAA">
        <w:rPr>
          <w:rFonts w:ascii="Book Antiqua" w:hAnsi="Book Antiqua"/>
        </w:rPr>
        <w:t>a</w:t>
      </w:r>
      <w:r w:rsidR="003E6FAA" w:rsidRPr="00244103">
        <w:rPr>
          <w:rFonts w:ascii="Book Antiqua" w:hAnsi="Book Antiqua"/>
        </w:rPr>
        <w:t>rtículos 129 y 131 de la</w:t>
      </w:r>
      <w:r w:rsidR="003E6FAA">
        <w:rPr>
          <w:rFonts w:ascii="Book Antiqua" w:hAnsi="Book Antiqua"/>
        </w:rPr>
        <w:t xml:space="preserve"> </w:t>
      </w:r>
      <w:r w:rsidR="003E6FAA" w:rsidRPr="00FB620D">
        <w:rPr>
          <w:rFonts w:ascii="Book Antiqua" w:hAnsi="Book Antiqua"/>
        </w:rPr>
        <w:t>Ley Núm. 210-2015</w:t>
      </w:r>
      <w:r w:rsidR="00FA5C64">
        <w:rPr>
          <w:rFonts w:ascii="Book Antiqua" w:hAnsi="Book Antiqua"/>
        </w:rPr>
        <w:t xml:space="preserve">, por lo que no aparecen en el </w:t>
      </w:r>
      <w:proofErr w:type="spellStart"/>
      <w:r w:rsidR="00FA5C64">
        <w:rPr>
          <w:rFonts w:ascii="Book Antiqua" w:hAnsi="Book Antiqua"/>
        </w:rPr>
        <w:t>entirillado</w:t>
      </w:r>
      <w:proofErr w:type="spellEnd"/>
      <w:r w:rsidR="003E6FAA">
        <w:rPr>
          <w:rFonts w:ascii="Book Antiqua" w:hAnsi="Book Antiqua"/>
        </w:rPr>
        <w:t xml:space="preserve">. En su lugar, </w:t>
      </w:r>
      <w:r w:rsidR="00355BBD">
        <w:rPr>
          <w:rFonts w:ascii="Book Antiqua" w:hAnsi="Book Antiqua"/>
          <w:color w:val="000000" w:themeColor="text1"/>
        </w:rPr>
        <w:t xml:space="preserve">adoptó las recomendaciones del Colegio sobre </w:t>
      </w:r>
      <w:r w:rsidR="00632465">
        <w:rPr>
          <w:rFonts w:ascii="Book Antiqua" w:hAnsi="Book Antiqua"/>
          <w:color w:val="000000" w:themeColor="text1"/>
        </w:rPr>
        <w:t>el usufructo legal del cónyuge viudo</w:t>
      </w:r>
      <w:r w:rsidR="003E6FAA">
        <w:rPr>
          <w:rFonts w:ascii="Book Antiqua" w:hAnsi="Book Antiqua"/>
          <w:color w:val="000000" w:themeColor="text1"/>
        </w:rPr>
        <w:t xml:space="preserve"> </w:t>
      </w:r>
      <w:r w:rsidR="00CC1689">
        <w:rPr>
          <w:rFonts w:ascii="Book Antiqua" w:hAnsi="Book Antiqua"/>
          <w:color w:val="000000" w:themeColor="text1"/>
        </w:rPr>
        <w:t xml:space="preserve">a los </w:t>
      </w:r>
      <w:r w:rsidR="00CC1689">
        <w:rPr>
          <w:rFonts w:ascii="Book Antiqua" w:hAnsi="Book Antiqua"/>
        </w:rPr>
        <w:t>a</w:t>
      </w:r>
      <w:r w:rsidR="00CC1689" w:rsidRPr="00244103">
        <w:rPr>
          <w:rFonts w:ascii="Book Antiqua" w:hAnsi="Book Antiqua"/>
        </w:rPr>
        <w:t xml:space="preserve">rtículos </w:t>
      </w:r>
      <w:r w:rsidR="00CC1689">
        <w:rPr>
          <w:rFonts w:ascii="Book Antiqua" w:hAnsi="Book Antiqua"/>
        </w:rPr>
        <w:t>5</w:t>
      </w:r>
      <w:r w:rsidR="00CC1689" w:rsidRPr="00244103">
        <w:rPr>
          <w:rFonts w:ascii="Book Antiqua" w:hAnsi="Book Antiqua"/>
        </w:rPr>
        <w:t xml:space="preserve">9 y </w:t>
      </w:r>
      <w:r w:rsidR="00CC1689">
        <w:rPr>
          <w:rFonts w:ascii="Book Antiqua" w:hAnsi="Book Antiqua"/>
        </w:rPr>
        <w:t>60</w:t>
      </w:r>
      <w:r w:rsidR="00CC1689" w:rsidRPr="00244103">
        <w:rPr>
          <w:rFonts w:ascii="Book Antiqua" w:hAnsi="Book Antiqua"/>
        </w:rPr>
        <w:t xml:space="preserve"> de la</w:t>
      </w:r>
      <w:r w:rsidR="00CC1689">
        <w:rPr>
          <w:rFonts w:ascii="Book Antiqua" w:hAnsi="Book Antiqua"/>
        </w:rPr>
        <w:t xml:space="preserve"> </w:t>
      </w:r>
      <w:r w:rsidR="00CC1689" w:rsidRPr="00FB620D">
        <w:rPr>
          <w:rFonts w:ascii="Book Antiqua" w:hAnsi="Book Antiqua"/>
        </w:rPr>
        <w:t>Ley Núm. 210-2015</w:t>
      </w:r>
      <w:r w:rsidR="003D170D">
        <w:rPr>
          <w:rFonts w:ascii="Book Antiqua" w:hAnsi="Book Antiqua"/>
        </w:rPr>
        <w:t>.</w:t>
      </w:r>
    </w:p>
    <w:p w14:paraId="23568C13" w14:textId="1F070F0C" w:rsidR="00F20360" w:rsidRDefault="000A3D36" w:rsidP="000B2D1E">
      <w:pPr>
        <w:spacing w:after="120" w:line="288" w:lineRule="auto"/>
        <w:ind w:firstLine="720"/>
        <w:jc w:val="both"/>
        <w:rPr>
          <w:rFonts w:ascii="Book Antiqua" w:eastAsia="Times New Roman" w:hAnsi="Book Antiqua" w:cs="Times New Roman"/>
          <w:color w:val="000000" w:themeColor="text1"/>
          <w:kern w:val="0"/>
          <w14:ligatures w14:val="none"/>
        </w:rPr>
      </w:pPr>
      <w:r>
        <w:rPr>
          <w:rFonts w:ascii="Book Antiqua" w:hAnsi="Book Antiqua"/>
          <w:color w:val="000000" w:themeColor="text1"/>
        </w:rPr>
        <w:t xml:space="preserve">El Senado también acogió </w:t>
      </w:r>
      <w:r w:rsidR="00910B73">
        <w:rPr>
          <w:rFonts w:ascii="Book Antiqua" w:hAnsi="Book Antiqua"/>
          <w:color w:val="000000" w:themeColor="text1"/>
        </w:rPr>
        <w:t xml:space="preserve">parcialmente lo que la Asociación recomendó. </w:t>
      </w:r>
      <w:r w:rsidR="00F15723">
        <w:rPr>
          <w:rFonts w:ascii="Book Antiqua" w:hAnsi="Book Antiqua"/>
          <w:color w:val="000000" w:themeColor="text1"/>
        </w:rPr>
        <w:t>Se in</w:t>
      </w:r>
      <w:r w:rsidR="00775AE7">
        <w:rPr>
          <w:rFonts w:ascii="Book Antiqua" w:hAnsi="Book Antiqua"/>
          <w:color w:val="000000" w:themeColor="text1"/>
        </w:rPr>
        <w:t>corporó el</w:t>
      </w:r>
      <w:r>
        <w:rPr>
          <w:rFonts w:ascii="Book Antiqua" w:hAnsi="Book Antiqua"/>
          <w:color w:val="000000" w:themeColor="text1"/>
        </w:rPr>
        <w:t xml:space="preserve"> </w:t>
      </w:r>
      <w:r w:rsidR="00775AE7" w:rsidRPr="00775AE7">
        <w:rPr>
          <w:rFonts w:ascii="Book Antiqua" w:hAnsi="Book Antiqua"/>
          <w:color w:val="000000" w:themeColor="text1"/>
        </w:rPr>
        <w:t>artículo 1277 del Código Civil de 2020</w:t>
      </w:r>
      <w:r w:rsidR="00775AE7">
        <w:rPr>
          <w:rFonts w:ascii="Book Antiqua" w:hAnsi="Book Antiqua"/>
          <w:color w:val="000000" w:themeColor="text1"/>
        </w:rPr>
        <w:t xml:space="preserve"> </w:t>
      </w:r>
      <w:r w:rsidR="00A305E7">
        <w:rPr>
          <w:rFonts w:ascii="Book Antiqua" w:hAnsi="Book Antiqua"/>
          <w:color w:val="000000" w:themeColor="text1"/>
        </w:rPr>
        <w:t>a</w:t>
      </w:r>
      <w:r w:rsidR="002476D1">
        <w:rPr>
          <w:rFonts w:ascii="Book Antiqua" w:hAnsi="Book Antiqua"/>
          <w:color w:val="000000" w:themeColor="text1"/>
        </w:rPr>
        <w:t xml:space="preserve"> </w:t>
      </w:r>
      <w:r w:rsidR="00A305E7">
        <w:rPr>
          <w:rFonts w:ascii="Book Antiqua" w:hAnsi="Book Antiqua"/>
          <w:color w:val="000000" w:themeColor="text1"/>
        </w:rPr>
        <w:t>l</w:t>
      </w:r>
      <w:r w:rsidR="002476D1">
        <w:rPr>
          <w:rFonts w:ascii="Book Antiqua" w:hAnsi="Book Antiqua"/>
          <w:color w:val="000000" w:themeColor="text1"/>
        </w:rPr>
        <w:t>a</w:t>
      </w:r>
      <w:r w:rsidR="00A305E7">
        <w:rPr>
          <w:rFonts w:ascii="Book Antiqua" w:hAnsi="Book Antiqua"/>
          <w:color w:val="000000" w:themeColor="text1"/>
        </w:rPr>
        <w:t xml:space="preserve"> </w:t>
      </w:r>
      <w:r w:rsidR="002476D1">
        <w:rPr>
          <w:rFonts w:ascii="Book Antiqua" w:hAnsi="Book Antiqua"/>
          <w:color w:val="000000" w:themeColor="text1"/>
        </w:rPr>
        <w:t xml:space="preserve">subsección 5 del artículo 106 </w:t>
      </w:r>
      <w:r w:rsidR="002476D1" w:rsidRPr="00244103">
        <w:rPr>
          <w:rFonts w:ascii="Book Antiqua" w:hAnsi="Book Antiqua"/>
        </w:rPr>
        <w:t>de la</w:t>
      </w:r>
      <w:r w:rsidR="002476D1">
        <w:rPr>
          <w:rFonts w:ascii="Book Antiqua" w:hAnsi="Book Antiqua"/>
        </w:rPr>
        <w:t xml:space="preserve"> </w:t>
      </w:r>
      <w:r w:rsidR="002476D1" w:rsidRPr="00FB620D">
        <w:rPr>
          <w:rFonts w:ascii="Book Antiqua" w:hAnsi="Book Antiqua"/>
        </w:rPr>
        <w:t>Ley Núm. 210-2015</w:t>
      </w:r>
      <w:r w:rsidR="002C415D">
        <w:rPr>
          <w:rFonts w:ascii="Book Antiqua" w:hAnsi="Book Antiqua"/>
        </w:rPr>
        <w:t xml:space="preserve">, pero se mantuvieron las subsecciones 2, 3, y 4 que el Senado incorporó del derogado </w:t>
      </w:r>
      <w:r w:rsidR="002C415D">
        <w:rPr>
          <w:rFonts w:ascii="Book Antiqua" w:eastAsia="Times New Roman" w:hAnsi="Book Antiqua" w:cs="Times New Roman"/>
          <w:color w:val="000000" w:themeColor="text1"/>
          <w:kern w:val="0"/>
          <w14:ligatures w14:val="none"/>
        </w:rPr>
        <w:t>a</w:t>
      </w:r>
      <w:r w:rsidR="002C415D" w:rsidRPr="00E057BD">
        <w:rPr>
          <w:rFonts w:ascii="Book Antiqua" w:eastAsia="Times New Roman" w:hAnsi="Book Antiqua" w:cs="Times New Roman"/>
          <w:color w:val="000000" w:themeColor="text1"/>
          <w:kern w:val="0"/>
          <w14:ligatures w14:val="none"/>
        </w:rPr>
        <w:t>rtículo 1348 del Código Civil de 1930</w:t>
      </w:r>
      <w:r w:rsidR="00F20360">
        <w:rPr>
          <w:rFonts w:ascii="Book Antiqua" w:eastAsia="Times New Roman" w:hAnsi="Book Antiqua" w:cs="Times New Roman"/>
          <w:color w:val="000000" w:themeColor="text1"/>
          <w:kern w:val="0"/>
          <w14:ligatures w14:val="none"/>
        </w:rPr>
        <w:t xml:space="preserve">: </w:t>
      </w:r>
    </w:p>
    <w:p w14:paraId="7AFD8A96" w14:textId="77777777" w:rsidR="00505BBA" w:rsidRDefault="00505BBA" w:rsidP="000B2D1E">
      <w:pPr>
        <w:spacing w:after="120" w:line="288" w:lineRule="auto"/>
        <w:ind w:firstLine="720"/>
        <w:jc w:val="both"/>
        <w:rPr>
          <w:rFonts w:ascii="Book Antiqua" w:eastAsia="Times New Roman" w:hAnsi="Book Antiqua" w:cs="Times New Roman"/>
          <w:color w:val="000000" w:themeColor="text1"/>
          <w:kern w:val="0"/>
          <w14:ligatures w14:val="none"/>
        </w:rPr>
      </w:pPr>
    </w:p>
    <w:p w14:paraId="6F2E2EEE" w14:textId="77777777" w:rsidR="008F6DD3" w:rsidRDefault="008F6DD3" w:rsidP="000B2D1E">
      <w:pPr>
        <w:spacing w:after="120" w:line="288" w:lineRule="auto"/>
        <w:ind w:firstLine="720"/>
        <w:jc w:val="both"/>
        <w:rPr>
          <w:rFonts w:ascii="Book Antiqua" w:eastAsia="Times New Roman" w:hAnsi="Book Antiqua" w:cs="Times New Roman"/>
          <w:color w:val="000000" w:themeColor="text1"/>
          <w:kern w:val="0"/>
          <w14:ligatures w14:val="none"/>
        </w:rPr>
      </w:pPr>
    </w:p>
    <w:p w14:paraId="4F1E5CFF" w14:textId="77777777" w:rsidR="008F6DD3" w:rsidRDefault="008F6DD3" w:rsidP="000B2D1E">
      <w:pPr>
        <w:spacing w:after="120" w:line="288" w:lineRule="auto"/>
        <w:ind w:firstLine="720"/>
        <w:jc w:val="both"/>
        <w:rPr>
          <w:rFonts w:ascii="Book Antiqua" w:eastAsia="Times New Roman" w:hAnsi="Book Antiqua" w:cs="Times New Roman"/>
          <w:color w:val="000000" w:themeColor="text1"/>
          <w:kern w:val="0"/>
          <w14:ligatures w14:val="none"/>
        </w:rPr>
      </w:pPr>
    </w:p>
    <w:p w14:paraId="349C6F84" w14:textId="335C38E1" w:rsidR="008F6DD3" w:rsidRDefault="00505BBA" w:rsidP="00034B17">
      <w:pPr>
        <w:spacing w:after="120" w:line="288" w:lineRule="auto"/>
        <w:ind w:right="720" w:firstLine="720"/>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lastRenderedPageBreak/>
        <w:t>No podrán ser postores:</w:t>
      </w:r>
    </w:p>
    <w:p w14:paraId="21950505" w14:textId="77777777" w:rsidR="00A3666B" w:rsidRPr="00A3666B" w:rsidRDefault="00A3666B" w:rsidP="00034B17">
      <w:pPr>
        <w:numPr>
          <w:ilvl w:val="0"/>
          <w:numId w:val="2"/>
        </w:numPr>
        <w:spacing w:after="60" w:line="240" w:lineRule="auto"/>
        <w:ind w:right="720"/>
        <w:jc w:val="both"/>
        <w:rPr>
          <w:rFonts w:ascii="Book Antiqua" w:hAnsi="Book Antiqua"/>
        </w:rPr>
      </w:pPr>
      <w:r w:rsidRPr="00A3666B">
        <w:rPr>
          <w:rFonts w:ascii="Book Antiqua" w:hAnsi="Book Antiqua"/>
        </w:rPr>
        <w:t xml:space="preserve">El alguacil que celebre la subasta, ni su auxiliar. </w:t>
      </w:r>
    </w:p>
    <w:p w14:paraId="6CEE55E6" w14:textId="64484B48" w:rsidR="00A3666B" w:rsidRPr="00D142AC" w:rsidRDefault="00A3666B" w:rsidP="00034B17">
      <w:pPr>
        <w:numPr>
          <w:ilvl w:val="0"/>
          <w:numId w:val="2"/>
        </w:numPr>
        <w:spacing w:after="60" w:line="240" w:lineRule="auto"/>
        <w:ind w:right="720"/>
        <w:jc w:val="both"/>
        <w:rPr>
          <w:rFonts w:ascii="Book Antiqua" w:hAnsi="Book Antiqua"/>
        </w:rPr>
      </w:pPr>
      <w:r w:rsidRPr="00D142AC">
        <w:rPr>
          <w:rFonts w:ascii="Book Antiqua" w:hAnsi="Book Antiqua"/>
        </w:rPr>
        <w:t>El tutor, respecto a los bienes de la persona o personas bajo su tutela.</w:t>
      </w:r>
    </w:p>
    <w:p w14:paraId="0E624488" w14:textId="7B8E6C11" w:rsidR="00A3666B" w:rsidRPr="00D142AC" w:rsidRDefault="00A3666B" w:rsidP="00034B17">
      <w:pPr>
        <w:numPr>
          <w:ilvl w:val="0"/>
          <w:numId w:val="2"/>
        </w:numPr>
        <w:spacing w:after="60" w:line="240" w:lineRule="auto"/>
        <w:ind w:right="720"/>
        <w:jc w:val="both"/>
        <w:rPr>
          <w:rFonts w:ascii="Book Antiqua" w:hAnsi="Book Antiqua"/>
        </w:rPr>
      </w:pPr>
      <w:r w:rsidRPr="00D142AC">
        <w:rPr>
          <w:rFonts w:ascii="Book Antiqua" w:hAnsi="Book Antiqua"/>
        </w:rPr>
        <w:t xml:space="preserve">Los mandatarios, respecto a los bienes de cuya administración o enajenación estuvieren encargados. </w:t>
      </w:r>
    </w:p>
    <w:p w14:paraId="6AEBBF24" w14:textId="61700592" w:rsidR="00A3666B" w:rsidRDefault="00A3666B" w:rsidP="00034B17">
      <w:pPr>
        <w:numPr>
          <w:ilvl w:val="0"/>
          <w:numId w:val="2"/>
        </w:numPr>
        <w:spacing w:after="60" w:line="240" w:lineRule="auto"/>
        <w:ind w:right="720"/>
        <w:jc w:val="both"/>
        <w:rPr>
          <w:rFonts w:ascii="Book Antiqua" w:hAnsi="Book Antiqua"/>
        </w:rPr>
      </w:pPr>
      <w:r w:rsidRPr="00D142AC">
        <w:rPr>
          <w:rFonts w:ascii="Book Antiqua" w:hAnsi="Book Antiqua"/>
        </w:rPr>
        <w:t>Los albaceas y los contadores-partidores, respecto a los bienes confiados a su cargo.</w:t>
      </w:r>
    </w:p>
    <w:p w14:paraId="7C1CE892" w14:textId="76ED2FE3" w:rsidR="005311D1" w:rsidRPr="00D142AC" w:rsidRDefault="00505BBA" w:rsidP="007F2666">
      <w:pPr>
        <w:numPr>
          <w:ilvl w:val="0"/>
          <w:numId w:val="2"/>
        </w:numPr>
        <w:spacing w:after="120" w:line="240" w:lineRule="auto"/>
        <w:ind w:right="720"/>
        <w:jc w:val="both"/>
        <w:rPr>
          <w:rFonts w:ascii="Book Antiqua" w:hAnsi="Book Antiqua"/>
        </w:rPr>
      </w:pPr>
      <w:r w:rsidRPr="00D142AC">
        <w:rPr>
          <w:rFonts w:ascii="Book Antiqua" w:hAnsi="Book Antiqua"/>
        </w:rPr>
        <w:t>Los funcionarios, respecto de los bienes de cuya administración están o han estado encargados, ni los jueces, árbitros, mediadores, abogados, procuradores y fiscales, respecto de los bienes litigiosos en los procesos que intervienen o hayan intervenido. Transcurrido un (1) año desde que la persona deja de ocupar el cargo que dio lugar a la existencia de alguna prohibición, esta termina.</w:t>
      </w:r>
    </w:p>
    <w:p w14:paraId="1A1D987B" w14:textId="77777777" w:rsidR="007F2666" w:rsidRDefault="00BC1B2D" w:rsidP="007F2666">
      <w:pPr>
        <w:spacing w:after="120" w:line="288" w:lineRule="auto"/>
        <w:ind w:firstLine="720"/>
        <w:jc w:val="both"/>
        <w:rPr>
          <w:rFonts w:ascii="Book Antiqua" w:hAnsi="Book Antiqua"/>
          <w:color w:val="000000" w:themeColor="text1"/>
        </w:rPr>
      </w:pPr>
      <w:r>
        <w:rPr>
          <w:rFonts w:ascii="Book Antiqua" w:hAnsi="Book Antiqua"/>
          <w:color w:val="000000" w:themeColor="text1"/>
        </w:rPr>
        <w:t xml:space="preserve">Esta comisión </w:t>
      </w:r>
      <w:r w:rsidR="00AE5EEB">
        <w:rPr>
          <w:rFonts w:ascii="Book Antiqua" w:hAnsi="Book Antiqua"/>
          <w:color w:val="000000" w:themeColor="text1"/>
        </w:rPr>
        <w:t>concuerda con la Asociación e</w:t>
      </w:r>
      <w:r w:rsidR="00DB72C1">
        <w:rPr>
          <w:rFonts w:ascii="Book Antiqua" w:hAnsi="Book Antiqua"/>
          <w:color w:val="000000" w:themeColor="text1"/>
        </w:rPr>
        <w:t>n</w:t>
      </w:r>
      <w:r w:rsidR="00AE5EEB">
        <w:rPr>
          <w:rFonts w:ascii="Book Antiqua" w:hAnsi="Book Antiqua"/>
          <w:color w:val="000000" w:themeColor="text1"/>
        </w:rPr>
        <w:t xml:space="preserve"> </w:t>
      </w:r>
      <w:r w:rsidR="00F65921">
        <w:rPr>
          <w:rFonts w:ascii="Book Antiqua" w:hAnsi="Book Antiqua"/>
          <w:color w:val="000000" w:themeColor="text1"/>
        </w:rPr>
        <w:t xml:space="preserve">mantener </w:t>
      </w:r>
      <w:r w:rsidR="00055895">
        <w:rPr>
          <w:rFonts w:ascii="Book Antiqua" w:hAnsi="Book Antiqua"/>
          <w:color w:val="000000" w:themeColor="text1"/>
        </w:rPr>
        <w:t xml:space="preserve">la subsección 1 </w:t>
      </w:r>
      <w:r w:rsidR="00442721">
        <w:rPr>
          <w:rFonts w:ascii="Book Antiqua" w:hAnsi="Book Antiqua"/>
          <w:color w:val="000000" w:themeColor="text1"/>
        </w:rPr>
        <w:t xml:space="preserve">que forma parte del </w:t>
      </w:r>
      <w:r w:rsidR="007F2666">
        <w:rPr>
          <w:rFonts w:ascii="Book Antiqua" w:hAnsi="Book Antiqua"/>
          <w:color w:val="000000" w:themeColor="text1"/>
        </w:rPr>
        <w:t xml:space="preserve">último párrafo del </w:t>
      </w:r>
      <w:r w:rsidR="00EF189F" w:rsidRPr="00EF189F">
        <w:rPr>
          <w:rFonts w:ascii="Book Antiqua" w:hAnsi="Book Antiqua"/>
          <w:color w:val="000000" w:themeColor="text1"/>
        </w:rPr>
        <w:t>artículo 106 de la Ley Núm. 210-2015</w:t>
      </w:r>
      <w:r w:rsidR="007F2666">
        <w:rPr>
          <w:rFonts w:ascii="Book Antiqua" w:hAnsi="Book Antiqua"/>
          <w:color w:val="000000" w:themeColor="text1"/>
        </w:rPr>
        <w:t>:</w:t>
      </w:r>
    </w:p>
    <w:p w14:paraId="370F27C5" w14:textId="55F402E1" w:rsidR="00A8206C" w:rsidRPr="0031235D" w:rsidRDefault="00EF189F" w:rsidP="00D45D53">
      <w:pPr>
        <w:spacing w:after="120" w:line="288" w:lineRule="auto"/>
        <w:ind w:left="720" w:right="720" w:firstLine="360"/>
        <w:jc w:val="both"/>
        <w:rPr>
          <w:rFonts w:ascii="Book Antiqua" w:hAnsi="Book Antiqua"/>
          <w:color w:val="000000" w:themeColor="text1"/>
        </w:rPr>
      </w:pPr>
      <w:r>
        <w:rPr>
          <w:rFonts w:ascii="Book Antiqua" w:hAnsi="Book Antiqua"/>
          <w:color w:val="000000" w:themeColor="text1"/>
        </w:rPr>
        <w:t xml:space="preserve"> </w:t>
      </w:r>
      <w:r w:rsidR="007F2666" w:rsidRPr="0031235D">
        <w:rPr>
          <w:rFonts w:ascii="Book Antiqua" w:hAnsi="Book Antiqua"/>
          <w:color w:val="000000" w:themeColor="text1"/>
        </w:rPr>
        <w:t>Ni el alguacil que celebre la subasta, ni su auxiliar, ni las demás personas que no pueden adquirir por compra conforme lo dispone el Artículo 1348 del Código Civil de Puerto Rico podrán ser postores ni interesarse en ninguna forma en dicha subasta.</w:t>
      </w:r>
    </w:p>
    <w:p w14:paraId="3FDBFF95" w14:textId="0EB72F27" w:rsidR="008F6805" w:rsidRDefault="001E24B6" w:rsidP="00BC1B2D">
      <w:pPr>
        <w:spacing w:after="0" w:line="288" w:lineRule="auto"/>
        <w:ind w:firstLine="720"/>
        <w:jc w:val="both"/>
        <w:rPr>
          <w:rFonts w:ascii="Book Antiqua" w:eastAsia="Times New Roman" w:hAnsi="Book Antiqua" w:cs="Times New Roman"/>
          <w:color w:val="000000" w:themeColor="text1"/>
          <w:kern w:val="0"/>
          <w14:ligatures w14:val="none"/>
        </w:rPr>
      </w:pPr>
      <w:r>
        <w:rPr>
          <w:rFonts w:ascii="Book Antiqua" w:eastAsia="Times New Roman" w:hAnsi="Book Antiqua" w:cs="Times New Roman"/>
          <w:color w:val="000000" w:themeColor="text1"/>
          <w:kern w:val="0"/>
          <w14:ligatures w14:val="none"/>
        </w:rPr>
        <w:t xml:space="preserve">Esta comisión también concuerda con eliminar </w:t>
      </w:r>
      <w:r w:rsidR="00AC210E">
        <w:rPr>
          <w:rFonts w:ascii="Book Antiqua" w:hAnsi="Book Antiqua"/>
        </w:rPr>
        <w:t xml:space="preserve">las subsecciones 2, 3, y 4 del </w:t>
      </w:r>
      <w:proofErr w:type="spellStart"/>
      <w:r w:rsidR="00AC210E">
        <w:rPr>
          <w:rFonts w:ascii="Book Antiqua" w:hAnsi="Book Antiqua"/>
        </w:rPr>
        <w:t>entirillado</w:t>
      </w:r>
      <w:proofErr w:type="spellEnd"/>
      <w:r w:rsidR="00AC210E">
        <w:rPr>
          <w:rFonts w:ascii="Book Antiqua" w:hAnsi="Book Antiqua"/>
        </w:rPr>
        <w:t xml:space="preserve"> para que </w:t>
      </w:r>
      <w:r w:rsidR="00AC210E">
        <w:rPr>
          <w:rFonts w:ascii="Book Antiqua" w:hAnsi="Book Antiqua"/>
          <w:color w:val="000000" w:themeColor="text1"/>
        </w:rPr>
        <w:t xml:space="preserve">el </w:t>
      </w:r>
      <w:r w:rsidR="00AC210E" w:rsidRPr="00EF189F">
        <w:rPr>
          <w:rFonts w:ascii="Book Antiqua" w:hAnsi="Book Antiqua"/>
          <w:color w:val="000000" w:themeColor="text1"/>
        </w:rPr>
        <w:t>artículo 106 de la Ley Núm. 210-2015</w:t>
      </w:r>
      <w:r w:rsidR="00AC210E">
        <w:rPr>
          <w:rFonts w:ascii="Book Antiqua" w:hAnsi="Book Antiqua"/>
          <w:color w:val="000000" w:themeColor="text1"/>
        </w:rPr>
        <w:t xml:space="preserve"> </w:t>
      </w:r>
      <w:r w:rsidR="00452F87">
        <w:rPr>
          <w:rFonts w:ascii="Book Antiqua" w:hAnsi="Book Antiqua"/>
          <w:color w:val="000000" w:themeColor="text1"/>
        </w:rPr>
        <w:t>armonice</w:t>
      </w:r>
      <w:r w:rsidR="00AC210E">
        <w:rPr>
          <w:rFonts w:ascii="Book Antiqua" w:hAnsi="Book Antiqua"/>
          <w:color w:val="000000" w:themeColor="text1"/>
        </w:rPr>
        <w:t xml:space="preserve"> con el artículo </w:t>
      </w:r>
      <w:r w:rsidR="00D45D53" w:rsidRPr="00D45D53">
        <w:rPr>
          <w:rFonts w:ascii="Book Antiqua" w:hAnsi="Book Antiqua"/>
          <w:color w:val="000000" w:themeColor="text1"/>
        </w:rPr>
        <w:t>1277 del Código Civil de 2020</w:t>
      </w:r>
      <w:r w:rsidR="00FF2796">
        <w:rPr>
          <w:rFonts w:ascii="Book Antiqua" w:hAnsi="Book Antiqua"/>
          <w:color w:val="000000" w:themeColor="text1"/>
        </w:rPr>
        <w:t>.</w:t>
      </w:r>
      <w:r w:rsidR="00F65D91">
        <w:rPr>
          <w:rFonts w:ascii="Book Antiqua" w:hAnsi="Book Antiqua"/>
          <w:color w:val="000000" w:themeColor="text1"/>
        </w:rPr>
        <w:t xml:space="preserve"> </w:t>
      </w:r>
      <w:r w:rsidR="00FF2796">
        <w:rPr>
          <w:rFonts w:ascii="Book Antiqua" w:hAnsi="Book Antiqua"/>
          <w:color w:val="000000" w:themeColor="text1"/>
        </w:rPr>
        <w:t xml:space="preserve">Este </w:t>
      </w:r>
      <w:r w:rsidR="00F65D91">
        <w:rPr>
          <w:rFonts w:ascii="Book Antiqua" w:hAnsi="Book Antiqua"/>
          <w:color w:val="000000" w:themeColor="text1"/>
        </w:rPr>
        <w:t>sustituyó el artículo 1348 del derogado Código Civil</w:t>
      </w:r>
      <w:r w:rsidR="00FF2796">
        <w:rPr>
          <w:rFonts w:ascii="Book Antiqua" w:hAnsi="Book Antiqua"/>
          <w:color w:val="000000" w:themeColor="text1"/>
        </w:rPr>
        <w:t>,</w:t>
      </w:r>
      <w:r w:rsidR="0099015F">
        <w:rPr>
          <w:rStyle w:val="FootnoteReference"/>
          <w:rFonts w:ascii="Book Antiqua" w:hAnsi="Book Antiqua"/>
          <w:color w:val="000000" w:themeColor="text1"/>
        </w:rPr>
        <w:footnoteReference w:id="3"/>
      </w:r>
      <w:r w:rsidR="00FF2796">
        <w:rPr>
          <w:rFonts w:ascii="Book Antiqua" w:hAnsi="Book Antiqua"/>
          <w:color w:val="000000" w:themeColor="text1"/>
        </w:rPr>
        <w:t xml:space="preserve"> e</w:t>
      </w:r>
      <w:r w:rsidR="00952067">
        <w:rPr>
          <w:rFonts w:ascii="Book Antiqua" w:hAnsi="Book Antiqua"/>
          <w:color w:val="000000" w:themeColor="text1"/>
        </w:rPr>
        <w:t>l</w:t>
      </w:r>
      <w:r w:rsidR="00475DFD">
        <w:rPr>
          <w:rFonts w:ascii="Book Antiqua" w:hAnsi="Book Antiqua"/>
          <w:color w:val="000000" w:themeColor="text1"/>
        </w:rPr>
        <w:t xml:space="preserve"> cual</w:t>
      </w:r>
      <w:r w:rsidR="00FF2796">
        <w:rPr>
          <w:rFonts w:ascii="Book Antiqua" w:hAnsi="Book Antiqua"/>
          <w:color w:val="000000" w:themeColor="text1"/>
        </w:rPr>
        <w:t xml:space="preserve"> incluye las mencionadas subsecciones 2, 3, y 4</w:t>
      </w:r>
      <w:r w:rsidR="00475DFD">
        <w:rPr>
          <w:rFonts w:ascii="Book Antiqua" w:hAnsi="Book Antiqua"/>
          <w:color w:val="000000" w:themeColor="text1"/>
        </w:rPr>
        <w:t xml:space="preserve"> sobre las personas con capacidad para consentir en la otorgación de la compraventa. </w:t>
      </w:r>
      <w:r w:rsidR="00F65D91">
        <w:rPr>
          <w:rFonts w:ascii="Book Antiqua" w:hAnsi="Book Antiqua"/>
          <w:color w:val="000000" w:themeColor="text1"/>
        </w:rPr>
        <w:t>Mantener l</w:t>
      </w:r>
      <w:r w:rsidR="000929FF">
        <w:rPr>
          <w:rFonts w:ascii="Book Antiqua" w:hAnsi="Book Antiqua"/>
          <w:color w:val="000000" w:themeColor="text1"/>
        </w:rPr>
        <w:t xml:space="preserve">as referidas subsecciones en el </w:t>
      </w:r>
      <w:proofErr w:type="spellStart"/>
      <w:r w:rsidR="000929FF">
        <w:rPr>
          <w:rFonts w:ascii="Book Antiqua" w:hAnsi="Book Antiqua"/>
          <w:color w:val="000000" w:themeColor="text1"/>
        </w:rPr>
        <w:t>entirillado</w:t>
      </w:r>
      <w:proofErr w:type="spellEnd"/>
      <w:r w:rsidR="000929FF">
        <w:rPr>
          <w:rFonts w:ascii="Book Antiqua" w:hAnsi="Book Antiqua"/>
          <w:color w:val="000000" w:themeColor="text1"/>
        </w:rPr>
        <w:t xml:space="preserve"> </w:t>
      </w:r>
      <w:r w:rsidR="002628BB">
        <w:rPr>
          <w:rFonts w:ascii="Book Antiqua" w:hAnsi="Book Antiqua"/>
          <w:color w:val="000000" w:themeColor="text1"/>
        </w:rPr>
        <w:t xml:space="preserve">parecería </w:t>
      </w:r>
      <w:r w:rsidR="000929FF">
        <w:rPr>
          <w:rFonts w:ascii="Book Antiqua" w:hAnsi="Book Antiqua"/>
          <w:color w:val="000000" w:themeColor="text1"/>
        </w:rPr>
        <w:t>crea</w:t>
      </w:r>
      <w:r w:rsidR="002628BB">
        <w:rPr>
          <w:rFonts w:ascii="Book Antiqua" w:hAnsi="Book Antiqua"/>
          <w:color w:val="000000" w:themeColor="text1"/>
        </w:rPr>
        <w:t>r</w:t>
      </w:r>
      <w:r w:rsidR="000929FF">
        <w:rPr>
          <w:rFonts w:ascii="Book Antiqua" w:hAnsi="Book Antiqua"/>
          <w:color w:val="000000" w:themeColor="text1"/>
        </w:rPr>
        <w:t xml:space="preserve"> un disloque en</w:t>
      </w:r>
      <w:r w:rsidR="009130B1">
        <w:rPr>
          <w:rFonts w:ascii="Book Antiqua" w:hAnsi="Book Antiqua"/>
          <w:color w:val="000000" w:themeColor="text1"/>
        </w:rPr>
        <w:t xml:space="preserve">tre el </w:t>
      </w:r>
      <w:r w:rsidR="009130B1" w:rsidRPr="00D45D53">
        <w:rPr>
          <w:rFonts w:ascii="Book Antiqua" w:hAnsi="Book Antiqua"/>
          <w:color w:val="000000" w:themeColor="text1"/>
        </w:rPr>
        <w:t>Código Civil de 2020</w:t>
      </w:r>
      <w:r w:rsidR="00B01095">
        <w:rPr>
          <w:rFonts w:ascii="Book Antiqua" w:hAnsi="Book Antiqua"/>
          <w:color w:val="000000" w:themeColor="text1"/>
        </w:rPr>
        <w:t xml:space="preserve"> y el </w:t>
      </w:r>
      <w:r w:rsidR="00B01095" w:rsidRPr="00EF189F">
        <w:rPr>
          <w:rFonts w:ascii="Book Antiqua" w:hAnsi="Book Antiqua"/>
          <w:color w:val="000000" w:themeColor="text1"/>
        </w:rPr>
        <w:t>Ley Núm. 210-2015</w:t>
      </w:r>
      <w:r w:rsidR="000929FF">
        <w:rPr>
          <w:rFonts w:ascii="Book Antiqua" w:hAnsi="Book Antiqua"/>
          <w:color w:val="000000" w:themeColor="text1"/>
        </w:rPr>
        <w:t xml:space="preserve">. </w:t>
      </w:r>
    </w:p>
    <w:p w14:paraId="6FCE0A39" w14:textId="34DDCBC8" w:rsidR="00CE3DF6" w:rsidRDefault="00DB16E4" w:rsidP="000B2D1E">
      <w:pPr>
        <w:spacing w:after="120" w:line="288" w:lineRule="auto"/>
        <w:ind w:firstLine="720"/>
        <w:jc w:val="both"/>
        <w:rPr>
          <w:rFonts w:ascii="Book Antiqua" w:hAnsi="Book Antiqua"/>
        </w:rPr>
      </w:pPr>
      <w:r>
        <w:rPr>
          <w:rFonts w:ascii="Book Antiqua" w:hAnsi="Book Antiqua"/>
          <w:color w:val="000000" w:themeColor="text1"/>
        </w:rPr>
        <w:lastRenderedPageBreak/>
        <w:t xml:space="preserve">Por último, esta comisión entendió prudente enmendar </w:t>
      </w:r>
      <w:r w:rsidR="00CD302B">
        <w:rPr>
          <w:rFonts w:ascii="Book Antiqua" w:hAnsi="Book Antiqua"/>
          <w:color w:val="000000" w:themeColor="text1"/>
        </w:rPr>
        <w:t xml:space="preserve">los artículos 177 y 185 </w:t>
      </w:r>
      <w:r w:rsidR="00E676ED">
        <w:rPr>
          <w:rFonts w:ascii="Book Antiqua" w:hAnsi="Book Antiqua"/>
          <w:color w:val="000000" w:themeColor="text1"/>
        </w:rPr>
        <w:t xml:space="preserve">de </w:t>
      </w:r>
      <w:r w:rsidR="00E676ED" w:rsidRPr="00244103">
        <w:rPr>
          <w:rFonts w:ascii="Book Antiqua" w:hAnsi="Book Antiqua"/>
        </w:rPr>
        <w:t>la</w:t>
      </w:r>
      <w:r w:rsidR="00E676ED">
        <w:rPr>
          <w:rFonts w:ascii="Book Antiqua" w:hAnsi="Book Antiqua"/>
        </w:rPr>
        <w:t xml:space="preserve"> </w:t>
      </w:r>
      <w:r w:rsidR="00E676ED" w:rsidRPr="00FB620D">
        <w:rPr>
          <w:rFonts w:ascii="Book Antiqua" w:hAnsi="Book Antiqua"/>
        </w:rPr>
        <w:t>Ley Núm. 210-2015</w:t>
      </w:r>
      <w:r w:rsidR="00E676ED">
        <w:rPr>
          <w:rFonts w:ascii="Book Antiqua" w:hAnsi="Book Antiqua"/>
        </w:rPr>
        <w:t xml:space="preserve"> para que</w:t>
      </w:r>
      <w:r w:rsidR="007718EA">
        <w:rPr>
          <w:rFonts w:ascii="Book Antiqua" w:hAnsi="Book Antiqua"/>
        </w:rPr>
        <w:t xml:space="preserve"> también</w:t>
      </w:r>
      <w:r w:rsidR="00E676ED">
        <w:rPr>
          <w:rFonts w:ascii="Book Antiqua" w:hAnsi="Book Antiqua"/>
        </w:rPr>
        <w:t xml:space="preserve"> hagan referencia al Código Civil de 2020</w:t>
      </w:r>
      <w:r w:rsidR="00B1548E">
        <w:rPr>
          <w:rFonts w:ascii="Book Antiqua" w:hAnsi="Book Antiqua"/>
        </w:rPr>
        <w:t xml:space="preserve"> y se cumpla con el propósito de la medida</w:t>
      </w:r>
      <w:r w:rsidR="001D0D67">
        <w:rPr>
          <w:rFonts w:ascii="Book Antiqua" w:hAnsi="Book Antiqua"/>
        </w:rPr>
        <w:t xml:space="preserve"> de atemperar la </w:t>
      </w:r>
      <w:r w:rsidR="001D0D67" w:rsidRPr="001D0D67">
        <w:rPr>
          <w:rFonts w:ascii="Book Antiqua" w:hAnsi="Book Antiqua"/>
        </w:rPr>
        <w:t>Ley del Registro de la Propiedad Inmobiliaria.</w:t>
      </w:r>
    </w:p>
    <w:p w14:paraId="31D4EF82" w14:textId="07D892D8" w:rsidR="00C93D61" w:rsidRDefault="00C93D61" w:rsidP="007C5EFB">
      <w:pPr>
        <w:spacing w:after="120" w:line="288" w:lineRule="auto"/>
        <w:ind w:firstLine="720"/>
        <w:jc w:val="both"/>
        <w:rPr>
          <w:rFonts w:ascii="Book Antiqua" w:eastAsia="Calibri" w:hAnsi="Book Antiqua" w:cs="Times New Roman"/>
          <w:bCs/>
          <w:color w:val="000000" w:themeColor="text1"/>
          <w:kern w:val="0"/>
          <w14:ligatures w14:val="none"/>
        </w:rPr>
      </w:pPr>
      <w:r>
        <w:rPr>
          <w:rFonts w:ascii="Book Antiqua" w:eastAsia="Calibri" w:hAnsi="Book Antiqua" w:cs="Times New Roman"/>
          <w:color w:val="000000" w:themeColor="text1"/>
          <w:kern w:val="0"/>
          <w14:ligatures w14:val="none"/>
        </w:rPr>
        <w:t xml:space="preserve">Por lo anterior, </w:t>
      </w:r>
      <w:r w:rsidR="00E90136" w:rsidRPr="0011027E">
        <w:rPr>
          <w:rFonts w:ascii="Book Antiqua" w:eastAsia="Calibri" w:hAnsi="Book Antiqua" w:cs="Times New Roman"/>
          <w:color w:val="000000" w:themeColor="text1"/>
          <w:kern w:val="0"/>
          <w14:ligatures w14:val="none"/>
        </w:rPr>
        <w:t xml:space="preserve">la Comisión </w:t>
      </w:r>
      <w:r w:rsidR="007D4A76" w:rsidRPr="0011027E">
        <w:rPr>
          <w:rFonts w:ascii="Book Antiqua" w:eastAsia="Calibri" w:hAnsi="Book Antiqua" w:cs="Times New Roman"/>
          <w:color w:val="000000" w:themeColor="text1"/>
          <w:kern w:val="0"/>
          <w14:ligatures w14:val="none"/>
        </w:rPr>
        <w:t xml:space="preserve">de lo Jurídico </w:t>
      </w:r>
      <w:r w:rsidR="00E90136" w:rsidRPr="0011027E">
        <w:rPr>
          <w:rFonts w:ascii="Book Antiqua" w:eastAsia="Calibri" w:hAnsi="Book Antiqua" w:cs="Times New Roman"/>
          <w:color w:val="000000" w:themeColor="text1"/>
          <w:kern w:val="0"/>
          <w14:ligatures w14:val="none"/>
        </w:rPr>
        <w:t xml:space="preserve">recomienda </w:t>
      </w:r>
      <w:r>
        <w:rPr>
          <w:rFonts w:ascii="Book Antiqua" w:eastAsia="Calibri" w:hAnsi="Book Antiqua" w:cs="Times New Roman"/>
          <w:color w:val="000000" w:themeColor="text1"/>
          <w:kern w:val="0"/>
          <w14:ligatures w14:val="none"/>
        </w:rPr>
        <w:t>que se</w:t>
      </w:r>
      <w:r w:rsidR="00E90136" w:rsidRPr="0011027E">
        <w:rPr>
          <w:rFonts w:ascii="Book Antiqua" w:eastAsia="Calibri" w:hAnsi="Book Antiqua" w:cs="Times New Roman"/>
          <w:color w:val="000000" w:themeColor="text1"/>
          <w:kern w:val="0"/>
          <w14:ligatures w14:val="none"/>
        </w:rPr>
        <w:t xml:space="preserve"> apr</w:t>
      </w:r>
      <w:r>
        <w:rPr>
          <w:rFonts w:ascii="Book Antiqua" w:eastAsia="Calibri" w:hAnsi="Book Antiqua" w:cs="Times New Roman"/>
          <w:color w:val="000000" w:themeColor="text1"/>
          <w:kern w:val="0"/>
          <w14:ligatures w14:val="none"/>
        </w:rPr>
        <w:t xml:space="preserve">uebe el P. del S. </w:t>
      </w:r>
      <w:r w:rsidR="00507510">
        <w:rPr>
          <w:rFonts w:ascii="Book Antiqua" w:eastAsia="Calibri" w:hAnsi="Book Antiqua" w:cs="Times New Roman"/>
          <w:color w:val="000000" w:themeColor="text1"/>
          <w:kern w:val="0"/>
          <w14:ligatures w14:val="none"/>
        </w:rPr>
        <w:t>707</w:t>
      </w:r>
      <w:r w:rsidR="00CC2BEA">
        <w:rPr>
          <w:rFonts w:ascii="Book Antiqua" w:eastAsia="Calibri" w:hAnsi="Book Antiqua" w:cs="Times New Roman"/>
          <w:bCs/>
          <w:color w:val="000000" w:themeColor="text1"/>
          <w:kern w:val="0"/>
          <w14:ligatures w14:val="none"/>
        </w:rPr>
        <w:t xml:space="preserve"> con las</w:t>
      </w:r>
      <w:r w:rsidR="00A338D9" w:rsidRPr="0011027E">
        <w:rPr>
          <w:rFonts w:ascii="Book Antiqua" w:eastAsia="Calibri" w:hAnsi="Book Antiqua" w:cs="Times New Roman"/>
          <w:bCs/>
          <w:color w:val="000000" w:themeColor="text1"/>
          <w:kern w:val="0"/>
          <w14:ligatures w14:val="none"/>
        </w:rPr>
        <w:t xml:space="preserve"> </w:t>
      </w:r>
      <w:r w:rsidR="00D8123C" w:rsidRPr="0011027E">
        <w:rPr>
          <w:rFonts w:ascii="Book Antiqua" w:eastAsia="Calibri" w:hAnsi="Book Antiqua" w:cs="Times New Roman"/>
          <w:bCs/>
          <w:color w:val="000000" w:themeColor="text1"/>
          <w:kern w:val="0"/>
          <w14:ligatures w14:val="none"/>
        </w:rPr>
        <w:t>enmiendas</w:t>
      </w:r>
      <w:r w:rsidR="00CC2BEA">
        <w:rPr>
          <w:rFonts w:ascii="Book Antiqua" w:eastAsia="Calibri" w:hAnsi="Book Antiqua" w:cs="Times New Roman"/>
          <w:bCs/>
          <w:color w:val="000000" w:themeColor="text1"/>
          <w:kern w:val="0"/>
          <w14:ligatures w14:val="none"/>
        </w:rPr>
        <w:t xml:space="preserve"> en el </w:t>
      </w:r>
      <w:proofErr w:type="spellStart"/>
      <w:r w:rsidR="00CC2BEA">
        <w:rPr>
          <w:rFonts w:ascii="Book Antiqua" w:eastAsia="Calibri" w:hAnsi="Book Antiqua" w:cs="Times New Roman"/>
          <w:bCs/>
          <w:color w:val="000000" w:themeColor="text1"/>
          <w:kern w:val="0"/>
          <w14:ligatures w14:val="none"/>
        </w:rPr>
        <w:t>entirillado</w:t>
      </w:r>
      <w:proofErr w:type="spellEnd"/>
      <w:r w:rsidR="00CC2BEA">
        <w:rPr>
          <w:rFonts w:ascii="Book Antiqua" w:eastAsia="Calibri" w:hAnsi="Book Antiqua" w:cs="Times New Roman"/>
          <w:bCs/>
          <w:color w:val="000000" w:themeColor="text1"/>
          <w:kern w:val="0"/>
          <w14:ligatures w14:val="none"/>
        </w:rPr>
        <w:t xml:space="preserve"> electrónico adjunto</w:t>
      </w:r>
      <w:r w:rsidR="00D8123C" w:rsidRPr="0011027E">
        <w:rPr>
          <w:rFonts w:ascii="Book Antiqua" w:eastAsia="Calibri" w:hAnsi="Book Antiqua" w:cs="Times New Roman"/>
          <w:bCs/>
          <w:color w:val="000000" w:themeColor="text1"/>
          <w:kern w:val="0"/>
          <w14:ligatures w14:val="none"/>
        </w:rPr>
        <w:t>.</w:t>
      </w:r>
    </w:p>
    <w:p w14:paraId="48803026" w14:textId="5A020863" w:rsidR="00E90136" w:rsidRPr="0011027E" w:rsidRDefault="00C93D61" w:rsidP="00C93D61">
      <w:pPr>
        <w:spacing w:after="0" w:line="360" w:lineRule="auto"/>
        <w:jc w:val="both"/>
        <w:rPr>
          <w:rFonts w:ascii="Book Antiqua" w:eastAsia="Calibri" w:hAnsi="Book Antiqua" w:cs="Times New Roman"/>
          <w:color w:val="000000" w:themeColor="text1"/>
          <w:kern w:val="0"/>
          <w14:ligatures w14:val="none"/>
        </w:rPr>
      </w:pPr>
      <w:r>
        <w:rPr>
          <w:rFonts w:ascii="Book Antiqua" w:eastAsia="Calibri" w:hAnsi="Book Antiqua" w:cs="Times New Roman"/>
          <w:bCs/>
          <w:color w:val="000000" w:themeColor="text1"/>
          <w:kern w:val="0"/>
          <w14:ligatures w14:val="none"/>
        </w:rPr>
        <w:t>Respetuosamente presentado.</w:t>
      </w:r>
      <w:r w:rsidR="00D8123C" w:rsidRPr="0011027E">
        <w:rPr>
          <w:rFonts w:ascii="Book Antiqua" w:eastAsia="Calibri" w:hAnsi="Book Antiqua" w:cs="Times New Roman"/>
          <w:bCs/>
          <w:color w:val="000000" w:themeColor="text1"/>
          <w:kern w:val="0"/>
          <w14:ligatures w14:val="none"/>
        </w:rPr>
        <w:t xml:space="preserve"> </w:t>
      </w:r>
    </w:p>
    <w:p w14:paraId="06283EF8" w14:textId="77777777" w:rsidR="00E90136" w:rsidRPr="0011027E" w:rsidRDefault="00E90136" w:rsidP="00E90136">
      <w:pPr>
        <w:spacing w:after="0" w:line="240" w:lineRule="auto"/>
        <w:outlineLvl w:val="0"/>
        <w:rPr>
          <w:rFonts w:ascii="Book Antiqua" w:eastAsia="Calibri" w:hAnsi="Book Antiqua" w:cs="Times New Roman"/>
          <w:color w:val="000000" w:themeColor="text1"/>
          <w:kern w:val="0"/>
          <w14:ligatures w14:val="none"/>
        </w:rPr>
      </w:pPr>
    </w:p>
    <w:p w14:paraId="5104649E" w14:textId="77777777" w:rsidR="00E90136" w:rsidRPr="0011027E" w:rsidRDefault="00E90136" w:rsidP="00E90136">
      <w:pPr>
        <w:spacing w:after="0" w:line="240" w:lineRule="auto"/>
        <w:outlineLvl w:val="0"/>
        <w:rPr>
          <w:rFonts w:ascii="Book Antiqua" w:eastAsia="Calibri" w:hAnsi="Book Antiqua" w:cs="Times New Roman"/>
          <w:color w:val="000000" w:themeColor="text1"/>
          <w:kern w:val="0"/>
          <w14:ligatures w14:val="none"/>
        </w:rPr>
      </w:pPr>
    </w:p>
    <w:p w14:paraId="3094E7E7" w14:textId="36DD5F15" w:rsidR="00E90136" w:rsidRPr="00C93D61" w:rsidRDefault="00A17CA2" w:rsidP="00E43546">
      <w:pPr>
        <w:spacing w:after="0" w:line="240" w:lineRule="auto"/>
        <w:jc w:val="both"/>
        <w:outlineLvl w:val="0"/>
        <w:rPr>
          <w:rFonts w:ascii="Book Antiqua" w:eastAsia="Calibri" w:hAnsi="Book Antiqua" w:cs="Times New Roman"/>
          <w:b/>
          <w:smallCaps/>
          <w:color w:val="000000" w:themeColor="text1"/>
          <w:kern w:val="0"/>
          <w14:ligatures w14:val="none"/>
        </w:rPr>
      </w:pPr>
      <w:r>
        <w:rPr>
          <w:rFonts w:ascii="Book Antiqua" w:eastAsia="Book Antiqua" w:hAnsi="Book Antiqua" w:cs="Book Antiqua"/>
          <w:b/>
          <w:bCs/>
          <w:smallCaps/>
          <w:color w:val="000000" w:themeColor="text1"/>
        </w:rPr>
        <w:t xml:space="preserve">Wilson </w:t>
      </w:r>
      <w:r w:rsidRPr="00B2208B">
        <w:rPr>
          <w:rFonts w:ascii="Book Antiqua" w:eastAsia="Book Antiqua" w:hAnsi="Book Antiqua" w:cs="Book Antiqua"/>
          <w:b/>
          <w:bCs/>
          <w:smallCaps/>
          <w:color w:val="000000" w:themeColor="text1"/>
        </w:rPr>
        <w:t>J.</w:t>
      </w:r>
      <w:r>
        <w:rPr>
          <w:rFonts w:ascii="Book Antiqua" w:eastAsia="Book Antiqua" w:hAnsi="Book Antiqua" w:cs="Book Antiqua"/>
          <w:b/>
          <w:bCs/>
          <w:smallCaps/>
          <w:color w:val="000000" w:themeColor="text1"/>
        </w:rPr>
        <w:t xml:space="preserve"> Román López</w:t>
      </w:r>
    </w:p>
    <w:p w14:paraId="5A8EF0AE" w14:textId="17577585" w:rsidR="00C93D61" w:rsidRDefault="00FA044D" w:rsidP="00E43546">
      <w:pPr>
        <w:spacing w:after="0" w:line="240" w:lineRule="auto"/>
        <w:jc w:val="both"/>
        <w:outlineLvl w:val="0"/>
        <w:rPr>
          <w:rFonts w:ascii="Book Antiqua" w:eastAsia="Calibri" w:hAnsi="Book Antiqua" w:cs="Times New Roman"/>
          <w:color w:val="000000" w:themeColor="text1"/>
          <w:kern w:val="0"/>
          <w14:ligatures w14:val="none"/>
        </w:rPr>
      </w:pPr>
      <w:r>
        <w:rPr>
          <w:rFonts w:ascii="Book Antiqua" w:eastAsia="Calibri" w:hAnsi="Book Antiqua" w:cs="Times New Roman"/>
          <w:color w:val="000000" w:themeColor="text1"/>
          <w:kern w:val="0"/>
          <w14:ligatures w14:val="none"/>
        </w:rPr>
        <w:t>Vicep</w:t>
      </w:r>
      <w:r w:rsidR="00E90136" w:rsidRPr="0011027E">
        <w:rPr>
          <w:rFonts w:ascii="Book Antiqua" w:eastAsia="Calibri" w:hAnsi="Book Antiqua" w:cs="Times New Roman"/>
          <w:color w:val="000000" w:themeColor="text1"/>
          <w:kern w:val="0"/>
          <w14:ligatures w14:val="none"/>
        </w:rPr>
        <w:t>residente</w:t>
      </w:r>
    </w:p>
    <w:p w14:paraId="03FA4187" w14:textId="32817445" w:rsidR="00221FDC" w:rsidRPr="00995675" w:rsidRDefault="00C93D61" w:rsidP="00E43546">
      <w:pPr>
        <w:spacing w:after="0" w:line="240" w:lineRule="auto"/>
        <w:jc w:val="both"/>
        <w:outlineLvl w:val="0"/>
        <w:rPr>
          <w:rFonts w:ascii="Book Antiqua" w:eastAsia="Calibri" w:hAnsi="Book Antiqua" w:cs="Times New Roman"/>
          <w:color w:val="000000" w:themeColor="text1"/>
          <w:kern w:val="0"/>
          <w14:ligatures w14:val="none"/>
        </w:rPr>
      </w:pPr>
      <w:r>
        <w:rPr>
          <w:rFonts w:ascii="Book Antiqua" w:eastAsia="Calibri" w:hAnsi="Book Antiqua" w:cs="Times New Roman"/>
          <w:color w:val="000000" w:themeColor="text1"/>
          <w:kern w:val="0"/>
          <w14:ligatures w14:val="none"/>
        </w:rPr>
        <w:t>Comisión de lo Jurídico</w:t>
      </w:r>
      <w:r w:rsidR="00E90136" w:rsidRPr="0011027E">
        <w:rPr>
          <w:rFonts w:ascii="Book Antiqua" w:eastAsia="Calibri" w:hAnsi="Book Antiqua" w:cs="Times New Roman"/>
          <w:color w:val="000000" w:themeColor="text1"/>
          <w:kern w:val="0"/>
          <w14:ligatures w14:val="none"/>
        </w:rPr>
        <w:t xml:space="preserve"> </w:t>
      </w:r>
    </w:p>
    <w:sectPr w:rsidR="00221FDC" w:rsidRPr="00995675" w:rsidSect="00C045AD">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C3083" w14:textId="77777777" w:rsidR="00323E4D" w:rsidRPr="0011027E" w:rsidRDefault="00323E4D" w:rsidP="00A21EB9">
      <w:pPr>
        <w:spacing w:after="0" w:line="240" w:lineRule="auto"/>
      </w:pPr>
      <w:r w:rsidRPr="0011027E">
        <w:separator/>
      </w:r>
    </w:p>
  </w:endnote>
  <w:endnote w:type="continuationSeparator" w:id="0">
    <w:p w14:paraId="39102B15" w14:textId="77777777" w:rsidR="00323E4D" w:rsidRPr="0011027E" w:rsidRDefault="00323E4D" w:rsidP="00A21EB9">
      <w:pPr>
        <w:spacing w:after="0" w:line="240" w:lineRule="auto"/>
      </w:pPr>
      <w:r w:rsidRPr="0011027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0774412"/>
      <w:docPartObj>
        <w:docPartGallery w:val="Page Numbers (Bottom of Page)"/>
        <w:docPartUnique/>
      </w:docPartObj>
    </w:sdtPr>
    <w:sdtEndPr/>
    <w:sdtContent>
      <w:p w14:paraId="53613B29" w14:textId="09BA7F2D" w:rsidR="00596BE2" w:rsidRPr="0011027E" w:rsidRDefault="00596BE2">
        <w:pPr>
          <w:pStyle w:val="Footer"/>
          <w:jc w:val="center"/>
        </w:pPr>
        <w:r w:rsidRPr="0011027E">
          <w:fldChar w:fldCharType="begin"/>
        </w:r>
        <w:r w:rsidRPr="0011027E">
          <w:instrText xml:space="preserve"> PAGE   \* MERGEFORMAT </w:instrText>
        </w:r>
        <w:r w:rsidRPr="0011027E">
          <w:fldChar w:fldCharType="separate"/>
        </w:r>
        <w:r w:rsidRPr="0011027E">
          <w:t>2</w:t>
        </w:r>
        <w:r w:rsidRPr="0011027E">
          <w:fldChar w:fldCharType="end"/>
        </w:r>
      </w:p>
    </w:sdtContent>
  </w:sdt>
  <w:p w14:paraId="289C9C76" w14:textId="77777777" w:rsidR="00596BE2" w:rsidRPr="0011027E" w:rsidRDefault="00596B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B8CF8D" w14:textId="77777777" w:rsidR="00323E4D" w:rsidRPr="0011027E" w:rsidRDefault="00323E4D" w:rsidP="00A21EB9">
      <w:pPr>
        <w:spacing w:after="0" w:line="240" w:lineRule="auto"/>
      </w:pPr>
      <w:r w:rsidRPr="0011027E">
        <w:separator/>
      </w:r>
    </w:p>
  </w:footnote>
  <w:footnote w:type="continuationSeparator" w:id="0">
    <w:p w14:paraId="4765E42C" w14:textId="77777777" w:rsidR="00323E4D" w:rsidRPr="0011027E" w:rsidRDefault="00323E4D" w:rsidP="00A21EB9">
      <w:pPr>
        <w:spacing w:after="0" w:line="240" w:lineRule="auto"/>
      </w:pPr>
      <w:r w:rsidRPr="0011027E">
        <w:continuationSeparator/>
      </w:r>
    </w:p>
  </w:footnote>
  <w:footnote w:id="1">
    <w:p w14:paraId="385BE489" w14:textId="65161D10" w:rsidR="00522050" w:rsidRPr="008D4686" w:rsidRDefault="00522050" w:rsidP="008D4686">
      <w:pPr>
        <w:pStyle w:val="FootnoteText"/>
        <w:spacing w:after="60"/>
        <w:rPr>
          <w:rFonts w:ascii="Book Antiqua" w:hAnsi="Book Antiqua"/>
        </w:rPr>
      </w:pPr>
      <w:r w:rsidRPr="008D4686">
        <w:rPr>
          <w:rStyle w:val="FootnoteReference"/>
          <w:rFonts w:ascii="Book Antiqua" w:hAnsi="Book Antiqua"/>
        </w:rPr>
        <w:footnoteRef/>
      </w:r>
      <w:r w:rsidRPr="008D4686">
        <w:rPr>
          <w:rFonts w:ascii="Book Antiqua" w:hAnsi="Book Antiqua"/>
        </w:rPr>
        <w:t xml:space="preserve"> </w:t>
      </w:r>
      <w:r w:rsidR="006740E8" w:rsidRPr="008D4686">
        <w:rPr>
          <w:rFonts w:ascii="Book Antiqua" w:hAnsi="Book Antiqua"/>
        </w:rPr>
        <w:t>C</w:t>
      </w:r>
      <w:r w:rsidR="00381762" w:rsidRPr="008D4686">
        <w:rPr>
          <w:rFonts w:ascii="Book Antiqua" w:hAnsi="Book Antiqua"/>
        </w:rPr>
        <w:t xml:space="preserve">onocida como </w:t>
      </w:r>
      <w:r w:rsidR="00381762" w:rsidRPr="008D4686">
        <w:rPr>
          <w:rFonts w:ascii="Book Antiqua" w:hAnsi="Book Antiqua"/>
          <w:i/>
          <w:iCs/>
        </w:rPr>
        <w:t>Ley del Registro de la Propiedad Inmobiliaria</w:t>
      </w:r>
      <w:r w:rsidR="006740E8" w:rsidRPr="008D4686">
        <w:rPr>
          <w:rFonts w:ascii="Book Antiqua" w:hAnsi="Book Antiqua"/>
        </w:rPr>
        <w:t>.</w:t>
      </w:r>
    </w:p>
  </w:footnote>
  <w:footnote w:id="2">
    <w:p w14:paraId="03D32F68" w14:textId="0FD5896F" w:rsidR="000D587B" w:rsidRPr="005252CF" w:rsidRDefault="000D587B" w:rsidP="008D4686">
      <w:pPr>
        <w:pStyle w:val="FootnoteText"/>
        <w:spacing w:after="60"/>
      </w:pPr>
      <w:r w:rsidRPr="008D4686">
        <w:rPr>
          <w:rStyle w:val="FootnoteReference"/>
          <w:rFonts w:ascii="Book Antiqua" w:hAnsi="Book Antiqua"/>
        </w:rPr>
        <w:footnoteRef/>
      </w:r>
      <w:r w:rsidRPr="008D4686">
        <w:rPr>
          <w:rFonts w:ascii="Book Antiqua" w:hAnsi="Book Antiqua"/>
        </w:rPr>
        <w:t xml:space="preserve"> </w:t>
      </w:r>
      <w:r w:rsidR="00FE1C7E" w:rsidRPr="008D4686">
        <w:rPr>
          <w:rFonts w:ascii="Book Antiqua" w:hAnsi="Book Antiqua"/>
        </w:rPr>
        <w:t>El Senador Dalmau Santiago</w:t>
      </w:r>
      <w:r w:rsidR="005252CF" w:rsidRPr="008D4686">
        <w:rPr>
          <w:rFonts w:ascii="Book Antiqua" w:hAnsi="Book Antiqua"/>
        </w:rPr>
        <w:t>, autor de la medida, presentó otra similar en el 2021</w:t>
      </w:r>
      <w:r w:rsidR="00414004" w:rsidRPr="008D4686">
        <w:rPr>
          <w:rFonts w:ascii="Book Antiqua" w:hAnsi="Book Antiqua"/>
        </w:rPr>
        <w:t>: el P. del S. 505.</w:t>
      </w:r>
      <w:r w:rsidR="00241FD8" w:rsidRPr="008D4686">
        <w:rPr>
          <w:rFonts w:ascii="Book Antiqua" w:hAnsi="Book Antiqua"/>
        </w:rPr>
        <w:t xml:space="preserve"> El último trámite que se desprende de la medida fue en enero de 2024, cuando el Senado le pidió al Gobernador que devolviera la medida.</w:t>
      </w:r>
      <w:r w:rsidR="00241FD8">
        <w:t xml:space="preserve"> </w:t>
      </w:r>
    </w:p>
  </w:footnote>
  <w:footnote w:id="3">
    <w:p w14:paraId="5CFFCBA8" w14:textId="77777777" w:rsidR="00876807" w:rsidRPr="00A66D6B" w:rsidRDefault="0099015F" w:rsidP="00876807">
      <w:pPr>
        <w:pStyle w:val="FootnoteText"/>
        <w:rPr>
          <w:rFonts w:ascii="Book Antiqua" w:hAnsi="Book Antiqua"/>
          <w:i/>
          <w:iCs/>
        </w:rPr>
      </w:pPr>
      <w:r w:rsidRPr="00DA2835">
        <w:rPr>
          <w:rStyle w:val="FootnoteReference"/>
          <w:rFonts w:ascii="Book Antiqua" w:hAnsi="Book Antiqua"/>
        </w:rPr>
        <w:footnoteRef/>
      </w:r>
      <w:r w:rsidRPr="00DA2835">
        <w:rPr>
          <w:rFonts w:ascii="Book Antiqua" w:hAnsi="Book Antiqua"/>
        </w:rPr>
        <w:t xml:space="preserve"> </w:t>
      </w:r>
      <w:r w:rsidR="00634D2C" w:rsidRPr="00DA2835">
        <w:rPr>
          <w:rFonts w:ascii="Book Antiqua" w:hAnsi="Book Antiqua"/>
        </w:rPr>
        <w:t xml:space="preserve">Véase Código Civil de Puerto Rico </w:t>
      </w:r>
      <w:r w:rsidR="00C31022" w:rsidRPr="00DA2835">
        <w:rPr>
          <w:rFonts w:ascii="Book Antiqua" w:hAnsi="Book Antiqua"/>
        </w:rPr>
        <w:t xml:space="preserve">anotado, comentario al artículo 1277: </w:t>
      </w:r>
      <w:r w:rsidR="00876807" w:rsidRPr="00A66D6B">
        <w:rPr>
          <w:rFonts w:ascii="Book Antiqua" w:hAnsi="Book Antiqua"/>
          <w:i/>
          <w:iCs/>
        </w:rPr>
        <w:t>En el nuevo Código (2020) se adoptan estas normas, de tal manera que sirvan no sólo para la compraventa sino para todos los tipos contractuales.</w:t>
      </w:r>
    </w:p>
    <w:p w14:paraId="5C34C558" w14:textId="77777777" w:rsidR="00876807" w:rsidRPr="00A66D6B" w:rsidRDefault="00876807" w:rsidP="00876807">
      <w:pPr>
        <w:pStyle w:val="FootnoteText"/>
        <w:rPr>
          <w:rFonts w:ascii="Book Antiqua" w:hAnsi="Book Antiqua"/>
          <w:i/>
          <w:iCs/>
        </w:rPr>
      </w:pPr>
      <w:r w:rsidRPr="00A66D6B">
        <w:rPr>
          <w:rFonts w:ascii="Book Antiqua" w:hAnsi="Book Antiqua"/>
          <w:i/>
          <w:iCs/>
        </w:rPr>
        <w:t>La variación de la vertiente argentina y peruana obedece a querer destacar en el nuevo texto que no debe confundirse la capacidad para contratar con la legitimación para contratar. Esta última incluye ciertamente la capacidad, pero requiere, además, que no exista ninguna prohibición.</w:t>
      </w:r>
    </w:p>
    <w:p w14:paraId="60933D73" w14:textId="6F83AE96" w:rsidR="0099015F" w:rsidRPr="00B01095" w:rsidRDefault="00876807" w:rsidP="00876807">
      <w:pPr>
        <w:pStyle w:val="FootnoteText"/>
      </w:pPr>
      <w:r w:rsidRPr="00A66D6B">
        <w:rPr>
          <w:rFonts w:ascii="Book Antiqua" w:hAnsi="Book Antiqua"/>
          <w:i/>
          <w:iCs/>
        </w:rPr>
        <w:t>Obsérvese que la nueva norma se refiere a la capacidad, no a la incapacidad. Este hecho, unido a que lo tomado en cuenta es la legitimación, destierra la necesidad de referirse a las llamadas “incapacidades relativas”. No tiene sentido hablar de ellas porque la incapacidad de obrar se subsana mediante la sentencia judicial que la declara y nombra un tutor, mientras que las llamadas “incapacidades relativas” no pueden subsanarse así. Es decir, el ser tutor no es una incapacidad sino una circunstancia que impide contratar con el tutelado y, mientras exista la tutela, ningún tribunal puede autorizar el negocio del tutor con su pupilo.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5ED3C" w14:textId="6097DC9C" w:rsidR="00596BE2" w:rsidRPr="0011027E"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11027E">
      <w:rPr>
        <w:rFonts w:ascii="Book Antiqua" w:hAnsi="Book Antiqua"/>
        <w:color w:val="000000" w:themeColor="text1"/>
        <w:sz w:val="20"/>
        <w:szCs w:val="20"/>
      </w:rPr>
      <w:t>Cámara de Representantes</w:t>
    </w:r>
    <w:r w:rsidR="000D346E" w:rsidRPr="0011027E">
      <w:rPr>
        <w:rFonts w:ascii="Book Antiqua" w:hAnsi="Book Antiqua"/>
        <w:color w:val="000000" w:themeColor="text1"/>
        <w:sz w:val="20"/>
        <w:szCs w:val="20"/>
      </w:rPr>
      <w:t xml:space="preserve"> de Puerto Rico</w:t>
    </w:r>
  </w:p>
  <w:p w14:paraId="27A1706D" w14:textId="73925F52" w:rsidR="00596BE2" w:rsidRPr="0011027E" w:rsidRDefault="00596BE2" w:rsidP="00596BE2">
    <w:pPr>
      <w:tabs>
        <w:tab w:val="center" w:pos="4680"/>
        <w:tab w:val="right" w:pos="9360"/>
      </w:tabs>
      <w:spacing w:after="0" w:line="240" w:lineRule="auto"/>
      <w:jc w:val="both"/>
      <w:rPr>
        <w:rFonts w:ascii="Book Antiqua" w:hAnsi="Book Antiqua"/>
        <w:color w:val="000000" w:themeColor="text1"/>
        <w:sz w:val="20"/>
        <w:szCs w:val="20"/>
      </w:rPr>
    </w:pPr>
    <w:r w:rsidRPr="0011027E">
      <w:rPr>
        <w:rFonts w:ascii="Book Antiqua" w:hAnsi="Book Antiqua"/>
        <w:color w:val="000000" w:themeColor="text1"/>
        <w:sz w:val="20"/>
        <w:szCs w:val="20"/>
      </w:rPr>
      <w:t>Comisión de lo Jurídico</w:t>
    </w:r>
  </w:p>
  <w:p w14:paraId="42179AB2" w14:textId="0576C58A" w:rsidR="0032132D" w:rsidRPr="0011027E" w:rsidRDefault="0032132D" w:rsidP="00596BE2">
    <w:pPr>
      <w:tabs>
        <w:tab w:val="center" w:pos="4680"/>
        <w:tab w:val="right" w:pos="9360"/>
      </w:tabs>
      <w:spacing w:after="0" w:line="240" w:lineRule="auto"/>
      <w:jc w:val="both"/>
      <w:rPr>
        <w:rFonts w:ascii="Book Antiqua" w:hAnsi="Book Antiqua"/>
        <w:color w:val="000000" w:themeColor="text1"/>
        <w:sz w:val="20"/>
        <w:szCs w:val="20"/>
      </w:rPr>
    </w:pPr>
    <w:r w:rsidRPr="0011027E">
      <w:rPr>
        <w:rFonts w:ascii="Book Antiqua" w:hAnsi="Book Antiqua"/>
        <w:color w:val="000000" w:themeColor="text1"/>
        <w:sz w:val="20"/>
        <w:szCs w:val="20"/>
      </w:rPr>
      <w:t xml:space="preserve">Informe Positivo sobre el P. del S. </w:t>
    </w:r>
    <w:r w:rsidR="006740E8">
      <w:rPr>
        <w:rFonts w:ascii="Book Antiqua" w:hAnsi="Book Antiqua"/>
        <w:color w:val="000000" w:themeColor="text1"/>
        <w:sz w:val="20"/>
        <w:szCs w:val="20"/>
      </w:rPr>
      <w:t>707</w:t>
    </w:r>
  </w:p>
  <w:p w14:paraId="5C347BE3" w14:textId="77777777" w:rsidR="0032132D" w:rsidRPr="0011027E" w:rsidRDefault="003213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464F1"/>
    <w:multiLevelType w:val="hybridMultilevel"/>
    <w:tmpl w:val="2D322910"/>
    <w:lvl w:ilvl="0" w:tplc="A80438BE">
      <w:start w:val="1"/>
      <w:numFmt w:val="decimal"/>
      <w:lvlText w:val="%1."/>
      <w:lvlJc w:val="left"/>
      <w:pPr>
        <w:ind w:left="1080" w:hanging="360"/>
      </w:pPr>
      <w:rPr>
        <w:rFonts w:hint="default"/>
        <w:strike w:val="0"/>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 w15:restartNumberingAfterBreak="0">
    <w:nsid w:val="23DE3C42"/>
    <w:multiLevelType w:val="multilevel"/>
    <w:tmpl w:val="EBCA5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6223876">
    <w:abstractNumId w:val="1"/>
  </w:num>
  <w:num w:numId="2" w16cid:durableId="1054889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0B5"/>
    <w:rsid w:val="00005E4C"/>
    <w:rsid w:val="000123A7"/>
    <w:rsid w:val="00020F32"/>
    <w:rsid w:val="00022258"/>
    <w:rsid w:val="000245FA"/>
    <w:rsid w:val="00034B17"/>
    <w:rsid w:val="00046A95"/>
    <w:rsid w:val="00053FF1"/>
    <w:rsid w:val="00054CAB"/>
    <w:rsid w:val="00055895"/>
    <w:rsid w:val="0007002A"/>
    <w:rsid w:val="00075469"/>
    <w:rsid w:val="00075A87"/>
    <w:rsid w:val="00082DF9"/>
    <w:rsid w:val="00086E81"/>
    <w:rsid w:val="00091220"/>
    <w:rsid w:val="000929FF"/>
    <w:rsid w:val="000950F5"/>
    <w:rsid w:val="000A3D36"/>
    <w:rsid w:val="000A6658"/>
    <w:rsid w:val="000B2D1E"/>
    <w:rsid w:val="000B793B"/>
    <w:rsid w:val="000B7E5C"/>
    <w:rsid w:val="000C044E"/>
    <w:rsid w:val="000C247D"/>
    <w:rsid w:val="000D21C5"/>
    <w:rsid w:val="000D2767"/>
    <w:rsid w:val="000D346E"/>
    <w:rsid w:val="000D3663"/>
    <w:rsid w:val="000D587B"/>
    <w:rsid w:val="000E435D"/>
    <w:rsid w:val="000E4787"/>
    <w:rsid w:val="000E580F"/>
    <w:rsid w:val="000E6823"/>
    <w:rsid w:val="001026C5"/>
    <w:rsid w:val="0011027E"/>
    <w:rsid w:val="00120109"/>
    <w:rsid w:val="0012168C"/>
    <w:rsid w:val="00122F2A"/>
    <w:rsid w:val="00130D16"/>
    <w:rsid w:val="00132E2F"/>
    <w:rsid w:val="001438C7"/>
    <w:rsid w:val="00153826"/>
    <w:rsid w:val="001611C6"/>
    <w:rsid w:val="00161F7B"/>
    <w:rsid w:val="001631A9"/>
    <w:rsid w:val="001658E0"/>
    <w:rsid w:val="00171D5D"/>
    <w:rsid w:val="0017485E"/>
    <w:rsid w:val="0017537D"/>
    <w:rsid w:val="001812CE"/>
    <w:rsid w:val="001816B5"/>
    <w:rsid w:val="00184557"/>
    <w:rsid w:val="00185649"/>
    <w:rsid w:val="00194C6D"/>
    <w:rsid w:val="00194EC7"/>
    <w:rsid w:val="00195860"/>
    <w:rsid w:val="001964A3"/>
    <w:rsid w:val="001A5D51"/>
    <w:rsid w:val="001B0E20"/>
    <w:rsid w:val="001B4010"/>
    <w:rsid w:val="001B4FE0"/>
    <w:rsid w:val="001C02AB"/>
    <w:rsid w:val="001C15D9"/>
    <w:rsid w:val="001C2D3C"/>
    <w:rsid w:val="001C3390"/>
    <w:rsid w:val="001C7784"/>
    <w:rsid w:val="001C7CEB"/>
    <w:rsid w:val="001D0D67"/>
    <w:rsid w:val="001D31C2"/>
    <w:rsid w:val="001D3FD3"/>
    <w:rsid w:val="001D4AF8"/>
    <w:rsid w:val="001D76BB"/>
    <w:rsid w:val="001E24B6"/>
    <w:rsid w:val="001E708B"/>
    <w:rsid w:val="001E7A99"/>
    <w:rsid w:val="001F006D"/>
    <w:rsid w:val="002016E8"/>
    <w:rsid w:val="00201921"/>
    <w:rsid w:val="002066EB"/>
    <w:rsid w:val="0021754B"/>
    <w:rsid w:val="00217D0D"/>
    <w:rsid w:val="00220C5A"/>
    <w:rsid w:val="00221FDC"/>
    <w:rsid w:val="00223530"/>
    <w:rsid w:val="0022774A"/>
    <w:rsid w:val="0023252C"/>
    <w:rsid w:val="0023707A"/>
    <w:rsid w:val="002370C3"/>
    <w:rsid w:val="00241FD8"/>
    <w:rsid w:val="00244103"/>
    <w:rsid w:val="0024713F"/>
    <w:rsid w:val="002476D1"/>
    <w:rsid w:val="00250A8E"/>
    <w:rsid w:val="00256E2B"/>
    <w:rsid w:val="00261B7B"/>
    <w:rsid w:val="002628BB"/>
    <w:rsid w:val="0026515A"/>
    <w:rsid w:val="00280ED5"/>
    <w:rsid w:val="00285A7F"/>
    <w:rsid w:val="00285DC0"/>
    <w:rsid w:val="00290312"/>
    <w:rsid w:val="00290FF0"/>
    <w:rsid w:val="0029482F"/>
    <w:rsid w:val="002B0558"/>
    <w:rsid w:val="002B2A9C"/>
    <w:rsid w:val="002C0E5E"/>
    <w:rsid w:val="002C29F1"/>
    <w:rsid w:val="002C2AB3"/>
    <w:rsid w:val="002C415D"/>
    <w:rsid w:val="002C50DD"/>
    <w:rsid w:val="002C7622"/>
    <w:rsid w:val="002D2394"/>
    <w:rsid w:val="002D29FE"/>
    <w:rsid w:val="002D2C02"/>
    <w:rsid w:val="002D2CD2"/>
    <w:rsid w:val="002E251E"/>
    <w:rsid w:val="002E7E93"/>
    <w:rsid w:val="002F2C24"/>
    <w:rsid w:val="002F6ABB"/>
    <w:rsid w:val="002F6C59"/>
    <w:rsid w:val="0030106C"/>
    <w:rsid w:val="0030170C"/>
    <w:rsid w:val="00304870"/>
    <w:rsid w:val="00310583"/>
    <w:rsid w:val="0031235D"/>
    <w:rsid w:val="00312D59"/>
    <w:rsid w:val="00315EA0"/>
    <w:rsid w:val="0032132D"/>
    <w:rsid w:val="00323C97"/>
    <w:rsid w:val="00323E4D"/>
    <w:rsid w:val="0032636C"/>
    <w:rsid w:val="003263A0"/>
    <w:rsid w:val="00326948"/>
    <w:rsid w:val="0033033C"/>
    <w:rsid w:val="0033510C"/>
    <w:rsid w:val="00343795"/>
    <w:rsid w:val="00352CB7"/>
    <w:rsid w:val="00354E0A"/>
    <w:rsid w:val="00355BBD"/>
    <w:rsid w:val="00361B08"/>
    <w:rsid w:val="003623BC"/>
    <w:rsid w:val="003700EA"/>
    <w:rsid w:val="00377585"/>
    <w:rsid w:val="00381762"/>
    <w:rsid w:val="00381831"/>
    <w:rsid w:val="00387E0F"/>
    <w:rsid w:val="003966CA"/>
    <w:rsid w:val="003A30A7"/>
    <w:rsid w:val="003A31BA"/>
    <w:rsid w:val="003A331D"/>
    <w:rsid w:val="003A3E51"/>
    <w:rsid w:val="003A5A27"/>
    <w:rsid w:val="003B29C2"/>
    <w:rsid w:val="003B576D"/>
    <w:rsid w:val="003B60FC"/>
    <w:rsid w:val="003B686A"/>
    <w:rsid w:val="003C58BC"/>
    <w:rsid w:val="003C70EB"/>
    <w:rsid w:val="003D170D"/>
    <w:rsid w:val="003D1FB7"/>
    <w:rsid w:val="003D3C6C"/>
    <w:rsid w:val="003D4D0D"/>
    <w:rsid w:val="003D53C5"/>
    <w:rsid w:val="003E2ABD"/>
    <w:rsid w:val="003E382E"/>
    <w:rsid w:val="003E67EB"/>
    <w:rsid w:val="003E6FAA"/>
    <w:rsid w:val="003F0737"/>
    <w:rsid w:val="003F5FC6"/>
    <w:rsid w:val="00400146"/>
    <w:rsid w:val="0041310F"/>
    <w:rsid w:val="00414004"/>
    <w:rsid w:val="00415027"/>
    <w:rsid w:val="0041671E"/>
    <w:rsid w:val="00432F45"/>
    <w:rsid w:val="004405BD"/>
    <w:rsid w:val="00442721"/>
    <w:rsid w:val="00444025"/>
    <w:rsid w:val="00452F87"/>
    <w:rsid w:val="00462E85"/>
    <w:rsid w:val="00470D01"/>
    <w:rsid w:val="00472D17"/>
    <w:rsid w:val="00473356"/>
    <w:rsid w:val="00475DFD"/>
    <w:rsid w:val="004771FF"/>
    <w:rsid w:val="00485B68"/>
    <w:rsid w:val="004875A6"/>
    <w:rsid w:val="004875E0"/>
    <w:rsid w:val="00494824"/>
    <w:rsid w:val="0049497C"/>
    <w:rsid w:val="004A4966"/>
    <w:rsid w:val="004B3612"/>
    <w:rsid w:val="004C7DF0"/>
    <w:rsid w:val="004D1F54"/>
    <w:rsid w:val="004D490B"/>
    <w:rsid w:val="004E5DD5"/>
    <w:rsid w:val="004E70E6"/>
    <w:rsid w:val="004E7C04"/>
    <w:rsid w:val="004F0106"/>
    <w:rsid w:val="004F6B62"/>
    <w:rsid w:val="0050459A"/>
    <w:rsid w:val="0050497D"/>
    <w:rsid w:val="00505BBA"/>
    <w:rsid w:val="005060A9"/>
    <w:rsid w:val="005068C7"/>
    <w:rsid w:val="00507510"/>
    <w:rsid w:val="00520983"/>
    <w:rsid w:val="00520E2A"/>
    <w:rsid w:val="00521CF4"/>
    <w:rsid w:val="00522050"/>
    <w:rsid w:val="005252CF"/>
    <w:rsid w:val="005311D1"/>
    <w:rsid w:val="0054260A"/>
    <w:rsid w:val="00543B62"/>
    <w:rsid w:val="0054426C"/>
    <w:rsid w:val="0054495D"/>
    <w:rsid w:val="00553550"/>
    <w:rsid w:val="005600B5"/>
    <w:rsid w:val="00567BD2"/>
    <w:rsid w:val="00570C89"/>
    <w:rsid w:val="00572CD2"/>
    <w:rsid w:val="0057516C"/>
    <w:rsid w:val="005768CB"/>
    <w:rsid w:val="00576B49"/>
    <w:rsid w:val="00595471"/>
    <w:rsid w:val="00596BE2"/>
    <w:rsid w:val="005A0B54"/>
    <w:rsid w:val="005A7298"/>
    <w:rsid w:val="005A7B2B"/>
    <w:rsid w:val="005B45A3"/>
    <w:rsid w:val="005B47AC"/>
    <w:rsid w:val="005B777C"/>
    <w:rsid w:val="005C229C"/>
    <w:rsid w:val="005C3114"/>
    <w:rsid w:val="005C5E7E"/>
    <w:rsid w:val="005C751E"/>
    <w:rsid w:val="005D1528"/>
    <w:rsid w:val="005D1A8C"/>
    <w:rsid w:val="005D1AEB"/>
    <w:rsid w:val="005D2330"/>
    <w:rsid w:val="005D476C"/>
    <w:rsid w:val="005D624F"/>
    <w:rsid w:val="005D6D77"/>
    <w:rsid w:val="005E301A"/>
    <w:rsid w:val="005E3AA4"/>
    <w:rsid w:val="005E522F"/>
    <w:rsid w:val="005F29B5"/>
    <w:rsid w:val="005F546C"/>
    <w:rsid w:val="0060083D"/>
    <w:rsid w:val="00601AF3"/>
    <w:rsid w:val="0061063C"/>
    <w:rsid w:val="006124BA"/>
    <w:rsid w:val="00615E51"/>
    <w:rsid w:val="00616F9E"/>
    <w:rsid w:val="006260A9"/>
    <w:rsid w:val="00626B12"/>
    <w:rsid w:val="00627A5F"/>
    <w:rsid w:val="00627B37"/>
    <w:rsid w:val="00632155"/>
    <w:rsid w:val="00632465"/>
    <w:rsid w:val="00634425"/>
    <w:rsid w:val="00634D2C"/>
    <w:rsid w:val="0064047B"/>
    <w:rsid w:val="00646288"/>
    <w:rsid w:val="00646A27"/>
    <w:rsid w:val="0065321F"/>
    <w:rsid w:val="00660387"/>
    <w:rsid w:val="0066218A"/>
    <w:rsid w:val="006627B0"/>
    <w:rsid w:val="00664C1E"/>
    <w:rsid w:val="006740E8"/>
    <w:rsid w:val="006772BE"/>
    <w:rsid w:val="006826E3"/>
    <w:rsid w:val="00684540"/>
    <w:rsid w:val="006929A9"/>
    <w:rsid w:val="006929BA"/>
    <w:rsid w:val="006929CC"/>
    <w:rsid w:val="006A1B89"/>
    <w:rsid w:val="006B0738"/>
    <w:rsid w:val="006B6EF4"/>
    <w:rsid w:val="006C7193"/>
    <w:rsid w:val="006D2817"/>
    <w:rsid w:val="006D40BD"/>
    <w:rsid w:val="006D41A9"/>
    <w:rsid w:val="006D7601"/>
    <w:rsid w:val="006E4E32"/>
    <w:rsid w:val="006E5A5D"/>
    <w:rsid w:val="006E661F"/>
    <w:rsid w:val="0070240A"/>
    <w:rsid w:val="00702C2F"/>
    <w:rsid w:val="00722157"/>
    <w:rsid w:val="007222D4"/>
    <w:rsid w:val="0073195E"/>
    <w:rsid w:val="00733762"/>
    <w:rsid w:val="007344AE"/>
    <w:rsid w:val="00735F93"/>
    <w:rsid w:val="00736840"/>
    <w:rsid w:val="00752AF3"/>
    <w:rsid w:val="007546F9"/>
    <w:rsid w:val="0075582E"/>
    <w:rsid w:val="0076119E"/>
    <w:rsid w:val="00767EBE"/>
    <w:rsid w:val="00770DBE"/>
    <w:rsid w:val="007710DB"/>
    <w:rsid w:val="007718EA"/>
    <w:rsid w:val="00773031"/>
    <w:rsid w:val="00775AE7"/>
    <w:rsid w:val="00780C15"/>
    <w:rsid w:val="00780C3D"/>
    <w:rsid w:val="00782E3E"/>
    <w:rsid w:val="00783C07"/>
    <w:rsid w:val="00785F7D"/>
    <w:rsid w:val="007868EB"/>
    <w:rsid w:val="007870EC"/>
    <w:rsid w:val="00787242"/>
    <w:rsid w:val="00787DF0"/>
    <w:rsid w:val="007903E4"/>
    <w:rsid w:val="007906FD"/>
    <w:rsid w:val="0079308C"/>
    <w:rsid w:val="00795487"/>
    <w:rsid w:val="00797DCA"/>
    <w:rsid w:val="007A40B9"/>
    <w:rsid w:val="007A638F"/>
    <w:rsid w:val="007A795F"/>
    <w:rsid w:val="007B10CC"/>
    <w:rsid w:val="007B2669"/>
    <w:rsid w:val="007B459B"/>
    <w:rsid w:val="007B6CBC"/>
    <w:rsid w:val="007C09AB"/>
    <w:rsid w:val="007C19FA"/>
    <w:rsid w:val="007C345E"/>
    <w:rsid w:val="007C4192"/>
    <w:rsid w:val="007C47B6"/>
    <w:rsid w:val="007C49CD"/>
    <w:rsid w:val="007C5EFB"/>
    <w:rsid w:val="007D235D"/>
    <w:rsid w:val="007D2884"/>
    <w:rsid w:val="007D4A76"/>
    <w:rsid w:val="007D734D"/>
    <w:rsid w:val="007F034F"/>
    <w:rsid w:val="007F2666"/>
    <w:rsid w:val="007F6271"/>
    <w:rsid w:val="007F6E0F"/>
    <w:rsid w:val="00806AF5"/>
    <w:rsid w:val="00807506"/>
    <w:rsid w:val="00810054"/>
    <w:rsid w:val="0081089E"/>
    <w:rsid w:val="00814E8F"/>
    <w:rsid w:val="00824FF0"/>
    <w:rsid w:val="00827518"/>
    <w:rsid w:val="008309E1"/>
    <w:rsid w:val="00836A47"/>
    <w:rsid w:val="008375B9"/>
    <w:rsid w:val="00841AAB"/>
    <w:rsid w:val="00842711"/>
    <w:rsid w:val="00842C70"/>
    <w:rsid w:val="00844BDC"/>
    <w:rsid w:val="00847B58"/>
    <w:rsid w:val="00855E37"/>
    <w:rsid w:val="0085683D"/>
    <w:rsid w:val="008645B0"/>
    <w:rsid w:val="00864B96"/>
    <w:rsid w:val="0086545A"/>
    <w:rsid w:val="00865869"/>
    <w:rsid w:val="00870A6E"/>
    <w:rsid w:val="00872B93"/>
    <w:rsid w:val="00876807"/>
    <w:rsid w:val="00885228"/>
    <w:rsid w:val="00885C36"/>
    <w:rsid w:val="00890E16"/>
    <w:rsid w:val="008926C6"/>
    <w:rsid w:val="00892FFE"/>
    <w:rsid w:val="008944CA"/>
    <w:rsid w:val="00896B5E"/>
    <w:rsid w:val="00896CCA"/>
    <w:rsid w:val="008A2D69"/>
    <w:rsid w:val="008A68C3"/>
    <w:rsid w:val="008B1CD0"/>
    <w:rsid w:val="008B5182"/>
    <w:rsid w:val="008C1CAB"/>
    <w:rsid w:val="008C2397"/>
    <w:rsid w:val="008C4BB3"/>
    <w:rsid w:val="008C501D"/>
    <w:rsid w:val="008C6A66"/>
    <w:rsid w:val="008C73B5"/>
    <w:rsid w:val="008D1B75"/>
    <w:rsid w:val="008D4686"/>
    <w:rsid w:val="008D564F"/>
    <w:rsid w:val="008D5709"/>
    <w:rsid w:val="008D5EC6"/>
    <w:rsid w:val="008D6DB1"/>
    <w:rsid w:val="008F4472"/>
    <w:rsid w:val="008F6805"/>
    <w:rsid w:val="008F6934"/>
    <w:rsid w:val="008F6CB2"/>
    <w:rsid w:val="008F6DD3"/>
    <w:rsid w:val="00905CB1"/>
    <w:rsid w:val="00910B73"/>
    <w:rsid w:val="009130B1"/>
    <w:rsid w:val="00915AE3"/>
    <w:rsid w:val="00917900"/>
    <w:rsid w:val="009215F3"/>
    <w:rsid w:val="00921F97"/>
    <w:rsid w:val="00925780"/>
    <w:rsid w:val="00930E1C"/>
    <w:rsid w:val="0094140E"/>
    <w:rsid w:val="00942F6F"/>
    <w:rsid w:val="0094560B"/>
    <w:rsid w:val="009472AE"/>
    <w:rsid w:val="00952067"/>
    <w:rsid w:val="00952CE4"/>
    <w:rsid w:val="009538CD"/>
    <w:rsid w:val="00972BED"/>
    <w:rsid w:val="009744BA"/>
    <w:rsid w:val="00975FC9"/>
    <w:rsid w:val="009813DE"/>
    <w:rsid w:val="00982FE9"/>
    <w:rsid w:val="00984139"/>
    <w:rsid w:val="0099015F"/>
    <w:rsid w:val="00991310"/>
    <w:rsid w:val="00995675"/>
    <w:rsid w:val="009972FC"/>
    <w:rsid w:val="00997612"/>
    <w:rsid w:val="00997BD4"/>
    <w:rsid w:val="00997C88"/>
    <w:rsid w:val="009A1AFC"/>
    <w:rsid w:val="009A2FD7"/>
    <w:rsid w:val="009A4751"/>
    <w:rsid w:val="009A4B69"/>
    <w:rsid w:val="009A673C"/>
    <w:rsid w:val="009A7B8F"/>
    <w:rsid w:val="009B1761"/>
    <w:rsid w:val="009B5094"/>
    <w:rsid w:val="009B68E0"/>
    <w:rsid w:val="009C3E59"/>
    <w:rsid w:val="009D111F"/>
    <w:rsid w:val="009E0317"/>
    <w:rsid w:val="009F248A"/>
    <w:rsid w:val="009F33BB"/>
    <w:rsid w:val="009F6819"/>
    <w:rsid w:val="00A00AAC"/>
    <w:rsid w:val="00A1366A"/>
    <w:rsid w:val="00A174F1"/>
    <w:rsid w:val="00A17CA2"/>
    <w:rsid w:val="00A21B9B"/>
    <w:rsid w:val="00A21EB9"/>
    <w:rsid w:val="00A22C21"/>
    <w:rsid w:val="00A27C1D"/>
    <w:rsid w:val="00A305E7"/>
    <w:rsid w:val="00A3295F"/>
    <w:rsid w:val="00A338D9"/>
    <w:rsid w:val="00A3666B"/>
    <w:rsid w:val="00A43A92"/>
    <w:rsid w:val="00A47675"/>
    <w:rsid w:val="00A66D6B"/>
    <w:rsid w:val="00A674E2"/>
    <w:rsid w:val="00A70362"/>
    <w:rsid w:val="00A71278"/>
    <w:rsid w:val="00A73B2D"/>
    <w:rsid w:val="00A8206C"/>
    <w:rsid w:val="00A821DA"/>
    <w:rsid w:val="00A8587C"/>
    <w:rsid w:val="00A91737"/>
    <w:rsid w:val="00A97431"/>
    <w:rsid w:val="00AA4559"/>
    <w:rsid w:val="00AB14BA"/>
    <w:rsid w:val="00AB646A"/>
    <w:rsid w:val="00AB7391"/>
    <w:rsid w:val="00AC142C"/>
    <w:rsid w:val="00AC1ED7"/>
    <w:rsid w:val="00AC210E"/>
    <w:rsid w:val="00AC33BA"/>
    <w:rsid w:val="00AC6105"/>
    <w:rsid w:val="00AC6E1E"/>
    <w:rsid w:val="00AE0796"/>
    <w:rsid w:val="00AE33C6"/>
    <w:rsid w:val="00AE37B8"/>
    <w:rsid w:val="00AE5EEB"/>
    <w:rsid w:val="00AE614D"/>
    <w:rsid w:val="00AF0518"/>
    <w:rsid w:val="00AF1BCE"/>
    <w:rsid w:val="00AF5535"/>
    <w:rsid w:val="00AF5CCA"/>
    <w:rsid w:val="00B00D90"/>
    <w:rsid w:val="00B01095"/>
    <w:rsid w:val="00B05E6E"/>
    <w:rsid w:val="00B076E4"/>
    <w:rsid w:val="00B122B8"/>
    <w:rsid w:val="00B1548E"/>
    <w:rsid w:val="00B23440"/>
    <w:rsid w:val="00B24582"/>
    <w:rsid w:val="00B255AE"/>
    <w:rsid w:val="00B27E7B"/>
    <w:rsid w:val="00B40133"/>
    <w:rsid w:val="00B45017"/>
    <w:rsid w:val="00B54769"/>
    <w:rsid w:val="00B66CC0"/>
    <w:rsid w:val="00B77453"/>
    <w:rsid w:val="00B8192C"/>
    <w:rsid w:val="00B86123"/>
    <w:rsid w:val="00B90089"/>
    <w:rsid w:val="00B90F2F"/>
    <w:rsid w:val="00B91F7D"/>
    <w:rsid w:val="00B930B4"/>
    <w:rsid w:val="00B94484"/>
    <w:rsid w:val="00B94BE4"/>
    <w:rsid w:val="00B952BB"/>
    <w:rsid w:val="00BB1B86"/>
    <w:rsid w:val="00BC1B2D"/>
    <w:rsid w:val="00BD08B2"/>
    <w:rsid w:val="00BD7505"/>
    <w:rsid w:val="00BD7B99"/>
    <w:rsid w:val="00BE7EF3"/>
    <w:rsid w:val="00BF49D3"/>
    <w:rsid w:val="00C026B1"/>
    <w:rsid w:val="00C03EF4"/>
    <w:rsid w:val="00C045AD"/>
    <w:rsid w:val="00C04CC8"/>
    <w:rsid w:val="00C12C92"/>
    <w:rsid w:val="00C174F2"/>
    <w:rsid w:val="00C25EC3"/>
    <w:rsid w:val="00C26E6F"/>
    <w:rsid w:val="00C31022"/>
    <w:rsid w:val="00C32489"/>
    <w:rsid w:val="00C33B71"/>
    <w:rsid w:val="00C35E26"/>
    <w:rsid w:val="00C43639"/>
    <w:rsid w:val="00C51648"/>
    <w:rsid w:val="00C52419"/>
    <w:rsid w:val="00C672C4"/>
    <w:rsid w:val="00C7236E"/>
    <w:rsid w:val="00C739E9"/>
    <w:rsid w:val="00C80B87"/>
    <w:rsid w:val="00C84BA1"/>
    <w:rsid w:val="00C90319"/>
    <w:rsid w:val="00C93D61"/>
    <w:rsid w:val="00C96E42"/>
    <w:rsid w:val="00CA6C7F"/>
    <w:rsid w:val="00CB04C8"/>
    <w:rsid w:val="00CC04BA"/>
    <w:rsid w:val="00CC1689"/>
    <w:rsid w:val="00CC2BEA"/>
    <w:rsid w:val="00CC3182"/>
    <w:rsid w:val="00CC3DE9"/>
    <w:rsid w:val="00CD2A67"/>
    <w:rsid w:val="00CD302B"/>
    <w:rsid w:val="00CD4E2A"/>
    <w:rsid w:val="00CD7B7D"/>
    <w:rsid w:val="00CE2149"/>
    <w:rsid w:val="00CE3DF6"/>
    <w:rsid w:val="00CE4468"/>
    <w:rsid w:val="00CE5A0A"/>
    <w:rsid w:val="00CE60EA"/>
    <w:rsid w:val="00CE71B0"/>
    <w:rsid w:val="00D12EC0"/>
    <w:rsid w:val="00D13460"/>
    <w:rsid w:val="00D14184"/>
    <w:rsid w:val="00D14364"/>
    <w:rsid w:val="00D1499E"/>
    <w:rsid w:val="00D17A84"/>
    <w:rsid w:val="00D207AE"/>
    <w:rsid w:val="00D242B5"/>
    <w:rsid w:val="00D4097E"/>
    <w:rsid w:val="00D437B8"/>
    <w:rsid w:val="00D45467"/>
    <w:rsid w:val="00D45D53"/>
    <w:rsid w:val="00D539DB"/>
    <w:rsid w:val="00D53AD5"/>
    <w:rsid w:val="00D551E3"/>
    <w:rsid w:val="00D61BAF"/>
    <w:rsid w:val="00D61C11"/>
    <w:rsid w:val="00D67D2D"/>
    <w:rsid w:val="00D72988"/>
    <w:rsid w:val="00D7493A"/>
    <w:rsid w:val="00D76F3A"/>
    <w:rsid w:val="00D8123C"/>
    <w:rsid w:val="00D85275"/>
    <w:rsid w:val="00D952BD"/>
    <w:rsid w:val="00D97A1E"/>
    <w:rsid w:val="00DA2835"/>
    <w:rsid w:val="00DA45E0"/>
    <w:rsid w:val="00DB16E4"/>
    <w:rsid w:val="00DB72C1"/>
    <w:rsid w:val="00DC0300"/>
    <w:rsid w:val="00DC1042"/>
    <w:rsid w:val="00DD348B"/>
    <w:rsid w:val="00DD55D1"/>
    <w:rsid w:val="00DD69B0"/>
    <w:rsid w:val="00DD7CAC"/>
    <w:rsid w:val="00DE3A3E"/>
    <w:rsid w:val="00DE48D2"/>
    <w:rsid w:val="00DE497F"/>
    <w:rsid w:val="00DF43E5"/>
    <w:rsid w:val="00E057BD"/>
    <w:rsid w:val="00E05BCB"/>
    <w:rsid w:val="00E16686"/>
    <w:rsid w:val="00E27056"/>
    <w:rsid w:val="00E32293"/>
    <w:rsid w:val="00E32F39"/>
    <w:rsid w:val="00E43546"/>
    <w:rsid w:val="00E45F83"/>
    <w:rsid w:val="00E477C5"/>
    <w:rsid w:val="00E5558C"/>
    <w:rsid w:val="00E573B5"/>
    <w:rsid w:val="00E64325"/>
    <w:rsid w:val="00E66FCB"/>
    <w:rsid w:val="00E676ED"/>
    <w:rsid w:val="00E7554A"/>
    <w:rsid w:val="00E83EBA"/>
    <w:rsid w:val="00E86449"/>
    <w:rsid w:val="00E87890"/>
    <w:rsid w:val="00E90136"/>
    <w:rsid w:val="00E9683D"/>
    <w:rsid w:val="00E97353"/>
    <w:rsid w:val="00E97D6F"/>
    <w:rsid w:val="00EA468B"/>
    <w:rsid w:val="00EA54BA"/>
    <w:rsid w:val="00EB2FF5"/>
    <w:rsid w:val="00EB3FF1"/>
    <w:rsid w:val="00EB6104"/>
    <w:rsid w:val="00EB69BA"/>
    <w:rsid w:val="00EC13D2"/>
    <w:rsid w:val="00EC6553"/>
    <w:rsid w:val="00ED21C4"/>
    <w:rsid w:val="00ED63F6"/>
    <w:rsid w:val="00EE6BCE"/>
    <w:rsid w:val="00EE6F0F"/>
    <w:rsid w:val="00EF15F0"/>
    <w:rsid w:val="00EF189F"/>
    <w:rsid w:val="00EF529B"/>
    <w:rsid w:val="00EF729A"/>
    <w:rsid w:val="00F00784"/>
    <w:rsid w:val="00F0085A"/>
    <w:rsid w:val="00F12EE4"/>
    <w:rsid w:val="00F1568A"/>
    <w:rsid w:val="00F15723"/>
    <w:rsid w:val="00F1589C"/>
    <w:rsid w:val="00F20360"/>
    <w:rsid w:val="00F2595B"/>
    <w:rsid w:val="00F30778"/>
    <w:rsid w:val="00F323F0"/>
    <w:rsid w:val="00F325D4"/>
    <w:rsid w:val="00F34CEB"/>
    <w:rsid w:val="00F34E86"/>
    <w:rsid w:val="00F35611"/>
    <w:rsid w:val="00F36195"/>
    <w:rsid w:val="00F403D7"/>
    <w:rsid w:val="00F41051"/>
    <w:rsid w:val="00F43EFB"/>
    <w:rsid w:val="00F54838"/>
    <w:rsid w:val="00F55EFB"/>
    <w:rsid w:val="00F64821"/>
    <w:rsid w:val="00F65921"/>
    <w:rsid w:val="00F65D91"/>
    <w:rsid w:val="00F72BE9"/>
    <w:rsid w:val="00F73649"/>
    <w:rsid w:val="00F82BDE"/>
    <w:rsid w:val="00F84049"/>
    <w:rsid w:val="00F8456C"/>
    <w:rsid w:val="00F85367"/>
    <w:rsid w:val="00F86F54"/>
    <w:rsid w:val="00F956D9"/>
    <w:rsid w:val="00FA044D"/>
    <w:rsid w:val="00FA18AC"/>
    <w:rsid w:val="00FA1975"/>
    <w:rsid w:val="00FA2F84"/>
    <w:rsid w:val="00FA5C64"/>
    <w:rsid w:val="00FB620D"/>
    <w:rsid w:val="00FB639F"/>
    <w:rsid w:val="00FC3809"/>
    <w:rsid w:val="00FD15C6"/>
    <w:rsid w:val="00FD1A4E"/>
    <w:rsid w:val="00FD2128"/>
    <w:rsid w:val="00FD4D84"/>
    <w:rsid w:val="00FE1C7E"/>
    <w:rsid w:val="00FF2796"/>
    <w:rsid w:val="00FF6988"/>
    <w:rsid w:val="00FF6B3F"/>
    <w:rsid w:val="00FF782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B86C13"/>
  <w15:chartTrackingRefBased/>
  <w15:docId w15:val="{C848F272-8ECE-4024-A9C9-C447C7E3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paragraph" w:styleId="Heading1">
    <w:name w:val="heading 1"/>
    <w:basedOn w:val="Normal"/>
    <w:next w:val="Normal"/>
    <w:link w:val="Heading1Char"/>
    <w:uiPriority w:val="9"/>
    <w:qFormat/>
    <w:rsid w:val="005600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0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00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0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0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0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0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0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0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0B5"/>
    <w:rPr>
      <w:rFonts w:asciiTheme="majorHAnsi" w:eastAsiaTheme="majorEastAsia" w:hAnsiTheme="majorHAnsi" w:cstheme="majorBidi"/>
      <w:color w:val="0F4761" w:themeColor="accent1" w:themeShade="BF"/>
      <w:sz w:val="40"/>
      <w:szCs w:val="40"/>
      <w:lang w:val="es-PR"/>
    </w:rPr>
  </w:style>
  <w:style w:type="character" w:customStyle="1" w:styleId="Heading2Char">
    <w:name w:val="Heading 2 Char"/>
    <w:basedOn w:val="DefaultParagraphFont"/>
    <w:link w:val="Heading2"/>
    <w:uiPriority w:val="9"/>
    <w:semiHidden/>
    <w:rsid w:val="005600B5"/>
    <w:rPr>
      <w:rFonts w:asciiTheme="majorHAnsi" w:eastAsiaTheme="majorEastAsia" w:hAnsiTheme="majorHAnsi" w:cstheme="majorBidi"/>
      <w:color w:val="0F4761" w:themeColor="accent1" w:themeShade="BF"/>
      <w:sz w:val="32"/>
      <w:szCs w:val="32"/>
      <w:lang w:val="es-PR"/>
    </w:rPr>
  </w:style>
  <w:style w:type="character" w:customStyle="1" w:styleId="Heading3Char">
    <w:name w:val="Heading 3 Char"/>
    <w:basedOn w:val="DefaultParagraphFont"/>
    <w:link w:val="Heading3"/>
    <w:uiPriority w:val="9"/>
    <w:semiHidden/>
    <w:rsid w:val="005600B5"/>
    <w:rPr>
      <w:rFonts w:eastAsiaTheme="majorEastAsia" w:cstheme="majorBidi"/>
      <w:color w:val="0F4761" w:themeColor="accent1" w:themeShade="BF"/>
      <w:sz w:val="28"/>
      <w:szCs w:val="28"/>
      <w:lang w:val="es-PR"/>
    </w:rPr>
  </w:style>
  <w:style w:type="character" w:customStyle="1" w:styleId="Heading4Char">
    <w:name w:val="Heading 4 Char"/>
    <w:basedOn w:val="DefaultParagraphFont"/>
    <w:link w:val="Heading4"/>
    <w:uiPriority w:val="9"/>
    <w:semiHidden/>
    <w:rsid w:val="005600B5"/>
    <w:rPr>
      <w:rFonts w:eastAsiaTheme="majorEastAsia" w:cstheme="majorBidi"/>
      <w:i/>
      <w:iCs/>
      <w:color w:val="0F4761" w:themeColor="accent1" w:themeShade="BF"/>
      <w:lang w:val="es-PR"/>
    </w:rPr>
  </w:style>
  <w:style w:type="character" w:customStyle="1" w:styleId="Heading5Char">
    <w:name w:val="Heading 5 Char"/>
    <w:basedOn w:val="DefaultParagraphFont"/>
    <w:link w:val="Heading5"/>
    <w:uiPriority w:val="9"/>
    <w:semiHidden/>
    <w:rsid w:val="005600B5"/>
    <w:rPr>
      <w:rFonts w:eastAsiaTheme="majorEastAsia" w:cstheme="majorBidi"/>
      <w:color w:val="0F4761" w:themeColor="accent1" w:themeShade="BF"/>
      <w:lang w:val="es-PR"/>
    </w:rPr>
  </w:style>
  <w:style w:type="character" w:customStyle="1" w:styleId="Heading6Char">
    <w:name w:val="Heading 6 Char"/>
    <w:basedOn w:val="DefaultParagraphFont"/>
    <w:link w:val="Heading6"/>
    <w:uiPriority w:val="9"/>
    <w:semiHidden/>
    <w:rsid w:val="005600B5"/>
    <w:rPr>
      <w:rFonts w:eastAsiaTheme="majorEastAsia" w:cstheme="majorBidi"/>
      <w:i/>
      <w:iCs/>
      <w:color w:val="595959" w:themeColor="text1" w:themeTint="A6"/>
      <w:lang w:val="es-PR"/>
    </w:rPr>
  </w:style>
  <w:style w:type="character" w:customStyle="1" w:styleId="Heading7Char">
    <w:name w:val="Heading 7 Char"/>
    <w:basedOn w:val="DefaultParagraphFont"/>
    <w:link w:val="Heading7"/>
    <w:uiPriority w:val="9"/>
    <w:semiHidden/>
    <w:rsid w:val="005600B5"/>
    <w:rPr>
      <w:rFonts w:eastAsiaTheme="majorEastAsia" w:cstheme="majorBidi"/>
      <w:color w:val="595959" w:themeColor="text1" w:themeTint="A6"/>
      <w:lang w:val="es-PR"/>
    </w:rPr>
  </w:style>
  <w:style w:type="character" w:customStyle="1" w:styleId="Heading8Char">
    <w:name w:val="Heading 8 Char"/>
    <w:basedOn w:val="DefaultParagraphFont"/>
    <w:link w:val="Heading8"/>
    <w:uiPriority w:val="9"/>
    <w:semiHidden/>
    <w:rsid w:val="005600B5"/>
    <w:rPr>
      <w:rFonts w:eastAsiaTheme="majorEastAsia" w:cstheme="majorBidi"/>
      <w:i/>
      <w:iCs/>
      <w:color w:val="272727" w:themeColor="text1" w:themeTint="D8"/>
      <w:lang w:val="es-PR"/>
    </w:rPr>
  </w:style>
  <w:style w:type="character" w:customStyle="1" w:styleId="Heading9Char">
    <w:name w:val="Heading 9 Char"/>
    <w:basedOn w:val="DefaultParagraphFont"/>
    <w:link w:val="Heading9"/>
    <w:uiPriority w:val="9"/>
    <w:semiHidden/>
    <w:rsid w:val="005600B5"/>
    <w:rPr>
      <w:rFonts w:eastAsiaTheme="majorEastAsia" w:cstheme="majorBidi"/>
      <w:color w:val="272727" w:themeColor="text1" w:themeTint="D8"/>
      <w:lang w:val="es-PR"/>
    </w:rPr>
  </w:style>
  <w:style w:type="paragraph" w:styleId="Title">
    <w:name w:val="Title"/>
    <w:basedOn w:val="Normal"/>
    <w:next w:val="Normal"/>
    <w:link w:val="TitleChar"/>
    <w:uiPriority w:val="10"/>
    <w:qFormat/>
    <w:rsid w:val="005600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0B5"/>
    <w:rPr>
      <w:rFonts w:asciiTheme="majorHAnsi" w:eastAsiaTheme="majorEastAsia" w:hAnsiTheme="majorHAnsi" w:cstheme="majorBidi"/>
      <w:spacing w:val="-10"/>
      <w:kern w:val="28"/>
      <w:sz w:val="56"/>
      <w:szCs w:val="56"/>
      <w:lang w:val="es-PR"/>
    </w:rPr>
  </w:style>
  <w:style w:type="paragraph" w:styleId="Subtitle">
    <w:name w:val="Subtitle"/>
    <w:basedOn w:val="Normal"/>
    <w:next w:val="Normal"/>
    <w:link w:val="SubtitleChar"/>
    <w:uiPriority w:val="11"/>
    <w:qFormat/>
    <w:rsid w:val="005600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0B5"/>
    <w:rPr>
      <w:rFonts w:eastAsiaTheme="majorEastAsia" w:cstheme="majorBidi"/>
      <w:color w:val="595959" w:themeColor="text1" w:themeTint="A6"/>
      <w:spacing w:val="15"/>
      <w:sz w:val="28"/>
      <w:szCs w:val="28"/>
      <w:lang w:val="es-PR"/>
    </w:rPr>
  </w:style>
  <w:style w:type="paragraph" w:styleId="Quote">
    <w:name w:val="Quote"/>
    <w:basedOn w:val="Normal"/>
    <w:next w:val="Normal"/>
    <w:link w:val="QuoteChar"/>
    <w:uiPriority w:val="29"/>
    <w:qFormat/>
    <w:rsid w:val="005600B5"/>
    <w:pPr>
      <w:spacing w:before="160"/>
      <w:jc w:val="center"/>
    </w:pPr>
    <w:rPr>
      <w:i/>
      <w:iCs/>
      <w:color w:val="404040" w:themeColor="text1" w:themeTint="BF"/>
    </w:rPr>
  </w:style>
  <w:style w:type="character" w:customStyle="1" w:styleId="QuoteChar">
    <w:name w:val="Quote Char"/>
    <w:basedOn w:val="DefaultParagraphFont"/>
    <w:link w:val="Quote"/>
    <w:uiPriority w:val="29"/>
    <w:rsid w:val="005600B5"/>
    <w:rPr>
      <w:i/>
      <w:iCs/>
      <w:color w:val="404040" w:themeColor="text1" w:themeTint="BF"/>
      <w:lang w:val="es-PR"/>
    </w:rPr>
  </w:style>
  <w:style w:type="paragraph" w:styleId="ListParagraph">
    <w:name w:val="List Paragraph"/>
    <w:basedOn w:val="Normal"/>
    <w:uiPriority w:val="34"/>
    <w:qFormat/>
    <w:rsid w:val="005600B5"/>
    <w:pPr>
      <w:ind w:left="720"/>
      <w:contextualSpacing/>
    </w:pPr>
  </w:style>
  <w:style w:type="character" w:styleId="IntenseEmphasis">
    <w:name w:val="Intense Emphasis"/>
    <w:basedOn w:val="DefaultParagraphFont"/>
    <w:uiPriority w:val="21"/>
    <w:qFormat/>
    <w:rsid w:val="005600B5"/>
    <w:rPr>
      <w:i/>
      <w:iCs/>
      <w:color w:val="0F4761" w:themeColor="accent1" w:themeShade="BF"/>
    </w:rPr>
  </w:style>
  <w:style w:type="paragraph" w:styleId="IntenseQuote">
    <w:name w:val="Intense Quote"/>
    <w:basedOn w:val="Normal"/>
    <w:next w:val="Normal"/>
    <w:link w:val="IntenseQuoteChar"/>
    <w:uiPriority w:val="30"/>
    <w:qFormat/>
    <w:rsid w:val="00560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0B5"/>
    <w:rPr>
      <w:i/>
      <w:iCs/>
      <w:color w:val="0F4761" w:themeColor="accent1" w:themeShade="BF"/>
      <w:lang w:val="es-PR"/>
    </w:rPr>
  </w:style>
  <w:style w:type="character" w:styleId="IntenseReference">
    <w:name w:val="Intense Reference"/>
    <w:basedOn w:val="DefaultParagraphFont"/>
    <w:uiPriority w:val="32"/>
    <w:qFormat/>
    <w:rsid w:val="005600B5"/>
    <w:rPr>
      <w:b/>
      <w:bCs/>
      <w:smallCaps/>
      <w:color w:val="0F4761" w:themeColor="accent1" w:themeShade="BF"/>
      <w:spacing w:val="5"/>
    </w:rPr>
  </w:style>
  <w:style w:type="paragraph" w:styleId="NormalWeb">
    <w:name w:val="Normal (Web)"/>
    <w:basedOn w:val="Normal"/>
    <w:uiPriority w:val="99"/>
    <w:unhideWhenUsed/>
    <w:rsid w:val="005600B5"/>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5600B5"/>
    <w:rPr>
      <w:b/>
      <w:bCs/>
    </w:rPr>
  </w:style>
  <w:style w:type="character" w:styleId="Emphasis">
    <w:name w:val="Emphasis"/>
    <w:basedOn w:val="DefaultParagraphFont"/>
    <w:uiPriority w:val="20"/>
    <w:qFormat/>
    <w:rsid w:val="001D76BB"/>
    <w:rPr>
      <w:i/>
      <w:iCs/>
    </w:rPr>
  </w:style>
  <w:style w:type="paragraph" w:styleId="FootnoteText">
    <w:name w:val="footnote text"/>
    <w:basedOn w:val="Normal"/>
    <w:link w:val="FootnoteTextChar"/>
    <w:uiPriority w:val="99"/>
    <w:semiHidden/>
    <w:unhideWhenUsed/>
    <w:rsid w:val="00A21EB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21EB9"/>
    <w:rPr>
      <w:sz w:val="20"/>
      <w:szCs w:val="20"/>
      <w:lang w:val="es-PR"/>
    </w:rPr>
  </w:style>
  <w:style w:type="character" w:styleId="FootnoteReference">
    <w:name w:val="footnote reference"/>
    <w:basedOn w:val="DefaultParagraphFont"/>
    <w:uiPriority w:val="99"/>
    <w:semiHidden/>
    <w:unhideWhenUsed/>
    <w:rsid w:val="00A21EB9"/>
    <w:rPr>
      <w:vertAlign w:val="superscript"/>
    </w:rPr>
  </w:style>
  <w:style w:type="paragraph" w:styleId="Header">
    <w:name w:val="header"/>
    <w:basedOn w:val="Normal"/>
    <w:link w:val="HeaderChar"/>
    <w:uiPriority w:val="99"/>
    <w:unhideWhenUsed/>
    <w:rsid w:val="006603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0387"/>
    <w:rPr>
      <w:lang w:val="es-PR"/>
    </w:rPr>
  </w:style>
  <w:style w:type="paragraph" w:styleId="Footer">
    <w:name w:val="footer"/>
    <w:basedOn w:val="Normal"/>
    <w:link w:val="FooterChar"/>
    <w:uiPriority w:val="99"/>
    <w:unhideWhenUsed/>
    <w:rsid w:val="006603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0387"/>
    <w:rPr>
      <w:lang w:val="es-PR"/>
    </w:rPr>
  </w:style>
  <w:style w:type="character" w:styleId="Hyperlink">
    <w:name w:val="Hyperlink"/>
    <w:basedOn w:val="DefaultParagraphFont"/>
    <w:uiPriority w:val="99"/>
    <w:unhideWhenUsed/>
    <w:rsid w:val="00521CF4"/>
    <w:rPr>
      <w:color w:val="467886" w:themeColor="hyperlink"/>
      <w:u w:val="single"/>
    </w:rPr>
  </w:style>
  <w:style w:type="character" w:styleId="UnresolvedMention">
    <w:name w:val="Unresolved Mention"/>
    <w:basedOn w:val="DefaultParagraphFont"/>
    <w:uiPriority w:val="99"/>
    <w:semiHidden/>
    <w:unhideWhenUsed/>
    <w:rsid w:val="00521CF4"/>
    <w:rPr>
      <w:color w:val="605E5C"/>
      <w:shd w:val="clear" w:color="auto" w:fill="E1DFDD"/>
    </w:rPr>
  </w:style>
  <w:style w:type="paragraph" w:customStyle="1" w:styleId="Normal1">
    <w:name w:val="Normal_1"/>
    <w:qFormat/>
    <w:rsid w:val="00C96E42"/>
    <w:pPr>
      <w:spacing w:after="0" w:line="240" w:lineRule="auto"/>
    </w:pPr>
    <w:rPr>
      <w:rFonts w:ascii="Times New Roman" w:eastAsia="Times New Roman" w:hAnsi="Times New Roman" w:cs="Times New Roman"/>
      <w:kern w:val="0"/>
      <w14:ligatures w14:val="none"/>
    </w:rPr>
  </w:style>
  <w:style w:type="paragraph" w:customStyle="1" w:styleId="Body">
    <w:name w:val="Body"/>
    <w:rsid w:val="000B793B"/>
    <w:pPr>
      <w:pBdr>
        <w:top w:val="nil"/>
        <w:left w:val="nil"/>
        <w:bottom w:val="nil"/>
        <w:right w:val="nil"/>
        <w:between w:val="nil"/>
        <w:bar w:val="nil"/>
      </w:pBdr>
      <w:spacing w:line="259" w:lineRule="auto"/>
    </w:pPr>
    <w:rPr>
      <w:rFonts w:ascii="Calibri" w:eastAsia="Calibri" w:hAnsi="Calibri" w:cs="Calibri"/>
      <w:color w:val="000000"/>
      <w:kern w:val="0"/>
      <w:sz w:val="22"/>
      <w:szCs w:val="22"/>
      <w:u w:color="000000"/>
      <w:bdr w:val="nil"/>
      <w:lang w:val="es-ES_tradnl" w:eastAsia="es-PR"/>
      <w14:ligatures w14:val="none"/>
    </w:rPr>
  </w:style>
  <w:style w:type="paragraph" w:styleId="EndnoteText">
    <w:name w:val="endnote text"/>
    <w:basedOn w:val="Normal"/>
    <w:link w:val="EndnoteTextChar"/>
    <w:uiPriority w:val="99"/>
    <w:semiHidden/>
    <w:unhideWhenUsed/>
    <w:rsid w:val="0064047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4047B"/>
    <w:rPr>
      <w:sz w:val="20"/>
      <w:szCs w:val="20"/>
      <w:lang w:val="es-PR"/>
    </w:rPr>
  </w:style>
  <w:style w:type="character" w:styleId="EndnoteReference">
    <w:name w:val="endnote reference"/>
    <w:basedOn w:val="DefaultParagraphFont"/>
    <w:uiPriority w:val="99"/>
    <w:semiHidden/>
    <w:unhideWhenUsed/>
    <w:rsid w:val="0064047B"/>
    <w:rPr>
      <w:vertAlign w:val="superscript"/>
    </w:rPr>
  </w:style>
  <w:style w:type="paragraph" w:styleId="BodyText">
    <w:name w:val="Body Text"/>
    <w:basedOn w:val="Normal"/>
    <w:link w:val="BodyTextChar"/>
    <w:uiPriority w:val="1"/>
    <w:qFormat/>
    <w:rsid w:val="00D8123C"/>
    <w:pPr>
      <w:widowControl w:val="0"/>
      <w:autoSpaceDE w:val="0"/>
      <w:autoSpaceDN w:val="0"/>
      <w:spacing w:after="0" w:line="240" w:lineRule="auto"/>
    </w:pPr>
    <w:rPr>
      <w:rFonts w:ascii="Bookman Old Style" w:eastAsia="Bookman Old Style" w:hAnsi="Bookman Old Style" w:cs="Bookman Old Style"/>
      <w:kern w:val="0"/>
      <w:lang w:val="es-ES"/>
      <w14:ligatures w14:val="none"/>
    </w:rPr>
  </w:style>
  <w:style w:type="character" w:customStyle="1" w:styleId="BodyTextChar">
    <w:name w:val="Body Text Char"/>
    <w:basedOn w:val="DefaultParagraphFont"/>
    <w:link w:val="BodyText"/>
    <w:uiPriority w:val="1"/>
    <w:rsid w:val="00D8123C"/>
    <w:rPr>
      <w:rFonts w:ascii="Bookman Old Style" w:eastAsia="Bookman Old Style" w:hAnsi="Bookman Old Style" w:cs="Bookman Old Style"/>
      <w:kern w:val="0"/>
      <w:lang w:val="es-ES"/>
      <w14:ligatures w14:val="none"/>
    </w:rPr>
  </w:style>
  <w:style w:type="paragraph" w:customStyle="1" w:styleId="Default">
    <w:name w:val="Default"/>
    <w:rsid w:val="009B5094"/>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711197">
      <w:bodyDiv w:val="1"/>
      <w:marLeft w:val="0"/>
      <w:marRight w:val="0"/>
      <w:marTop w:val="0"/>
      <w:marBottom w:val="0"/>
      <w:divBdr>
        <w:top w:val="none" w:sz="0" w:space="0" w:color="auto"/>
        <w:left w:val="none" w:sz="0" w:space="0" w:color="auto"/>
        <w:bottom w:val="none" w:sz="0" w:space="0" w:color="auto"/>
        <w:right w:val="none" w:sz="0" w:space="0" w:color="auto"/>
      </w:divBdr>
    </w:div>
    <w:div w:id="434642544">
      <w:bodyDiv w:val="1"/>
      <w:marLeft w:val="0"/>
      <w:marRight w:val="0"/>
      <w:marTop w:val="0"/>
      <w:marBottom w:val="0"/>
      <w:divBdr>
        <w:top w:val="none" w:sz="0" w:space="0" w:color="auto"/>
        <w:left w:val="none" w:sz="0" w:space="0" w:color="auto"/>
        <w:bottom w:val="none" w:sz="0" w:space="0" w:color="auto"/>
        <w:right w:val="none" w:sz="0" w:space="0" w:color="auto"/>
      </w:divBdr>
    </w:div>
    <w:div w:id="545412409">
      <w:bodyDiv w:val="1"/>
      <w:marLeft w:val="0"/>
      <w:marRight w:val="0"/>
      <w:marTop w:val="0"/>
      <w:marBottom w:val="0"/>
      <w:divBdr>
        <w:top w:val="none" w:sz="0" w:space="0" w:color="auto"/>
        <w:left w:val="none" w:sz="0" w:space="0" w:color="auto"/>
        <w:bottom w:val="none" w:sz="0" w:space="0" w:color="auto"/>
        <w:right w:val="none" w:sz="0" w:space="0" w:color="auto"/>
      </w:divBdr>
    </w:div>
    <w:div w:id="856311386">
      <w:bodyDiv w:val="1"/>
      <w:marLeft w:val="0"/>
      <w:marRight w:val="0"/>
      <w:marTop w:val="0"/>
      <w:marBottom w:val="0"/>
      <w:divBdr>
        <w:top w:val="none" w:sz="0" w:space="0" w:color="auto"/>
        <w:left w:val="none" w:sz="0" w:space="0" w:color="auto"/>
        <w:bottom w:val="none" w:sz="0" w:space="0" w:color="auto"/>
        <w:right w:val="none" w:sz="0" w:space="0" w:color="auto"/>
      </w:divBdr>
    </w:div>
    <w:div w:id="1107121763">
      <w:bodyDiv w:val="1"/>
      <w:marLeft w:val="0"/>
      <w:marRight w:val="0"/>
      <w:marTop w:val="0"/>
      <w:marBottom w:val="0"/>
      <w:divBdr>
        <w:top w:val="none" w:sz="0" w:space="0" w:color="auto"/>
        <w:left w:val="none" w:sz="0" w:space="0" w:color="auto"/>
        <w:bottom w:val="none" w:sz="0" w:space="0" w:color="auto"/>
        <w:right w:val="none" w:sz="0" w:space="0" w:color="auto"/>
      </w:divBdr>
    </w:div>
    <w:div w:id="1202598835">
      <w:bodyDiv w:val="1"/>
      <w:marLeft w:val="0"/>
      <w:marRight w:val="0"/>
      <w:marTop w:val="0"/>
      <w:marBottom w:val="0"/>
      <w:divBdr>
        <w:top w:val="none" w:sz="0" w:space="0" w:color="auto"/>
        <w:left w:val="none" w:sz="0" w:space="0" w:color="auto"/>
        <w:bottom w:val="none" w:sz="0" w:space="0" w:color="auto"/>
        <w:right w:val="none" w:sz="0" w:space="0" w:color="auto"/>
      </w:divBdr>
      <w:divsChild>
        <w:div w:id="72435295">
          <w:marLeft w:val="0"/>
          <w:marRight w:val="0"/>
          <w:marTop w:val="0"/>
          <w:marBottom w:val="0"/>
          <w:divBdr>
            <w:top w:val="none" w:sz="0" w:space="0" w:color="auto"/>
            <w:left w:val="none" w:sz="0" w:space="0" w:color="auto"/>
            <w:bottom w:val="none" w:sz="0" w:space="0" w:color="auto"/>
            <w:right w:val="none" w:sz="0" w:space="0" w:color="auto"/>
          </w:divBdr>
        </w:div>
      </w:divsChild>
    </w:div>
    <w:div w:id="1288926191">
      <w:bodyDiv w:val="1"/>
      <w:marLeft w:val="0"/>
      <w:marRight w:val="0"/>
      <w:marTop w:val="0"/>
      <w:marBottom w:val="0"/>
      <w:divBdr>
        <w:top w:val="none" w:sz="0" w:space="0" w:color="auto"/>
        <w:left w:val="none" w:sz="0" w:space="0" w:color="auto"/>
        <w:bottom w:val="none" w:sz="0" w:space="0" w:color="auto"/>
        <w:right w:val="none" w:sz="0" w:space="0" w:color="auto"/>
      </w:divBdr>
      <w:divsChild>
        <w:div w:id="1021051519">
          <w:marLeft w:val="0"/>
          <w:marRight w:val="0"/>
          <w:marTop w:val="0"/>
          <w:marBottom w:val="0"/>
          <w:divBdr>
            <w:top w:val="none" w:sz="0" w:space="0" w:color="auto"/>
            <w:left w:val="none" w:sz="0" w:space="0" w:color="auto"/>
            <w:bottom w:val="none" w:sz="0" w:space="0" w:color="auto"/>
            <w:right w:val="none" w:sz="0" w:space="0" w:color="auto"/>
          </w:divBdr>
        </w:div>
      </w:divsChild>
    </w:div>
    <w:div w:id="1296837861">
      <w:bodyDiv w:val="1"/>
      <w:marLeft w:val="0"/>
      <w:marRight w:val="0"/>
      <w:marTop w:val="0"/>
      <w:marBottom w:val="0"/>
      <w:divBdr>
        <w:top w:val="none" w:sz="0" w:space="0" w:color="auto"/>
        <w:left w:val="none" w:sz="0" w:space="0" w:color="auto"/>
        <w:bottom w:val="none" w:sz="0" w:space="0" w:color="auto"/>
        <w:right w:val="none" w:sz="0" w:space="0" w:color="auto"/>
      </w:divBdr>
    </w:div>
    <w:div w:id="1620718845">
      <w:bodyDiv w:val="1"/>
      <w:marLeft w:val="0"/>
      <w:marRight w:val="0"/>
      <w:marTop w:val="0"/>
      <w:marBottom w:val="0"/>
      <w:divBdr>
        <w:top w:val="none" w:sz="0" w:space="0" w:color="auto"/>
        <w:left w:val="none" w:sz="0" w:space="0" w:color="auto"/>
        <w:bottom w:val="none" w:sz="0" w:space="0" w:color="auto"/>
        <w:right w:val="none" w:sz="0" w:space="0" w:color="auto"/>
      </w:divBdr>
    </w:div>
    <w:div w:id="1668095130">
      <w:bodyDiv w:val="1"/>
      <w:marLeft w:val="0"/>
      <w:marRight w:val="0"/>
      <w:marTop w:val="0"/>
      <w:marBottom w:val="0"/>
      <w:divBdr>
        <w:top w:val="none" w:sz="0" w:space="0" w:color="auto"/>
        <w:left w:val="none" w:sz="0" w:space="0" w:color="auto"/>
        <w:bottom w:val="none" w:sz="0" w:space="0" w:color="auto"/>
        <w:right w:val="none" w:sz="0" w:space="0" w:color="auto"/>
      </w:divBdr>
    </w:div>
    <w:div w:id="1893887845">
      <w:bodyDiv w:val="1"/>
      <w:marLeft w:val="0"/>
      <w:marRight w:val="0"/>
      <w:marTop w:val="0"/>
      <w:marBottom w:val="0"/>
      <w:divBdr>
        <w:top w:val="none" w:sz="0" w:space="0" w:color="auto"/>
        <w:left w:val="none" w:sz="0" w:space="0" w:color="auto"/>
        <w:bottom w:val="none" w:sz="0" w:space="0" w:color="auto"/>
        <w:right w:val="none" w:sz="0" w:space="0" w:color="auto"/>
      </w:divBdr>
    </w:div>
    <w:div w:id="201341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97BE9-8AF9-4AA2-85B0-04D20D2FC7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A9C0DA-6C4C-4FFD-98EB-EC2CE534D2A0}">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FC33CB97-A7F1-48F0-A648-7AB102B21CA6}">
  <ds:schemaRefs>
    <ds:schemaRef ds:uri="http://schemas.microsoft.com/sharepoint/v3/contenttype/forms"/>
  </ds:schemaRefs>
</ds:datastoreItem>
</file>

<file path=customXml/itemProps4.xml><?xml version="1.0" encoding="utf-8"?>
<ds:datastoreItem xmlns:ds="http://schemas.openxmlformats.org/officeDocument/2006/customXml" ds:itemID="{D42560DF-0C18-4221-A883-15B860F19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1105</Words>
  <Characters>6301</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L. Flores Cruz (Com. Innovación)</dc:creator>
  <cp:keywords/>
  <dc:description/>
  <cp:lastModifiedBy>Camyl Moreno Pantojas</cp:lastModifiedBy>
  <cp:revision>2</cp:revision>
  <cp:lastPrinted>2025-06-02T20:50:00Z</cp:lastPrinted>
  <dcterms:created xsi:type="dcterms:W3CDTF">2026-06-05T15:33:00Z</dcterms:created>
  <dcterms:modified xsi:type="dcterms:W3CDTF">2026-06-05T15:33:00Z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f9d7f02d-c890-4eef-a656-ff8449be6a92</vt:lpwstr>
  </property>
  <property fmtid="{D5CDD505-2E9C-101B-9397-08002B2CF9AE}" pid="3" name="_dlc_DocIdItemGuid">
    <vt:lpwstr>6319fc7a-f0fa-40b0-a5d1-e4d79c926ed2</vt:lpwstr>
  </property>
  <property fmtid="{D5CDD505-2E9C-101B-9397-08002B2CF9AE}" pid="4" name="MediaServiceImageTags">
    <vt:lpwstr/>
  </property>
  <property fmtid="{D5CDD505-2E9C-101B-9397-08002B2CF9AE}" pid="5" name="ContentTypeId">
    <vt:lpwstr>0x010100831C0761637D684EABBCE64BDDA1E45F</vt:lpwstr>
  </property>
</Properties>
</file>