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36785" w14:textId="36123525" w:rsidR="00EB6C1B" w:rsidRPr="002B6F64" w:rsidRDefault="00EB6C1B" w:rsidP="00991B1A">
      <w:pPr>
        <w:jc w:val="center"/>
        <w:rPr>
          <w:rFonts w:ascii="Book Antiqua" w:hAnsi="Book Antiqua"/>
          <w:b/>
          <w:bCs/>
          <w:sz w:val="36"/>
          <w:u w:val="single"/>
          <w:lang w:val="es-ES_tradnl"/>
        </w:rPr>
      </w:pPr>
      <w:r w:rsidRPr="002B6F64">
        <w:rPr>
          <w:rFonts w:ascii="Book Antiqua" w:hAnsi="Book Antiqua"/>
          <w:b/>
          <w:bCs/>
          <w:sz w:val="36"/>
          <w:u w:val="single"/>
          <w:lang w:val="es-ES_tradnl"/>
        </w:rPr>
        <w:t>ENTIRILLADO ELECTRÓNICO</w:t>
      </w:r>
    </w:p>
    <w:p w14:paraId="699E9370" w14:textId="66C32445" w:rsidR="008C4672" w:rsidRPr="002B6F64" w:rsidRDefault="00991B1A" w:rsidP="00991B1A">
      <w:pPr>
        <w:jc w:val="center"/>
        <w:rPr>
          <w:rFonts w:ascii="Book Antiqua" w:hAnsi="Book Antiqua"/>
          <w:sz w:val="36"/>
          <w:lang w:val="es-ES_tradnl"/>
        </w:rPr>
      </w:pPr>
      <w:r w:rsidRPr="002B6F64">
        <w:rPr>
          <w:rFonts w:ascii="Book Antiqua" w:hAnsi="Book Antiqua"/>
          <w:sz w:val="36"/>
          <w:lang w:val="es-ES_tradnl"/>
        </w:rPr>
        <w:t>GOBIERNO DE PUERTO RICO</w:t>
      </w:r>
    </w:p>
    <w:p w14:paraId="038B14C5" w14:textId="77777777" w:rsidR="00CB2AE8" w:rsidRPr="002B6F64" w:rsidRDefault="00CB2AE8" w:rsidP="00CB2AE8">
      <w:pPr>
        <w:jc w:val="center"/>
        <w:rPr>
          <w:rFonts w:ascii="Book Antiqua" w:hAnsi="Book Antiqua"/>
          <w:sz w:val="36"/>
          <w:lang w:val="es-ES_tradnl"/>
        </w:rPr>
      </w:pPr>
    </w:p>
    <w:p w14:paraId="09A87E52" w14:textId="77777777" w:rsidR="00CB2AE8" w:rsidRPr="002B6F64" w:rsidRDefault="00CB2AE8" w:rsidP="00CB2AE8">
      <w:pPr>
        <w:pStyle w:val="Title2"/>
        <w:rPr>
          <w:rFonts w:ascii="Book Antiqua" w:hAnsi="Book Antiqua"/>
          <w:lang w:val="es-ES_tradnl"/>
        </w:rPr>
      </w:pPr>
      <w:r w:rsidRPr="002B6F64">
        <w:rPr>
          <w:rFonts w:ascii="Book Antiqua" w:hAnsi="Book Antiqua"/>
          <w:lang w:val="es-ES_tradnl"/>
        </w:rPr>
        <w:t>20</w:t>
      </w:r>
      <w:r w:rsidRPr="002B6F64">
        <w:rPr>
          <w:rFonts w:ascii="Book Antiqua" w:hAnsi="Book Antiqua"/>
          <w:vertAlign w:val="superscript"/>
          <w:lang w:val="es-ES_tradnl"/>
        </w:rPr>
        <w:t>ma</w:t>
      </w:r>
      <w:r w:rsidR="00315693" w:rsidRPr="002B6F64">
        <w:rPr>
          <w:rFonts w:ascii="Book Antiqua" w:hAnsi="Book Antiqua"/>
          <w:vertAlign w:val="superscript"/>
          <w:lang w:val="es-ES_tradnl"/>
        </w:rPr>
        <w:t>.</w:t>
      </w:r>
      <w:r w:rsidRPr="002B6F64">
        <w:rPr>
          <w:rFonts w:ascii="Book Antiqua" w:hAnsi="Book Antiqua"/>
          <w:lang w:val="es-ES_tradnl"/>
        </w:rPr>
        <w:tab/>
        <w:t>Asamblea</w:t>
      </w:r>
      <w:r w:rsidRPr="002B6F64">
        <w:rPr>
          <w:rFonts w:ascii="Book Antiqua" w:hAnsi="Book Antiqua"/>
          <w:lang w:val="es-ES_tradnl"/>
        </w:rPr>
        <w:tab/>
        <w:t>2</w:t>
      </w:r>
      <w:r w:rsidRPr="002B6F64">
        <w:rPr>
          <w:rFonts w:ascii="Book Antiqua" w:hAnsi="Book Antiqua"/>
          <w:vertAlign w:val="superscript"/>
          <w:lang w:val="es-ES_tradnl"/>
        </w:rPr>
        <w:t>da</w:t>
      </w:r>
      <w:r w:rsidR="00315693" w:rsidRPr="002B6F64">
        <w:rPr>
          <w:rFonts w:ascii="Book Antiqua" w:hAnsi="Book Antiqua"/>
          <w:vertAlign w:val="superscript"/>
          <w:lang w:val="es-ES_tradnl"/>
        </w:rPr>
        <w:t>.</w:t>
      </w:r>
      <w:r w:rsidRPr="002B6F64">
        <w:rPr>
          <w:rFonts w:ascii="Book Antiqua" w:hAnsi="Book Antiqua"/>
          <w:lang w:val="es-ES_tradnl"/>
        </w:rPr>
        <w:t xml:space="preserve"> </w:t>
      </w:r>
      <w:r w:rsidRPr="002B6F64">
        <w:rPr>
          <w:rFonts w:ascii="Book Antiqua" w:hAnsi="Book Antiqua"/>
          <w:lang w:val="es-ES_tradnl"/>
        </w:rPr>
        <w:tab/>
        <w:t>Sesión</w:t>
      </w:r>
    </w:p>
    <w:p w14:paraId="2002BE79" w14:textId="77777777" w:rsidR="00CB2AE8" w:rsidRPr="002B6F64" w:rsidRDefault="00CB2AE8" w:rsidP="00CB2AE8">
      <w:pPr>
        <w:pStyle w:val="Title2"/>
        <w:rPr>
          <w:rFonts w:ascii="Book Antiqua" w:hAnsi="Book Antiqua"/>
          <w:lang w:val="es-ES_tradnl"/>
        </w:rPr>
      </w:pPr>
      <w:r w:rsidRPr="002B6F64">
        <w:rPr>
          <w:rFonts w:ascii="Book Antiqua" w:hAnsi="Book Antiqua"/>
          <w:lang w:val="es-ES_tradnl"/>
        </w:rPr>
        <w:tab/>
        <w:t>Legislativa</w:t>
      </w:r>
      <w:r w:rsidRPr="002B6F64">
        <w:rPr>
          <w:rFonts w:ascii="Book Antiqua" w:hAnsi="Book Antiqua"/>
          <w:lang w:val="es-ES_tradnl"/>
        </w:rPr>
        <w:tab/>
      </w:r>
      <w:r w:rsidRPr="002B6F64">
        <w:rPr>
          <w:rFonts w:ascii="Book Antiqua" w:hAnsi="Book Antiqua"/>
          <w:lang w:val="es-ES_tradnl"/>
        </w:rPr>
        <w:tab/>
        <w:t>Ordinaria</w:t>
      </w:r>
    </w:p>
    <w:p w14:paraId="2451E1A7" w14:textId="77777777" w:rsidR="00CB2AE8" w:rsidRPr="002B6F64" w:rsidRDefault="00CB2AE8" w:rsidP="00CB2AE8">
      <w:pPr>
        <w:rPr>
          <w:lang w:val="es-ES_tradnl"/>
        </w:rPr>
      </w:pPr>
    </w:p>
    <w:p w14:paraId="744A9842" w14:textId="77777777" w:rsidR="00CB2AE8" w:rsidRPr="002B6F64" w:rsidRDefault="00CB2AE8" w:rsidP="00CB2AE8">
      <w:pPr>
        <w:jc w:val="center"/>
        <w:rPr>
          <w:rFonts w:ascii="Book Antiqua" w:hAnsi="Book Antiqua"/>
          <w:b/>
          <w:sz w:val="36"/>
          <w:lang w:val="es-ES_tradnl"/>
        </w:rPr>
      </w:pPr>
      <w:r w:rsidRPr="002B6F64">
        <w:rPr>
          <w:rFonts w:ascii="Book Antiqua" w:hAnsi="Book Antiqua"/>
          <w:b/>
          <w:sz w:val="36"/>
          <w:lang w:val="es-ES_tradnl"/>
        </w:rPr>
        <w:t>SENADO DE PUERTO RICO</w:t>
      </w:r>
    </w:p>
    <w:p w14:paraId="6CC01EF3" w14:textId="77777777" w:rsidR="00EB26F7" w:rsidRPr="002B6F64" w:rsidRDefault="00EB26F7" w:rsidP="00EB26F7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2B6F64">
        <w:rPr>
          <w:rFonts w:ascii="Book Antiqua" w:hAnsi="Book Antiqua"/>
          <w:b/>
          <w:sz w:val="52"/>
          <w:lang w:val="es-ES_tradnl"/>
        </w:rPr>
        <w:t xml:space="preserve">R. C. del S. </w:t>
      </w:r>
      <w:r w:rsidR="00F35104" w:rsidRPr="002B6F64">
        <w:rPr>
          <w:rFonts w:ascii="Book Antiqua" w:hAnsi="Book Antiqua"/>
          <w:b/>
          <w:sz w:val="52"/>
          <w:lang w:val="es-ES_tradnl"/>
        </w:rPr>
        <w:t>83</w:t>
      </w:r>
    </w:p>
    <w:p w14:paraId="21703D9A" w14:textId="77777777" w:rsidR="00EB26F7" w:rsidRPr="002B6F64" w:rsidRDefault="00EB26F7" w:rsidP="00EB26F7">
      <w:pPr>
        <w:spacing w:before="120"/>
        <w:jc w:val="center"/>
        <w:rPr>
          <w:rFonts w:ascii="Book Antiqua" w:hAnsi="Book Antiqua"/>
          <w:lang w:val="es-ES_tradnl"/>
        </w:rPr>
      </w:pPr>
      <w:r w:rsidRPr="002B6F64">
        <w:rPr>
          <w:rFonts w:ascii="Book Antiqua" w:hAnsi="Book Antiqua"/>
          <w:lang w:val="es-ES_tradnl"/>
        </w:rPr>
        <w:t xml:space="preserve"> </w:t>
      </w:r>
      <w:r w:rsidR="00F35104" w:rsidRPr="002B6F64">
        <w:rPr>
          <w:rFonts w:ascii="Book Antiqua" w:hAnsi="Book Antiqua"/>
          <w:lang w:val="es-ES_tradnl"/>
        </w:rPr>
        <w:t>25</w:t>
      </w:r>
      <w:r w:rsidRPr="002B6F64">
        <w:rPr>
          <w:rFonts w:ascii="Book Antiqua" w:hAnsi="Book Antiqua"/>
          <w:lang w:val="es-ES_tradnl"/>
        </w:rPr>
        <w:t xml:space="preserve"> de agosto de 2025</w:t>
      </w:r>
    </w:p>
    <w:p w14:paraId="69F7F105" w14:textId="77777777" w:rsidR="00EB26F7" w:rsidRPr="002B6F64" w:rsidRDefault="00EB26F7" w:rsidP="00EB26F7">
      <w:pPr>
        <w:spacing w:before="120"/>
        <w:jc w:val="center"/>
        <w:rPr>
          <w:rFonts w:ascii="Book Antiqua" w:hAnsi="Book Antiqua"/>
          <w:lang w:val="es-ES_tradnl"/>
        </w:rPr>
      </w:pPr>
      <w:r w:rsidRPr="002B6F64">
        <w:rPr>
          <w:rFonts w:ascii="Book Antiqua" w:hAnsi="Book Antiqua"/>
          <w:lang w:val="es-ES_tradnl"/>
        </w:rPr>
        <w:t xml:space="preserve">Presentado por la señora </w:t>
      </w:r>
      <w:r w:rsidRPr="002B6F64">
        <w:rPr>
          <w:rFonts w:ascii="Book Antiqua" w:hAnsi="Book Antiqua"/>
          <w:i/>
          <w:iCs/>
          <w:lang w:val="es-ES_tradnl"/>
        </w:rPr>
        <w:t>González Huertas</w:t>
      </w:r>
    </w:p>
    <w:p w14:paraId="67E62FDF" w14:textId="77777777" w:rsidR="00315693" w:rsidRPr="002B6F64" w:rsidRDefault="00EB26F7" w:rsidP="00315693">
      <w:pPr>
        <w:spacing w:before="120"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2B6F64">
        <w:rPr>
          <w:rFonts w:ascii="Book Antiqua" w:hAnsi="Book Antiqua"/>
          <w:lang w:val="es-ES_tradnl"/>
        </w:rPr>
        <w:t xml:space="preserve">Referido a </w:t>
      </w:r>
      <w:r w:rsidR="00315693" w:rsidRPr="002B6F64">
        <w:rPr>
          <w:rFonts w:ascii="Book Antiqua" w:hAnsi="Book Antiqua"/>
          <w:lang w:val="es-ES_tradnl"/>
        </w:rPr>
        <w:t xml:space="preserve">la Comisión de </w:t>
      </w:r>
      <w:r w:rsidR="00315693" w:rsidRPr="002B6F64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04C75CCD" w14:textId="77777777" w:rsidR="00EB26F7" w:rsidRPr="002B6F64" w:rsidRDefault="00EB26F7" w:rsidP="00EB26F7">
      <w:pPr>
        <w:jc w:val="both"/>
        <w:rPr>
          <w:rFonts w:ascii="Book Antiqua" w:hAnsi="Book Antiqua"/>
          <w:lang w:val="es-ES_tradnl"/>
        </w:rPr>
      </w:pPr>
    </w:p>
    <w:p w14:paraId="6F3FCF54" w14:textId="77777777" w:rsidR="00EB26F7" w:rsidRPr="002B6F64" w:rsidRDefault="00EB26F7" w:rsidP="00EB26F7">
      <w:pPr>
        <w:jc w:val="center"/>
        <w:rPr>
          <w:rFonts w:ascii="Book Antiqua" w:hAnsi="Book Antiqua"/>
          <w:b/>
          <w:lang w:val="es-ES_tradnl"/>
        </w:rPr>
      </w:pPr>
      <w:r w:rsidRPr="002B6F64">
        <w:rPr>
          <w:rFonts w:ascii="Book Antiqua" w:hAnsi="Book Antiqua"/>
          <w:b/>
          <w:lang w:val="es-ES_tradnl"/>
        </w:rPr>
        <w:t>RESOLUCIÓN CONJUNTA</w:t>
      </w:r>
    </w:p>
    <w:p w14:paraId="7E01C5D1" w14:textId="77777777" w:rsidR="00CB2AE8" w:rsidRPr="002B6F64" w:rsidRDefault="00CB2AE8" w:rsidP="00CB2AE8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250EF051" w14:textId="17FFB7FF" w:rsidR="00CB2AE8" w:rsidRPr="002B6F64" w:rsidRDefault="00CB2AE8" w:rsidP="00CB2AE8">
      <w:pPr>
        <w:ind w:left="360" w:hanging="360"/>
        <w:jc w:val="both"/>
        <w:rPr>
          <w:rFonts w:ascii="Book Antiqua" w:hAnsi="Book Antiqua"/>
          <w:lang w:val="es-ES_tradnl"/>
        </w:rPr>
      </w:pPr>
      <w:r w:rsidRPr="002B6F64">
        <w:rPr>
          <w:rFonts w:ascii="Book Antiqua" w:hAnsi="Book Antiqua"/>
          <w:lang w:val="es-ES_tradnl"/>
        </w:rPr>
        <w:t>Para ordenar al Departamento de Transportación y Obras Públicas</w:t>
      </w:r>
      <w:r w:rsidRPr="002B6F64">
        <w:rPr>
          <w:rFonts w:ascii="Book Antiqua" w:hAnsi="Book Antiqua"/>
          <w:strike/>
          <w:lang w:val="es-ES_tradnl"/>
        </w:rPr>
        <w:t>,</w:t>
      </w:r>
      <w:r w:rsidRPr="002B6F64">
        <w:rPr>
          <w:rFonts w:ascii="Book Antiqua" w:hAnsi="Book Antiqua"/>
          <w:lang w:val="es-ES_tradnl"/>
        </w:rPr>
        <w:t xml:space="preserve"> </w:t>
      </w:r>
      <w:r w:rsidR="00EB6C1B" w:rsidRPr="002B6F64">
        <w:rPr>
          <w:rFonts w:ascii="Book Antiqua" w:hAnsi="Book Antiqua"/>
          <w:i/>
          <w:iCs/>
          <w:u w:val="single"/>
          <w:lang w:val="es-ES_tradnl"/>
        </w:rPr>
        <w:t>y</w:t>
      </w:r>
      <w:r w:rsidR="00EB6C1B" w:rsidRPr="002B6F64">
        <w:rPr>
          <w:rFonts w:ascii="Book Antiqua" w:hAnsi="Book Antiqua"/>
          <w:lang w:val="es-ES_tradnl"/>
        </w:rPr>
        <w:t xml:space="preserve"> </w:t>
      </w:r>
      <w:r w:rsidRPr="002B6F64">
        <w:rPr>
          <w:rFonts w:ascii="Book Antiqua" w:hAnsi="Book Antiqua"/>
          <w:lang w:val="es-ES_tradnl"/>
        </w:rPr>
        <w:t xml:space="preserve">a la Autoridad de Carreteras y Transportación, </w:t>
      </w:r>
      <w:r w:rsidRPr="002B6F64">
        <w:rPr>
          <w:rFonts w:ascii="Book Antiqua" w:hAnsi="Book Antiqua"/>
          <w:strike/>
          <w:lang w:val="es-ES_tradnl"/>
        </w:rPr>
        <w:t>y cualquier otra agencia concerniente;</w:t>
      </w:r>
      <w:r w:rsidRPr="002B6F64">
        <w:rPr>
          <w:rFonts w:ascii="Book Antiqua" w:hAnsi="Book Antiqua"/>
          <w:lang w:val="es-ES_tradnl"/>
        </w:rPr>
        <w:t xml:space="preserve"> incluir en sus Planes de Mejoras, como proyecto prioritario, la reconstrucción y optimización de la carretera PR-143</w:t>
      </w:r>
      <w:r w:rsidR="007C034A" w:rsidRPr="002B6F64">
        <w:rPr>
          <w:rFonts w:ascii="Book Antiqua" w:hAnsi="Book Antiqua"/>
          <w:i/>
          <w:iCs/>
          <w:u w:val="single"/>
          <w:lang w:val="es-ES_tradnl"/>
        </w:rPr>
        <w:t>,</w:t>
      </w:r>
      <w:r w:rsidRPr="002B6F64">
        <w:rPr>
          <w:rFonts w:ascii="Book Antiqua" w:hAnsi="Book Antiqua"/>
          <w:lang w:val="es-ES_tradnl"/>
        </w:rPr>
        <w:t xml:space="preserve"> jurisdicción de los municipios de Ponce y Jayuya, conocida como la “Ruta Panorámica”; así como ordenar al Departamento de Transportación y Obras Públicas</w:t>
      </w:r>
      <w:r w:rsidRPr="002B6F64">
        <w:rPr>
          <w:rFonts w:ascii="Book Antiqua" w:hAnsi="Book Antiqua"/>
          <w:strike/>
          <w:lang w:val="es-ES_tradnl"/>
        </w:rPr>
        <w:t>,</w:t>
      </w:r>
      <w:r w:rsidRPr="002B6F64">
        <w:rPr>
          <w:rFonts w:ascii="Book Antiqua" w:hAnsi="Book Antiqua"/>
          <w:lang w:val="es-ES_tradnl"/>
        </w:rPr>
        <w:t xml:space="preserve"> </w:t>
      </w:r>
      <w:r w:rsidR="00EB6C1B" w:rsidRPr="002B6F64">
        <w:rPr>
          <w:rFonts w:ascii="Book Antiqua" w:hAnsi="Book Antiqua"/>
          <w:i/>
          <w:iCs/>
          <w:u w:val="single"/>
          <w:lang w:val="es-ES_tradnl"/>
        </w:rPr>
        <w:t>y</w:t>
      </w:r>
      <w:r w:rsidR="00EB6C1B" w:rsidRPr="002B6F64">
        <w:rPr>
          <w:rFonts w:ascii="Book Antiqua" w:hAnsi="Book Antiqua"/>
          <w:lang w:val="es-ES_tradnl"/>
        </w:rPr>
        <w:t xml:space="preserve"> </w:t>
      </w:r>
      <w:r w:rsidRPr="002B6F64">
        <w:rPr>
          <w:rFonts w:ascii="Book Antiqua" w:hAnsi="Book Antiqua"/>
          <w:lang w:val="es-ES_tradnl"/>
        </w:rPr>
        <w:t xml:space="preserve">a la Autoridad de Carreteras y Transportación, </w:t>
      </w:r>
      <w:r w:rsidRPr="002B6F64">
        <w:rPr>
          <w:rFonts w:ascii="Book Antiqua" w:hAnsi="Book Antiqua"/>
          <w:strike/>
          <w:lang w:val="es-ES_tradnl"/>
        </w:rPr>
        <w:t>y cualquier otra agencia concerniente;</w:t>
      </w:r>
      <w:r w:rsidRPr="002B6F64">
        <w:rPr>
          <w:rFonts w:ascii="Book Antiqua" w:hAnsi="Book Antiqua"/>
          <w:lang w:val="es-ES_tradnl"/>
        </w:rPr>
        <w:t xml:space="preserve"> realizar las gestiones necesarias y pertinentes para lograr la asignación de fondos bajo los programas federales aplicables</w:t>
      </w:r>
      <w:r w:rsidR="00EB6C1B" w:rsidRPr="002B6F64">
        <w:rPr>
          <w:rFonts w:ascii="Book Antiqua" w:hAnsi="Book Antiqua"/>
          <w:i/>
          <w:iCs/>
          <w:u w:val="single"/>
          <w:lang w:val="es-ES_tradnl"/>
        </w:rPr>
        <w:t>; y para otros fines relacionados</w:t>
      </w:r>
      <w:r w:rsidRPr="002B6F64">
        <w:rPr>
          <w:rFonts w:ascii="Book Antiqua" w:hAnsi="Book Antiqua"/>
          <w:lang w:val="es-ES_tradnl"/>
        </w:rPr>
        <w:t>.</w:t>
      </w:r>
    </w:p>
    <w:p w14:paraId="492623F9" w14:textId="77777777" w:rsidR="00CB2AE8" w:rsidRDefault="00CB2AE8" w:rsidP="001321EB">
      <w:pPr>
        <w:spacing w:before="240" w:after="120"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EXPOSICIÓN DE MOTIVOS</w:t>
      </w:r>
    </w:p>
    <w:p w14:paraId="573EEB69" w14:textId="77777777" w:rsidR="00EB26F7" w:rsidRPr="00EB26F7" w:rsidRDefault="00EB26F7" w:rsidP="00EB26F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EB26F7">
        <w:rPr>
          <w:rFonts w:ascii="Book Antiqua" w:hAnsi="Book Antiqua"/>
          <w:lang w:val="es-ES_tradnl"/>
        </w:rPr>
        <w:t xml:space="preserve">La carretera PR-143, en el tramo que discurre </w:t>
      </w:r>
      <w:r>
        <w:rPr>
          <w:rFonts w:ascii="Book Antiqua" w:hAnsi="Book Antiqua"/>
          <w:lang w:val="es-ES_tradnl"/>
        </w:rPr>
        <w:t>entre</w:t>
      </w:r>
      <w:r w:rsidRPr="00EB26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las jurisdicciones de los municipios</w:t>
      </w:r>
      <w:r w:rsidRPr="00EB26F7">
        <w:rPr>
          <w:rFonts w:ascii="Book Antiqua" w:hAnsi="Book Antiqua"/>
          <w:lang w:val="es-ES_tradnl"/>
        </w:rPr>
        <w:t xml:space="preserve"> de Ponce y Jayuya, </w:t>
      </w:r>
      <w:r>
        <w:rPr>
          <w:rFonts w:ascii="Book Antiqua" w:hAnsi="Book Antiqua"/>
          <w:lang w:val="es-ES_tradnl"/>
        </w:rPr>
        <w:t xml:space="preserve">conocida como la “Ruta Panorámica”, </w:t>
      </w:r>
      <w:r w:rsidRPr="00EB26F7">
        <w:rPr>
          <w:rFonts w:ascii="Book Antiqua" w:hAnsi="Book Antiqua"/>
          <w:lang w:val="es-ES_tradnl"/>
        </w:rPr>
        <w:t>constituye una de las vías principales de comunicación entre comunidades rurales y urbanas de la región central y sur de Puerto Rico. Esta carretera no solo facilita el tránsito cotidiano de los residentes, sino que también representa un eje de desarrollo económico, agrícola, turístico y cultural que conecta a las familias y comercios de ambos municipios.</w:t>
      </w:r>
    </w:p>
    <w:p w14:paraId="23DA00D3" w14:textId="77777777" w:rsidR="00EB26F7" w:rsidRPr="00EB26F7" w:rsidRDefault="00EB26F7" w:rsidP="00EB26F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EB26F7">
        <w:rPr>
          <w:rFonts w:ascii="Book Antiqua" w:hAnsi="Book Antiqua"/>
          <w:lang w:val="es-ES_tradnl"/>
        </w:rPr>
        <w:t xml:space="preserve">Sin embargo, por años la ciudadanía ha manifestado su creciente preocupación ante las condiciones de deterioro que presenta esta vía. Los daños en el pavimento, la falta de </w:t>
      </w:r>
      <w:r w:rsidRPr="00EB26F7">
        <w:rPr>
          <w:rFonts w:ascii="Book Antiqua" w:hAnsi="Book Antiqua"/>
          <w:lang w:val="es-ES_tradnl"/>
        </w:rPr>
        <w:lastRenderedPageBreak/>
        <w:t xml:space="preserve">rotulación adecuada, la carencia de áreas seguras de desvío y la deficiente iluminación en algunos tramos han hecho que transitar por la PR-143 represente un </w:t>
      </w:r>
      <w:r w:rsidR="002B667C">
        <w:rPr>
          <w:rFonts w:ascii="Book Antiqua" w:hAnsi="Book Antiqua"/>
          <w:lang w:val="es-ES_tradnl"/>
        </w:rPr>
        <w:t xml:space="preserve">                               </w:t>
      </w:r>
      <w:r w:rsidRPr="00EB26F7">
        <w:rPr>
          <w:rFonts w:ascii="Book Antiqua" w:hAnsi="Book Antiqua"/>
          <w:lang w:val="es-ES_tradnl"/>
        </w:rPr>
        <w:t>riesgo constante para conductores y peatones. Además, la topografía montañosa y las inclemencias del tiempo agravan el problema, incrementando la peligrosidad de la carretera y aumentando el número de incidentes viales reportados por la comunidad</w:t>
      </w:r>
      <w:r>
        <w:rPr>
          <w:rFonts w:ascii="Book Antiqua" w:hAnsi="Book Antiqua"/>
          <w:lang w:val="es-ES_tradnl"/>
        </w:rPr>
        <w:t>.</w:t>
      </w:r>
    </w:p>
    <w:p w14:paraId="7D5E64C8" w14:textId="77777777" w:rsidR="00EB26F7" w:rsidRPr="00EB26F7" w:rsidRDefault="00EB26F7" w:rsidP="00EB26F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EB26F7">
        <w:rPr>
          <w:rFonts w:ascii="Book Antiqua" w:hAnsi="Book Antiqua"/>
          <w:lang w:val="es-ES_tradnl"/>
        </w:rPr>
        <w:t>Los residentes de Ponce y Jayuya han levantado su voz en múltiples foros, reclamando la atención de las autoridades pertinentes y exigiendo la culminación de los trabajos de reparación y mantenimiento. La falta de acción inmediata no solo compromete la seguridad vial, sino que también limita el desarrollo económico de la zona, afectando a pequeños y medianos comerciantes, agricultores, transportistas y al sector turístico que depende de la accesibilidad de esta ruta.</w:t>
      </w:r>
    </w:p>
    <w:p w14:paraId="294D4D76" w14:textId="77777777" w:rsidR="00CB2AE8" w:rsidRDefault="00EB26F7" w:rsidP="00EB26F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Esta</w:t>
      </w:r>
      <w:r w:rsidRPr="00EB26F7">
        <w:rPr>
          <w:rFonts w:ascii="Book Antiqua" w:hAnsi="Book Antiqua"/>
          <w:lang w:val="es-ES_tradnl"/>
        </w:rPr>
        <w:t xml:space="preserve"> Asamblea Legislativa, reconociendo la urgencia y la legitimidad de este reclamo ciudadano, entiende que es imperativo ordenar al Departamento de Transportación y Obras Públicas (DTOP), en coordinación con la Autoridad de Carreteras y Transportación (ACT) </w:t>
      </w:r>
      <w:r w:rsidRPr="00EB6C1B">
        <w:rPr>
          <w:rFonts w:ascii="Book Antiqua" w:hAnsi="Book Antiqua"/>
          <w:strike/>
          <w:lang w:val="es-ES_tradnl"/>
        </w:rPr>
        <w:t>y cualquier otra agencia pertinente</w:t>
      </w:r>
      <w:r w:rsidRPr="00EB26F7">
        <w:rPr>
          <w:rFonts w:ascii="Book Antiqua" w:hAnsi="Book Antiqua"/>
          <w:lang w:val="es-ES_tradnl"/>
        </w:rPr>
        <w:t>, a priorizar y culminar los trabajos de reparación, mantenimiento y mejoras necesarias en la PR-143</w:t>
      </w:r>
      <w:r>
        <w:rPr>
          <w:rFonts w:ascii="Book Antiqua" w:hAnsi="Book Antiqua"/>
          <w:lang w:val="es-ES_tradnl"/>
        </w:rPr>
        <w:t>, jurisdicción de Ponce y Jayuya</w:t>
      </w:r>
      <w:r w:rsidR="00CB2AE8">
        <w:rPr>
          <w:rFonts w:ascii="Book Antiqua" w:hAnsi="Book Antiqua"/>
          <w:lang w:val="es-ES_tradnl"/>
        </w:rPr>
        <w:t>.</w:t>
      </w:r>
    </w:p>
    <w:p w14:paraId="15A164A3" w14:textId="77777777" w:rsidR="00CB2AE8" w:rsidRDefault="001757A5" w:rsidP="00CB2AE8">
      <w:pPr>
        <w:spacing w:before="240"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RESUÉLV</w:t>
      </w:r>
      <w:r w:rsidR="00C3252F">
        <w:rPr>
          <w:rFonts w:ascii="Book Antiqua" w:hAnsi="Book Antiqua"/>
          <w:b/>
          <w:lang w:val="es-ES_tradnl"/>
        </w:rPr>
        <w:t>E</w:t>
      </w:r>
      <w:r>
        <w:rPr>
          <w:rFonts w:ascii="Book Antiqua" w:hAnsi="Book Antiqua"/>
          <w:b/>
          <w:lang w:val="es-ES_tradnl"/>
        </w:rPr>
        <w:t xml:space="preserve">SE </w:t>
      </w:r>
      <w:r w:rsidR="00CB2AE8">
        <w:rPr>
          <w:rFonts w:ascii="Book Antiqua" w:hAnsi="Book Antiqua"/>
          <w:b/>
          <w:lang w:val="es-ES_tradnl"/>
        </w:rPr>
        <w:t>POR LA ASAMBLEA LEGISLATIVA DE PUERTO RICO:</w:t>
      </w:r>
    </w:p>
    <w:p w14:paraId="6B9E809A" w14:textId="77777777" w:rsidR="00CB2AE8" w:rsidRDefault="00CB2AE8" w:rsidP="00CB2AE8">
      <w:pPr>
        <w:spacing w:line="480" w:lineRule="auto"/>
        <w:jc w:val="both"/>
        <w:rPr>
          <w:rFonts w:ascii="Book Antiqua" w:hAnsi="Book Antiqua"/>
          <w:lang w:val="es-ES_tradnl"/>
        </w:rPr>
        <w:sectPr w:rsidR="00CB2AE8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AB88769" w14:textId="7D0CEC59" w:rsidR="00CB2AE8" w:rsidRDefault="00EB26F7" w:rsidP="00CB2AE8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1.– Se ordena </w:t>
      </w:r>
      <w:r w:rsidRPr="00EB26F7">
        <w:rPr>
          <w:rFonts w:ascii="Book Antiqua" w:hAnsi="Book Antiqua"/>
          <w:lang w:val="es-ES_tradnl"/>
        </w:rPr>
        <w:t>al Departamento de Transportación y Obras Públicas</w:t>
      </w:r>
      <w:r w:rsidRPr="00EB6C1B">
        <w:rPr>
          <w:rFonts w:ascii="Book Antiqua" w:hAnsi="Book Antiqua"/>
          <w:strike/>
          <w:lang w:val="es-ES_tradnl"/>
        </w:rPr>
        <w:t>,</w:t>
      </w:r>
      <w:r w:rsidRPr="00EB26F7">
        <w:rPr>
          <w:rFonts w:ascii="Book Antiqua" w:hAnsi="Book Antiqua"/>
          <w:lang w:val="es-ES_tradnl"/>
        </w:rPr>
        <w:t xml:space="preserve"> </w:t>
      </w:r>
      <w:r w:rsidR="00EB6C1B">
        <w:rPr>
          <w:rFonts w:ascii="Book Antiqua" w:hAnsi="Book Antiqua"/>
          <w:i/>
          <w:iCs/>
          <w:u w:val="single"/>
          <w:lang w:val="es-ES_tradnl"/>
        </w:rPr>
        <w:t>y</w:t>
      </w:r>
      <w:r w:rsidR="00EB6C1B">
        <w:rPr>
          <w:rFonts w:ascii="Book Antiqua" w:hAnsi="Book Antiqua"/>
          <w:lang w:val="es-ES_tradnl"/>
        </w:rPr>
        <w:t xml:space="preserve"> </w:t>
      </w:r>
      <w:r w:rsidRPr="00EB26F7">
        <w:rPr>
          <w:rFonts w:ascii="Book Antiqua" w:hAnsi="Book Antiqua"/>
          <w:lang w:val="es-ES_tradnl"/>
        </w:rPr>
        <w:t xml:space="preserve">a la Autoridad de Carreteras y Transportación, </w:t>
      </w:r>
      <w:r w:rsidRPr="00EB6C1B">
        <w:rPr>
          <w:rFonts w:ascii="Book Antiqua" w:hAnsi="Book Antiqua"/>
          <w:strike/>
          <w:lang w:val="es-ES_tradnl"/>
        </w:rPr>
        <w:t>y cualquier otra agencia concerniente;</w:t>
      </w:r>
      <w:r w:rsidRPr="00EB26F7">
        <w:rPr>
          <w:rFonts w:ascii="Book Antiqua" w:hAnsi="Book Antiqua"/>
          <w:lang w:val="es-ES_tradnl"/>
        </w:rPr>
        <w:t xml:space="preserve"> incluir en sus Planes de Mejoras, como proyecto prioritario, la reconstrucción y optimización de la carretera PR-143</w:t>
      </w:r>
      <w:r w:rsidR="007C034A">
        <w:rPr>
          <w:rFonts w:ascii="Book Antiqua" w:hAnsi="Book Antiqua"/>
          <w:i/>
          <w:iCs/>
          <w:u w:val="single"/>
          <w:lang w:val="es-ES_tradnl"/>
        </w:rPr>
        <w:t>,</w:t>
      </w:r>
      <w:r w:rsidRPr="00EB26F7">
        <w:rPr>
          <w:rFonts w:ascii="Book Antiqua" w:hAnsi="Book Antiqua"/>
          <w:lang w:val="es-ES_tradnl"/>
        </w:rPr>
        <w:t xml:space="preserve"> jurisdicción de los municipios de Ponce y Jayuya, conocida como la “Ruta Panorámica”</w:t>
      </w:r>
      <w:r>
        <w:rPr>
          <w:rFonts w:ascii="Book Antiqua" w:hAnsi="Book Antiqua"/>
          <w:lang w:val="es-ES_tradnl"/>
        </w:rPr>
        <w:t>.</w:t>
      </w:r>
    </w:p>
    <w:p w14:paraId="542F9D89" w14:textId="77777777" w:rsidR="00EB26F7" w:rsidRDefault="00EB26F7" w:rsidP="00EB26F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proofErr w:type="gramStart"/>
      <w:r>
        <w:rPr>
          <w:rFonts w:ascii="Book Antiqua" w:hAnsi="Book Antiqua"/>
          <w:lang w:val="es-ES_tradnl"/>
        </w:rPr>
        <w:t>2.–</w:t>
      </w:r>
      <w:proofErr w:type="gramEnd"/>
      <w:r>
        <w:rPr>
          <w:rFonts w:ascii="Book Antiqua" w:hAnsi="Book Antiqua"/>
          <w:lang w:val="es-ES_tradnl"/>
        </w:rPr>
        <w:t xml:space="preserve"> Se ordena </w:t>
      </w:r>
      <w:r w:rsidRPr="001432DB">
        <w:rPr>
          <w:rFonts w:ascii="Book Antiqua" w:hAnsi="Book Antiqua"/>
          <w:lang w:val="es-ES_tradnl"/>
        </w:rPr>
        <w:t>al Departamento de Transportación y Obras Públicas</w:t>
      </w:r>
      <w:r w:rsidRPr="00EB6C1B">
        <w:rPr>
          <w:rFonts w:ascii="Book Antiqua" w:hAnsi="Book Antiqua"/>
          <w:strike/>
          <w:lang w:val="es-ES_tradnl"/>
        </w:rPr>
        <w:t>,</w:t>
      </w:r>
      <w:r w:rsidRPr="001432DB">
        <w:rPr>
          <w:rFonts w:ascii="Book Antiqua" w:hAnsi="Book Antiqua"/>
          <w:lang w:val="es-ES_tradnl"/>
        </w:rPr>
        <w:t xml:space="preserve"> a la Autoridad de Carreteras y Transportación, </w:t>
      </w:r>
      <w:r w:rsidRPr="00EB6C1B">
        <w:rPr>
          <w:rFonts w:ascii="Book Antiqua" w:hAnsi="Book Antiqua"/>
          <w:strike/>
          <w:lang w:val="es-ES_tradnl"/>
        </w:rPr>
        <w:t>y cualquier otra agencia concerniente;</w:t>
      </w:r>
      <w:r w:rsidRPr="001432DB">
        <w:rPr>
          <w:rFonts w:ascii="Book Antiqua" w:hAnsi="Book Antiqua"/>
          <w:lang w:val="es-ES_tradnl"/>
        </w:rPr>
        <w:t xml:space="preserve"> </w:t>
      </w:r>
      <w:r w:rsidRPr="001432DB">
        <w:rPr>
          <w:rFonts w:ascii="Book Antiqua" w:hAnsi="Book Antiqua"/>
          <w:lang w:val="es-ES_tradnl"/>
        </w:rPr>
        <w:lastRenderedPageBreak/>
        <w:t>realizar las gestiones necesarias y pertinentes para lograr la asignación de fondos bajo los programas federales aplicables.</w:t>
      </w:r>
    </w:p>
    <w:p w14:paraId="41BB7B2B" w14:textId="77777777" w:rsidR="00EB26F7" w:rsidRPr="00CB2AE8" w:rsidRDefault="00EB26F7" w:rsidP="00EB26F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proofErr w:type="gramStart"/>
      <w:r>
        <w:rPr>
          <w:rFonts w:ascii="Book Antiqua" w:hAnsi="Book Antiqua"/>
          <w:lang w:val="es-ES_tradnl"/>
        </w:rPr>
        <w:t>3.–</w:t>
      </w:r>
      <w:proofErr w:type="gramEnd"/>
      <w:r>
        <w:rPr>
          <w:rFonts w:ascii="Book Antiqua" w:hAnsi="Book Antiqua"/>
          <w:lang w:val="es-ES_tradnl"/>
        </w:rPr>
        <w:t xml:space="preserve"> Esta </w:t>
      </w:r>
      <w:r w:rsidRPr="001432DB">
        <w:rPr>
          <w:rFonts w:ascii="Book Antiqua" w:hAnsi="Book Antiqua"/>
          <w:lang w:val="es-ES_tradnl"/>
        </w:rPr>
        <w:t>Resolución Conjunta entrará en vigor inmediatamente después de su aprobación</w:t>
      </w:r>
      <w:r>
        <w:rPr>
          <w:rFonts w:ascii="Book Antiqua" w:hAnsi="Book Antiqua"/>
          <w:lang w:val="es-ES_tradnl"/>
        </w:rPr>
        <w:t>.</w:t>
      </w:r>
    </w:p>
    <w:sectPr w:rsidR="00EB26F7" w:rsidRPr="00CB2AE8" w:rsidSect="00CB2AE8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5139D" w14:textId="77777777" w:rsidR="007632DA" w:rsidRDefault="007632DA">
      <w:r>
        <w:separator/>
      </w:r>
    </w:p>
  </w:endnote>
  <w:endnote w:type="continuationSeparator" w:id="0">
    <w:p w14:paraId="63509198" w14:textId="77777777" w:rsidR="007632DA" w:rsidRDefault="0076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DD733" w14:textId="77777777" w:rsidR="007632DA" w:rsidRDefault="007632DA">
      <w:r>
        <w:separator/>
      </w:r>
    </w:p>
  </w:footnote>
  <w:footnote w:type="continuationSeparator" w:id="0">
    <w:p w14:paraId="2C95089B" w14:textId="77777777" w:rsidR="007632DA" w:rsidRDefault="0076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08F95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B2AE8"/>
    <w:rsid w:val="000B0DA9"/>
    <w:rsid w:val="000F6834"/>
    <w:rsid w:val="001321EB"/>
    <w:rsid w:val="001757A5"/>
    <w:rsid w:val="001A5413"/>
    <w:rsid w:val="001F4CC4"/>
    <w:rsid w:val="002151F3"/>
    <w:rsid w:val="00275D9E"/>
    <w:rsid w:val="002B667C"/>
    <w:rsid w:val="002B6F64"/>
    <w:rsid w:val="002D2308"/>
    <w:rsid w:val="002E6D71"/>
    <w:rsid w:val="00315693"/>
    <w:rsid w:val="00321EB7"/>
    <w:rsid w:val="00323544"/>
    <w:rsid w:val="00354F2D"/>
    <w:rsid w:val="00361D12"/>
    <w:rsid w:val="003717F3"/>
    <w:rsid w:val="0042753F"/>
    <w:rsid w:val="004F1EE4"/>
    <w:rsid w:val="005559A1"/>
    <w:rsid w:val="005B65F8"/>
    <w:rsid w:val="005E37E7"/>
    <w:rsid w:val="006B0440"/>
    <w:rsid w:val="006B559B"/>
    <w:rsid w:val="006F7AD5"/>
    <w:rsid w:val="007632DA"/>
    <w:rsid w:val="007A1394"/>
    <w:rsid w:val="007C034A"/>
    <w:rsid w:val="007F0B3D"/>
    <w:rsid w:val="008113D5"/>
    <w:rsid w:val="00827101"/>
    <w:rsid w:val="008547BE"/>
    <w:rsid w:val="008913DE"/>
    <w:rsid w:val="008C4672"/>
    <w:rsid w:val="008E2201"/>
    <w:rsid w:val="008E4B89"/>
    <w:rsid w:val="008E6E97"/>
    <w:rsid w:val="0092176F"/>
    <w:rsid w:val="00980C1C"/>
    <w:rsid w:val="00991B1A"/>
    <w:rsid w:val="009B7A94"/>
    <w:rsid w:val="009C765B"/>
    <w:rsid w:val="00A60AA5"/>
    <w:rsid w:val="00A750BD"/>
    <w:rsid w:val="00A829DF"/>
    <w:rsid w:val="00A97996"/>
    <w:rsid w:val="00AF1D08"/>
    <w:rsid w:val="00B456A4"/>
    <w:rsid w:val="00BB4B68"/>
    <w:rsid w:val="00BC0A6F"/>
    <w:rsid w:val="00BF6758"/>
    <w:rsid w:val="00C27704"/>
    <w:rsid w:val="00C3252F"/>
    <w:rsid w:val="00C433A2"/>
    <w:rsid w:val="00C652E0"/>
    <w:rsid w:val="00CA5394"/>
    <w:rsid w:val="00CB2AE8"/>
    <w:rsid w:val="00D20C77"/>
    <w:rsid w:val="00D51285"/>
    <w:rsid w:val="00E532CF"/>
    <w:rsid w:val="00E55203"/>
    <w:rsid w:val="00EB26F7"/>
    <w:rsid w:val="00EB6C1B"/>
    <w:rsid w:val="00F35104"/>
    <w:rsid w:val="00F5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32CDDD"/>
  <w15:chartTrackingRefBased/>
  <w15:docId w15:val="{B5DE43A0-E72A-4EB2-BFC2-CBC925C94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4SQX5P7U7WPY-958212181-819820</_dlc_DocId>
    <_dlc_DocIdUrl xmlns="c890fddd-4e87-4e08-8b51-545f2a3f7b06">
      <Url>https://senpr.sharepoint.com/sites/obralegislativa/_layouts/15/DocIdRedir.aspx?ID=4SQX5P7U7WPY-958212181-819820</Url>
      <Description>4SQX5P7U7WPY-958212181-819820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7206219-ADBA-4D77-BE1B-79D11E7CCB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9B4464-DFF7-48FC-8AFF-7B135ECD2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3518C0-A386-49D5-B051-6B04C17A8E4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311DF6-452D-4070-A136-9757902CB80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B6DC0B0D-57C7-4CDF-A78F-EE7908DD132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Microsoft Office User</dc:creator>
  <cp:keywords/>
  <cp:lastModifiedBy>Jessica M. Caraballo Rivera (Trámites y Récords)</cp:lastModifiedBy>
  <cp:revision>2</cp:revision>
  <cp:lastPrinted>2025-08-21T20:01:00Z</cp:lastPrinted>
  <dcterms:created xsi:type="dcterms:W3CDTF">2025-10-14T12:02:00Z</dcterms:created>
  <dcterms:modified xsi:type="dcterms:W3CDTF">2025-10-14T12:02:00Z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4SQX5P7U7WPY-958212181-818070</vt:lpwstr>
  </property>
  <property fmtid="{D5CDD505-2E9C-101B-9397-08002B2CF9AE}" pid="3" name="_dlc_DocIdItemGuid">
    <vt:lpwstr>608bab4f-682b-4ca8-85b8-6bf4fbdc498e</vt:lpwstr>
  </property>
  <property fmtid="{D5CDD505-2E9C-101B-9397-08002B2CF9AE}" pid="4" name="_dlc_DocIdUrl">
    <vt:lpwstr>https://senpr.sharepoint.com/sites/obralegislativa/_layouts/15/DocIdRedir.aspx?ID=4SQX5P7U7WPY-958212181-818070, 4SQX5P7U7WPY-958212181-818070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