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091ABD07"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AF76D3">
        <w:rPr>
          <w:lang w:val="es-PR"/>
        </w:rPr>
        <w:t>2</w:t>
      </w:r>
      <w:r w:rsidR="00AF76D3">
        <w:rPr>
          <w:rFonts w:ascii="Book Antiqua" w:eastAsia="Book Antiqua" w:hAnsi="Book Antiqua" w:cs="Book Antiqua"/>
          <w:color w:val="000000" w:themeColor="text1"/>
          <w:szCs w:val="24"/>
          <w:vertAlign w:val="superscript"/>
          <w:lang w:val="es-ES"/>
        </w:rPr>
        <w:t>da</w:t>
      </w:r>
      <w:r w:rsidRPr="235409E1">
        <w:rPr>
          <w:rFonts w:ascii="Book Antiqua" w:eastAsia="Book Antiqua" w:hAnsi="Book Antiqua" w:cs="Book Antiqua"/>
          <w:color w:val="000000" w:themeColor="text1"/>
          <w:szCs w:val="24"/>
          <w:vertAlign w:val="superscript"/>
          <w:lang w:val="es-ES"/>
        </w:rPr>
        <w:t>.</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698ADF8C" w:rsidR="00D21F6F" w:rsidRPr="00C06313" w:rsidRDefault="1F860F1D" w:rsidP="6FF13472">
      <w:pPr>
        <w:spacing w:after="0" w:line="240" w:lineRule="auto"/>
        <w:jc w:val="center"/>
        <w:rPr>
          <w:rFonts w:ascii="Book Antiqua" w:eastAsia="Book Antiqua" w:hAnsi="Book Antiqua" w:cs="Book Antiqua"/>
          <w:color w:val="000000" w:themeColor="text1"/>
          <w:sz w:val="32"/>
          <w:szCs w:val="32"/>
          <w:lang w:val="es-US"/>
        </w:rPr>
      </w:pPr>
      <w:r w:rsidRPr="0672D996">
        <w:rPr>
          <w:rFonts w:ascii="Book Antiqua" w:eastAsia="Book Antiqua" w:hAnsi="Book Antiqua" w:cs="Book Antiqua"/>
          <w:color w:val="000000" w:themeColor="text1"/>
          <w:sz w:val="32"/>
          <w:szCs w:val="32"/>
          <w:lang w:val="es-US"/>
        </w:rPr>
        <w:t>`</w:t>
      </w:r>
    </w:p>
    <w:p w14:paraId="168157EF" w14:textId="75612941" w:rsidR="00AF76D3" w:rsidRDefault="0E4637C4" w:rsidP="6FF13472">
      <w:pPr>
        <w:spacing w:after="0" w:line="360" w:lineRule="auto"/>
        <w:jc w:val="center"/>
        <w:rPr>
          <w:rFonts w:ascii="Book Antiqua" w:eastAsia="Book Antiqua" w:hAnsi="Book Antiqua" w:cs="Book Antiqua"/>
          <w:b/>
          <w:bCs/>
          <w:color w:val="000000" w:themeColor="text1"/>
          <w:sz w:val="52"/>
          <w:szCs w:val="52"/>
          <w:lang w:val="es-US"/>
        </w:rPr>
      </w:pPr>
      <w:r w:rsidRPr="4DBCB155">
        <w:rPr>
          <w:rFonts w:ascii="Book Antiqua" w:eastAsia="Book Antiqua" w:hAnsi="Book Antiqua" w:cs="Book Antiqua"/>
          <w:b/>
          <w:bCs/>
          <w:color w:val="000000" w:themeColor="text1"/>
          <w:sz w:val="52"/>
          <w:szCs w:val="52"/>
          <w:lang w:val="es-US"/>
        </w:rPr>
        <w:t>P. de</w:t>
      </w:r>
      <w:r w:rsidR="10E90D00" w:rsidRPr="4DBCB155">
        <w:rPr>
          <w:rFonts w:ascii="Book Antiqua" w:eastAsia="Book Antiqua" w:hAnsi="Book Antiqua" w:cs="Book Antiqua"/>
          <w:b/>
          <w:bCs/>
          <w:color w:val="000000" w:themeColor="text1"/>
          <w:sz w:val="52"/>
          <w:szCs w:val="52"/>
          <w:lang w:val="es-US"/>
        </w:rPr>
        <w:t xml:space="preserve"> </w:t>
      </w:r>
      <w:r w:rsidR="00504E74" w:rsidRPr="4DBCB155">
        <w:rPr>
          <w:rFonts w:ascii="Book Antiqua" w:eastAsia="Book Antiqua" w:hAnsi="Book Antiqua" w:cs="Book Antiqua"/>
          <w:b/>
          <w:bCs/>
          <w:color w:val="000000" w:themeColor="text1"/>
          <w:sz w:val="52"/>
          <w:szCs w:val="52"/>
          <w:lang w:val="es-US"/>
        </w:rPr>
        <w:t>l</w:t>
      </w:r>
      <w:r w:rsidR="64FDA80F" w:rsidRPr="4DBCB155">
        <w:rPr>
          <w:rFonts w:ascii="Book Antiqua" w:eastAsia="Book Antiqua" w:hAnsi="Book Antiqua" w:cs="Book Antiqua"/>
          <w:b/>
          <w:bCs/>
          <w:color w:val="000000" w:themeColor="text1"/>
          <w:sz w:val="52"/>
          <w:szCs w:val="52"/>
          <w:lang w:val="es-US"/>
        </w:rPr>
        <w:t>a</w:t>
      </w:r>
      <w:r w:rsidR="2366A448" w:rsidRPr="4DBCB155">
        <w:rPr>
          <w:rFonts w:ascii="Book Antiqua" w:eastAsia="Book Antiqua" w:hAnsi="Book Antiqua" w:cs="Book Antiqua"/>
          <w:b/>
          <w:bCs/>
          <w:color w:val="000000" w:themeColor="text1"/>
          <w:sz w:val="52"/>
          <w:szCs w:val="52"/>
          <w:lang w:val="es-US"/>
        </w:rPr>
        <w:t xml:space="preserve"> </w:t>
      </w:r>
      <w:r w:rsidR="51BE87F7" w:rsidRPr="4DBCB155">
        <w:rPr>
          <w:rFonts w:ascii="Book Antiqua" w:eastAsia="Book Antiqua" w:hAnsi="Book Antiqua" w:cs="Book Antiqua"/>
          <w:b/>
          <w:bCs/>
          <w:color w:val="000000" w:themeColor="text1"/>
          <w:sz w:val="52"/>
          <w:szCs w:val="52"/>
          <w:lang w:val="es-US"/>
        </w:rPr>
        <w:t>C</w:t>
      </w:r>
      <w:r w:rsidR="2366A448" w:rsidRPr="4DBCB155">
        <w:rPr>
          <w:rFonts w:ascii="Book Antiqua" w:eastAsia="Book Antiqua" w:hAnsi="Book Antiqua" w:cs="Book Antiqua"/>
          <w:b/>
          <w:bCs/>
          <w:color w:val="000000" w:themeColor="text1"/>
          <w:sz w:val="52"/>
          <w:szCs w:val="52"/>
          <w:lang w:val="es-US"/>
        </w:rPr>
        <w:t xml:space="preserve">. </w:t>
      </w:r>
      <w:r w:rsidR="5332FCF9" w:rsidRPr="4DBCB155">
        <w:rPr>
          <w:rFonts w:ascii="Book Antiqua" w:eastAsia="Book Antiqua" w:hAnsi="Book Antiqua" w:cs="Book Antiqua"/>
          <w:b/>
          <w:bCs/>
          <w:color w:val="000000" w:themeColor="text1"/>
          <w:sz w:val="52"/>
          <w:szCs w:val="52"/>
          <w:lang w:val="es-US"/>
        </w:rPr>
        <w:t>834</w:t>
      </w:r>
    </w:p>
    <w:p w14:paraId="654BEA48" w14:textId="202DC23D"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FF13472">
        <w:rPr>
          <w:rFonts w:ascii="Book Antiqua" w:eastAsia="Book Antiqua" w:hAnsi="Book Antiqua" w:cs="Book Antiqua"/>
          <w:b/>
          <w:bCs/>
          <w:color w:val="000000" w:themeColor="text1"/>
          <w:sz w:val="28"/>
          <w:szCs w:val="28"/>
          <w:lang w:val="es-US"/>
        </w:rPr>
        <w:t>INFORME POSITIVO</w:t>
      </w:r>
    </w:p>
    <w:p w14:paraId="6201E0D2" w14:textId="4079D025" w:rsidR="00D21F6F" w:rsidRPr="00945C08" w:rsidRDefault="00F14796"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28</w:t>
      </w:r>
      <w:r w:rsidR="0E4637C4" w:rsidRPr="70F3B0B6">
        <w:rPr>
          <w:rFonts w:ascii="Book Antiqua" w:eastAsia="Book Antiqua" w:hAnsi="Book Antiqua" w:cs="Book Antiqua"/>
          <w:color w:val="000000" w:themeColor="text1"/>
          <w:sz w:val="24"/>
          <w:szCs w:val="24"/>
          <w:lang w:val="es-US"/>
        </w:rPr>
        <w:t xml:space="preserve"> de </w:t>
      </w:r>
      <w:r w:rsidR="00801D42" w:rsidRPr="70F3B0B6">
        <w:rPr>
          <w:rFonts w:ascii="Book Antiqua" w:eastAsia="Book Antiqua" w:hAnsi="Book Antiqua" w:cs="Book Antiqua"/>
          <w:color w:val="000000" w:themeColor="text1"/>
          <w:sz w:val="24"/>
          <w:szCs w:val="24"/>
          <w:lang w:val="es-US"/>
        </w:rPr>
        <w:t>octubre</w:t>
      </w:r>
      <w:r w:rsidR="0E4637C4" w:rsidRPr="70F3B0B6">
        <w:rPr>
          <w:rFonts w:ascii="Book Antiqua" w:eastAsia="Book Antiqua" w:hAnsi="Book Antiqua" w:cs="Book Antiqua"/>
          <w:color w:val="000000" w:themeColor="text1"/>
          <w:sz w:val="24"/>
          <w:szCs w:val="24"/>
          <w:lang w:val="es-US"/>
        </w:rPr>
        <w:t xml:space="preserve"> de 2025</w:t>
      </w:r>
    </w:p>
    <w:p w14:paraId="431F02DD" w14:textId="7B4FD0FB" w:rsidR="70F3B0B6" w:rsidRDefault="70F3B0B6" w:rsidP="70F3B0B6">
      <w:pPr>
        <w:spacing w:after="0" w:line="240" w:lineRule="auto"/>
        <w:jc w:val="both"/>
        <w:rPr>
          <w:rFonts w:ascii="Book Antiqua" w:eastAsia="Book Antiqua" w:hAnsi="Book Antiqua" w:cs="Book Antiqua"/>
          <w:b/>
          <w:bCs/>
          <w:color w:val="000000" w:themeColor="text1"/>
          <w:sz w:val="24"/>
          <w:szCs w:val="24"/>
          <w:lang w:val="es-PR"/>
        </w:rPr>
      </w:pP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C06313"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25D696EB" w14:textId="5F695042" w:rsidR="0E4637C4" w:rsidRDefault="0E4637C4" w:rsidP="4DBCB155">
      <w:pPr>
        <w:spacing w:after="0" w:line="240" w:lineRule="auto"/>
        <w:ind w:firstLine="720"/>
        <w:jc w:val="both"/>
        <w:rPr>
          <w:rFonts w:ascii="Book Antiqua" w:eastAsia="Book Antiqua" w:hAnsi="Book Antiqua" w:cs="Book Antiqua"/>
          <w:sz w:val="24"/>
          <w:szCs w:val="24"/>
          <w:lang w:val="es-PR"/>
        </w:rPr>
      </w:pPr>
      <w:r w:rsidRPr="4DBCB155">
        <w:rPr>
          <w:rFonts w:ascii="Book Antiqua" w:eastAsia="Book Antiqua" w:hAnsi="Book Antiqua" w:cs="Book Antiqua"/>
          <w:color w:val="000000" w:themeColor="text1"/>
          <w:sz w:val="24"/>
          <w:szCs w:val="24"/>
          <w:lang w:val="es-PR"/>
        </w:rPr>
        <w:t>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w:t>
      </w:r>
      <w:r w:rsidR="5B30958F" w:rsidRPr="4DBCB155">
        <w:rPr>
          <w:rFonts w:ascii="Book Antiqua" w:eastAsia="Book Antiqua" w:hAnsi="Book Antiqua" w:cs="Book Antiqua"/>
          <w:color w:val="000000" w:themeColor="text1"/>
          <w:sz w:val="24"/>
          <w:szCs w:val="24"/>
          <w:lang w:val="es-PR"/>
        </w:rPr>
        <w:t>e</w:t>
      </w:r>
      <w:r w:rsidR="173DF914" w:rsidRPr="4DBCB155">
        <w:rPr>
          <w:rFonts w:ascii="Book Antiqua" w:eastAsia="Book Antiqua" w:hAnsi="Book Antiqua" w:cs="Book Antiqua"/>
          <w:color w:val="000000" w:themeColor="text1"/>
          <w:sz w:val="24"/>
          <w:szCs w:val="24"/>
          <w:lang w:val="es-PR"/>
        </w:rPr>
        <w:t xml:space="preserve"> </w:t>
      </w:r>
      <w:r w:rsidR="00B706A3" w:rsidRPr="4DBCB155">
        <w:rPr>
          <w:rFonts w:ascii="Book Antiqua" w:eastAsia="Book Antiqua" w:hAnsi="Book Antiqua" w:cs="Book Antiqua"/>
          <w:color w:val="000000" w:themeColor="text1"/>
          <w:sz w:val="24"/>
          <w:szCs w:val="24"/>
          <w:lang w:val="es-PR"/>
        </w:rPr>
        <w:t>l</w:t>
      </w:r>
      <w:r w:rsidR="173DF914" w:rsidRPr="4DBCB155">
        <w:rPr>
          <w:rFonts w:ascii="Book Antiqua" w:eastAsia="Book Antiqua" w:hAnsi="Book Antiqua" w:cs="Book Antiqua"/>
          <w:color w:val="000000" w:themeColor="text1"/>
          <w:sz w:val="24"/>
          <w:szCs w:val="24"/>
          <w:lang w:val="es-PR"/>
        </w:rPr>
        <w:t>a</w:t>
      </w:r>
      <w:r w:rsidR="00B706A3" w:rsidRPr="4DBCB155">
        <w:rPr>
          <w:rFonts w:ascii="Book Antiqua" w:eastAsia="Book Antiqua" w:hAnsi="Book Antiqua" w:cs="Book Antiqua"/>
          <w:color w:val="000000" w:themeColor="text1"/>
          <w:sz w:val="24"/>
          <w:szCs w:val="24"/>
          <w:lang w:val="es-PR"/>
        </w:rPr>
        <w:t xml:space="preserve"> </w:t>
      </w:r>
      <w:r w:rsidR="141D8EDF" w:rsidRPr="4DBCB155">
        <w:rPr>
          <w:rFonts w:ascii="Book Antiqua" w:eastAsia="Book Antiqua" w:hAnsi="Book Antiqua" w:cs="Book Antiqua"/>
          <w:color w:val="000000" w:themeColor="text1"/>
          <w:sz w:val="24"/>
          <w:szCs w:val="24"/>
          <w:lang w:val="es-PR"/>
        </w:rPr>
        <w:t>C</w:t>
      </w:r>
      <w:r w:rsidR="00B706A3" w:rsidRPr="4DBCB155">
        <w:rPr>
          <w:rFonts w:ascii="Book Antiqua" w:eastAsia="Book Antiqua" w:hAnsi="Book Antiqua" w:cs="Book Antiqua"/>
          <w:color w:val="000000" w:themeColor="text1"/>
          <w:sz w:val="24"/>
          <w:szCs w:val="24"/>
          <w:lang w:val="es-PR"/>
        </w:rPr>
        <w:t xml:space="preserve">. </w:t>
      </w:r>
      <w:r w:rsidR="2AC544D1" w:rsidRPr="4DBCB155">
        <w:rPr>
          <w:rFonts w:ascii="Book Antiqua" w:eastAsia="Book Antiqua" w:hAnsi="Book Antiqua" w:cs="Book Antiqua"/>
          <w:color w:val="000000" w:themeColor="text1"/>
          <w:sz w:val="24"/>
          <w:szCs w:val="24"/>
          <w:lang w:val="es-PR"/>
        </w:rPr>
        <w:t>834</w:t>
      </w:r>
      <w:r w:rsidR="31E3C424" w:rsidRPr="4DBCB155">
        <w:rPr>
          <w:rFonts w:ascii="Book Antiqua" w:eastAsia="Book Antiqua" w:hAnsi="Book Antiqua" w:cs="Book Antiqua"/>
          <w:color w:val="000000" w:themeColor="text1"/>
          <w:sz w:val="24"/>
          <w:szCs w:val="24"/>
          <w:lang w:val="es-PR"/>
        </w:rPr>
        <w:t>,</w:t>
      </w:r>
      <w:r w:rsidR="00BD012D" w:rsidRPr="4DBCB155">
        <w:rPr>
          <w:rFonts w:ascii="Book Antiqua" w:eastAsia="Book Antiqua" w:hAnsi="Book Antiqua" w:cs="Book Antiqua"/>
          <w:color w:val="000000" w:themeColor="text1"/>
          <w:sz w:val="24"/>
          <w:szCs w:val="24"/>
          <w:lang w:val="es-PR"/>
        </w:rPr>
        <w:t xml:space="preserve"> </w:t>
      </w:r>
      <w:r w:rsidR="4B5A2694" w:rsidRPr="4DBCB155">
        <w:rPr>
          <w:rFonts w:ascii="Book Antiqua" w:eastAsia="Book Antiqua" w:hAnsi="Book Antiqua" w:cs="Book Antiqua"/>
          <w:color w:val="000000" w:themeColor="text1"/>
          <w:sz w:val="24"/>
          <w:szCs w:val="24"/>
          <w:lang w:val="es-PR"/>
        </w:rPr>
        <w:t xml:space="preserve">con enmiendas en el </w:t>
      </w:r>
      <w:proofErr w:type="spellStart"/>
      <w:r w:rsidR="4B5A2694" w:rsidRPr="4DBCB155">
        <w:rPr>
          <w:rFonts w:ascii="Book Antiqua" w:eastAsia="Book Antiqua" w:hAnsi="Book Antiqua" w:cs="Book Antiqua"/>
          <w:color w:val="000000" w:themeColor="text1"/>
          <w:sz w:val="24"/>
          <w:szCs w:val="24"/>
          <w:lang w:val="es-PR"/>
        </w:rPr>
        <w:t>entirillado</w:t>
      </w:r>
      <w:proofErr w:type="spellEnd"/>
      <w:r w:rsidR="4B5A2694" w:rsidRPr="4DBCB155">
        <w:rPr>
          <w:rFonts w:ascii="Book Antiqua" w:eastAsia="Book Antiqua" w:hAnsi="Book Antiqua" w:cs="Book Antiqua"/>
          <w:color w:val="000000" w:themeColor="text1"/>
          <w:sz w:val="24"/>
          <w:szCs w:val="24"/>
          <w:lang w:val="es-PR"/>
        </w:rPr>
        <w:t xml:space="preserve"> electrónico que se acompaña.</w:t>
      </w:r>
    </w:p>
    <w:p w14:paraId="324B3AFF" w14:textId="12B1FE69" w:rsidR="4DBCB155" w:rsidRDefault="4DBCB155" w:rsidP="4DBCB155">
      <w:pPr>
        <w:spacing w:after="0" w:line="240" w:lineRule="auto"/>
        <w:ind w:firstLine="720"/>
        <w:jc w:val="both"/>
        <w:rPr>
          <w:rFonts w:ascii="Book Antiqua" w:eastAsia="Book Antiqua" w:hAnsi="Book Antiqua" w:cs="Book Antiqua"/>
          <w:color w:val="000000" w:themeColor="text1"/>
          <w:sz w:val="24"/>
          <w:szCs w:val="24"/>
          <w:lang w:val="es-PR"/>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47B2C723">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7ABE2A0F" w:rsidR="0095525D" w:rsidRPr="00C06313" w:rsidRDefault="2AEFDE95" w:rsidP="3C3F330B">
      <w:pPr>
        <w:spacing w:after="0" w:line="240" w:lineRule="auto"/>
        <w:jc w:val="both"/>
        <w:rPr>
          <w:rFonts w:ascii="Book Antiqua" w:eastAsia="Book Antiqua" w:hAnsi="Book Antiqua" w:cs="Book Antiqua"/>
          <w:color w:val="000000" w:themeColor="text1"/>
          <w:sz w:val="24"/>
          <w:szCs w:val="24"/>
          <w:lang w:val="es-ES"/>
        </w:rPr>
      </w:pPr>
      <w:r w:rsidRPr="4DBCB155">
        <w:rPr>
          <w:rFonts w:ascii="Book Antiqua" w:eastAsia="Book Antiqua" w:hAnsi="Book Antiqua" w:cs="Book Antiqua"/>
          <w:color w:val="000000" w:themeColor="text1"/>
          <w:sz w:val="24"/>
          <w:szCs w:val="24"/>
          <w:lang w:val="es-ES"/>
        </w:rPr>
        <w:t>El Proyecto de</w:t>
      </w:r>
      <w:r w:rsidR="43851A30" w:rsidRPr="4DBCB155">
        <w:rPr>
          <w:rFonts w:ascii="Book Antiqua" w:eastAsia="Book Antiqua" w:hAnsi="Book Antiqua" w:cs="Book Antiqua"/>
          <w:color w:val="000000" w:themeColor="text1"/>
          <w:sz w:val="24"/>
          <w:szCs w:val="24"/>
          <w:lang w:val="es-ES"/>
        </w:rPr>
        <w:t xml:space="preserve"> </w:t>
      </w:r>
      <w:r w:rsidR="00971ACE" w:rsidRPr="4DBCB155">
        <w:rPr>
          <w:rFonts w:ascii="Book Antiqua" w:eastAsia="Book Antiqua" w:hAnsi="Book Antiqua" w:cs="Book Antiqua"/>
          <w:color w:val="000000" w:themeColor="text1"/>
          <w:sz w:val="24"/>
          <w:szCs w:val="24"/>
          <w:lang w:val="es-ES"/>
        </w:rPr>
        <w:t>l</w:t>
      </w:r>
      <w:r w:rsidR="43851A30" w:rsidRPr="4DBCB155">
        <w:rPr>
          <w:rFonts w:ascii="Book Antiqua" w:eastAsia="Book Antiqua" w:hAnsi="Book Antiqua" w:cs="Book Antiqua"/>
          <w:color w:val="000000" w:themeColor="text1"/>
          <w:sz w:val="24"/>
          <w:szCs w:val="24"/>
          <w:lang w:val="es-ES"/>
        </w:rPr>
        <w:t>a</w:t>
      </w:r>
      <w:r w:rsidR="69D66CB4" w:rsidRPr="4DBCB155">
        <w:rPr>
          <w:rFonts w:ascii="Book Antiqua" w:eastAsia="Book Antiqua" w:hAnsi="Book Antiqua" w:cs="Book Antiqua"/>
          <w:color w:val="000000" w:themeColor="text1"/>
          <w:sz w:val="24"/>
          <w:szCs w:val="24"/>
          <w:lang w:val="es-ES"/>
        </w:rPr>
        <w:t xml:space="preserve"> </w:t>
      </w:r>
      <w:r w:rsidR="5B75A7E7" w:rsidRPr="4DBCB155">
        <w:rPr>
          <w:rFonts w:ascii="Book Antiqua" w:eastAsia="Book Antiqua" w:hAnsi="Book Antiqua" w:cs="Book Antiqua"/>
          <w:color w:val="000000" w:themeColor="text1"/>
          <w:sz w:val="24"/>
          <w:szCs w:val="24"/>
          <w:lang w:val="es-ES"/>
        </w:rPr>
        <w:t>Cámara</w:t>
      </w:r>
      <w:r w:rsidR="00971ACE" w:rsidRPr="4DBCB155">
        <w:rPr>
          <w:rFonts w:ascii="Book Antiqua" w:eastAsia="Book Antiqua" w:hAnsi="Book Antiqua" w:cs="Book Antiqua"/>
          <w:color w:val="000000" w:themeColor="text1"/>
          <w:sz w:val="24"/>
          <w:szCs w:val="24"/>
          <w:lang w:val="es-ES"/>
        </w:rPr>
        <w:t xml:space="preserve"> </w:t>
      </w:r>
      <w:r w:rsidR="06411C17" w:rsidRPr="4DBCB155">
        <w:rPr>
          <w:rFonts w:ascii="Book Antiqua" w:eastAsia="Book Antiqua" w:hAnsi="Book Antiqua" w:cs="Book Antiqua"/>
          <w:color w:val="000000" w:themeColor="text1"/>
          <w:sz w:val="24"/>
          <w:szCs w:val="24"/>
          <w:lang w:val="es-ES"/>
        </w:rPr>
        <w:t>834</w:t>
      </w:r>
      <w:r w:rsidRPr="4DBCB155">
        <w:rPr>
          <w:rFonts w:ascii="Book Antiqua" w:eastAsia="Book Antiqua" w:hAnsi="Book Antiqua" w:cs="Book Antiqua"/>
          <w:color w:val="000000" w:themeColor="text1"/>
          <w:sz w:val="24"/>
          <w:szCs w:val="24"/>
          <w:lang w:val="es-ES"/>
        </w:rPr>
        <w:t xml:space="preserve"> tiene el propósito de:</w:t>
      </w:r>
    </w:p>
    <w:p w14:paraId="30E0DAAE" w14:textId="112CAE32" w:rsidR="0095525D" w:rsidRPr="00C06313" w:rsidRDefault="0095525D" w:rsidP="3C3F330B">
      <w:pPr>
        <w:spacing w:after="0" w:line="240" w:lineRule="auto"/>
        <w:jc w:val="both"/>
        <w:rPr>
          <w:rFonts w:ascii="Book Antiqua" w:eastAsia="Book Antiqua" w:hAnsi="Book Antiqua" w:cs="Book Antiqua"/>
          <w:sz w:val="24"/>
          <w:szCs w:val="24"/>
          <w:lang w:val="es-ES"/>
        </w:rPr>
      </w:pPr>
    </w:p>
    <w:p w14:paraId="65F2AE2F" w14:textId="7A81C515" w:rsidR="00801D42" w:rsidRPr="00032997" w:rsidRDefault="11D93D39" w:rsidP="4DBCB155">
      <w:pPr>
        <w:suppressLineNumbers/>
        <w:spacing w:after="0" w:line="240" w:lineRule="auto"/>
        <w:ind w:left="540" w:hanging="540"/>
        <w:contextualSpacing/>
        <w:jc w:val="both"/>
        <w:rPr>
          <w:rFonts w:ascii="Book Antiqua" w:eastAsia="Book Antiqua" w:hAnsi="Book Antiqua" w:cs="Book Antiqua"/>
          <w:color w:val="000000" w:themeColor="text1"/>
          <w:sz w:val="24"/>
          <w:szCs w:val="24"/>
          <w:lang w:val="es-US"/>
        </w:rPr>
      </w:pPr>
      <w:r w:rsidRPr="4DBCB155">
        <w:rPr>
          <w:rFonts w:ascii="Book Antiqua" w:eastAsia="Book Antiqua" w:hAnsi="Book Antiqua" w:cs="Book Antiqua"/>
          <w:color w:val="000000" w:themeColor="text1"/>
          <w:sz w:val="24"/>
          <w:szCs w:val="24"/>
          <w:lang w:val="es-ES"/>
        </w:rPr>
        <w:t xml:space="preserve">Para crear </w:t>
      </w:r>
      <w:r w:rsidRPr="4DBCB155">
        <w:rPr>
          <w:rFonts w:ascii="Book Antiqua" w:eastAsia="Book Antiqua" w:hAnsi="Book Antiqua" w:cs="Book Antiqua"/>
          <w:color w:val="000000" w:themeColor="text1"/>
          <w:sz w:val="24"/>
          <w:szCs w:val="24"/>
          <w:lang w:val="es-PR"/>
        </w:rPr>
        <w:t xml:space="preserve">la </w:t>
      </w:r>
      <w:r w:rsidRPr="4DBCB155">
        <w:rPr>
          <w:rFonts w:ascii="Book Antiqua" w:eastAsia="Book Antiqua" w:hAnsi="Book Antiqua" w:cs="Book Antiqua"/>
          <w:b/>
          <w:bCs/>
          <w:color w:val="000000" w:themeColor="text1"/>
          <w:sz w:val="24"/>
          <w:szCs w:val="24"/>
          <w:lang w:val="es-PR"/>
        </w:rPr>
        <w:t>“</w:t>
      </w:r>
      <w:r w:rsidRPr="4DBCB155">
        <w:rPr>
          <w:rFonts w:ascii="Book Antiqua" w:eastAsia="Book Antiqua" w:hAnsi="Book Antiqua" w:cs="Book Antiqua"/>
          <w:color w:val="000000" w:themeColor="text1"/>
          <w:sz w:val="24"/>
          <w:szCs w:val="24"/>
          <w:lang w:val="es-PR"/>
        </w:rPr>
        <w:t xml:space="preserve">Ley de Prioridad en el Restablecimiento de Servicios Esenciales para Hogares Sustitutos y de Transición”; </w:t>
      </w:r>
      <w:r w:rsidRPr="4DBCB155">
        <w:rPr>
          <w:rFonts w:ascii="Book Antiqua" w:eastAsia="Book Antiqua" w:hAnsi="Book Antiqua" w:cs="Book Antiqua"/>
          <w:color w:val="000000" w:themeColor="text1"/>
          <w:sz w:val="24"/>
          <w:szCs w:val="24"/>
          <w:lang w:val="es-ES"/>
        </w:rPr>
        <w:t>establecer</w:t>
      </w:r>
      <w:r w:rsidRPr="4DBCB155">
        <w:rPr>
          <w:rFonts w:ascii="Book Antiqua" w:eastAsia="Book Antiqua" w:hAnsi="Book Antiqua" w:cs="Book Antiqua"/>
          <w:color w:val="000000" w:themeColor="text1"/>
          <w:sz w:val="24"/>
          <w:szCs w:val="24"/>
          <w:lang w:val="es-PR"/>
        </w:rPr>
        <w:t xml:space="preserve"> como política pública del Gobierno de Puerto Rico que los hogares sustitutos y de transición bajo la supervisión del Departamento de la familia sean incluidos como prioridad en los planes de restablecimiento de los servicios esenciales luego de una emergencia o desastre; y para otros fines relacionados.</w:t>
      </w:r>
    </w:p>
    <w:p w14:paraId="4AB52991" w14:textId="0BD8F0E9" w:rsidR="00801D42" w:rsidRPr="00032997" w:rsidRDefault="00801D42" w:rsidP="4DBCB155">
      <w:pPr>
        <w:suppressLineNumbers/>
        <w:spacing w:after="0" w:line="240" w:lineRule="auto"/>
        <w:jc w:val="both"/>
        <w:rPr>
          <w:rFonts w:ascii="Times New Roman" w:eastAsia="Times New Roman" w:hAnsi="Times New Roman" w:cs="Times New Roman"/>
          <w:color w:val="000000" w:themeColor="text1"/>
          <w:sz w:val="24"/>
          <w:szCs w:val="24"/>
          <w:lang w:val="es-US"/>
        </w:rPr>
      </w:pPr>
    </w:p>
    <w:p w14:paraId="1D63CE56" w14:textId="24B3846E" w:rsidR="3C3F330B" w:rsidRDefault="2744AB3B" w:rsidP="0007484E">
      <w:pPr>
        <w:spacing w:after="0" w:line="240" w:lineRule="auto"/>
        <w:contextualSpacing/>
        <w:jc w:val="center"/>
        <w:rPr>
          <w:rFonts w:ascii="Book Antiqua" w:eastAsia="Book Antiqua" w:hAnsi="Book Antiqua" w:cs="Book Antiqua"/>
          <w:b/>
          <w:bCs/>
          <w:color w:val="000000" w:themeColor="text1"/>
          <w:sz w:val="24"/>
          <w:szCs w:val="24"/>
          <w:lang w:val="es-ES"/>
        </w:rPr>
      </w:pPr>
      <w:r w:rsidRPr="4DBCB155">
        <w:rPr>
          <w:rFonts w:ascii="Book Antiqua" w:eastAsia="Book Antiqua" w:hAnsi="Book Antiqua" w:cs="Book Antiqua"/>
          <w:b/>
          <w:bCs/>
          <w:color w:val="000000" w:themeColor="text1"/>
          <w:sz w:val="24"/>
          <w:szCs w:val="24"/>
          <w:lang w:val="es-ES"/>
        </w:rPr>
        <w:t>INTRODUCCIÓN</w:t>
      </w:r>
    </w:p>
    <w:p w14:paraId="31557F63" w14:textId="56876DB2" w:rsidR="3986375A" w:rsidRPr="000D2B0B" w:rsidRDefault="3986375A" w:rsidP="4DBCB155">
      <w:pPr>
        <w:spacing w:before="240" w:after="240"/>
        <w:jc w:val="both"/>
        <w:rPr>
          <w:lang w:val="es-PR"/>
        </w:rPr>
      </w:pPr>
      <w:r w:rsidRPr="4DBCB155">
        <w:rPr>
          <w:rFonts w:ascii="Book Antiqua" w:eastAsia="Book Antiqua" w:hAnsi="Book Antiqua" w:cs="Book Antiqua"/>
          <w:sz w:val="24"/>
          <w:szCs w:val="24"/>
          <w:lang w:val="es-US"/>
        </w:rPr>
        <w:t xml:space="preserve">La Comisión de Adultos Mayores y Bienestar Social de la Cámara de Representantes de Puerto Rico ha evaluado el </w:t>
      </w:r>
      <w:r w:rsidRPr="4DBCB155">
        <w:rPr>
          <w:rFonts w:ascii="Book Antiqua" w:eastAsia="Book Antiqua" w:hAnsi="Book Antiqua" w:cs="Book Antiqua"/>
          <w:b/>
          <w:bCs/>
          <w:sz w:val="24"/>
          <w:szCs w:val="24"/>
          <w:lang w:val="es-US"/>
        </w:rPr>
        <w:t>Proyecto de la Cámara 834</w:t>
      </w:r>
      <w:r w:rsidRPr="4DBCB155">
        <w:rPr>
          <w:rFonts w:ascii="Book Antiqua" w:eastAsia="Book Antiqua" w:hAnsi="Book Antiqua" w:cs="Book Antiqua"/>
          <w:sz w:val="24"/>
          <w:szCs w:val="24"/>
          <w:lang w:val="es-US"/>
        </w:rPr>
        <w:t xml:space="preserve">, medida presentada el </w:t>
      </w:r>
      <w:r w:rsidRPr="4DBCB155">
        <w:rPr>
          <w:rFonts w:ascii="Book Antiqua" w:eastAsia="Book Antiqua" w:hAnsi="Book Antiqua" w:cs="Book Antiqua"/>
          <w:b/>
          <w:bCs/>
          <w:sz w:val="24"/>
          <w:szCs w:val="24"/>
          <w:lang w:val="es-US"/>
        </w:rPr>
        <w:t>29 de agosto de 2025</w:t>
      </w:r>
      <w:r w:rsidRPr="4DBCB155">
        <w:rPr>
          <w:rFonts w:ascii="Book Antiqua" w:eastAsia="Book Antiqua" w:hAnsi="Book Antiqua" w:cs="Book Antiqua"/>
          <w:sz w:val="24"/>
          <w:szCs w:val="24"/>
          <w:lang w:val="es-US"/>
        </w:rPr>
        <w:t xml:space="preserve"> por la representante </w:t>
      </w:r>
      <w:r w:rsidRPr="4DBCB155">
        <w:rPr>
          <w:rFonts w:ascii="Book Antiqua" w:eastAsia="Book Antiqua" w:hAnsi="Book Antiqua" w:cs="Book Antiqua"/>
          <w:b/>
          <w:bCs/>
          <w:sz w:val="24"/>
          <w:szCs w:val="24"/>
          <w:lang w:val="es-US"/>
        </w:rPr>
        <w:t>Santiago Guzmán</w:t>
      </w:r>
      <w:r w:rsidRPr="4DBCB155">
        <w:rPr>
          <w:rFonts w:ascii="Book Antiqua" w:eastAsia="Book Antiqua" w:hAnsi="Book Antiqua" w:cs="Book Antiqua"/>
          <w:sz w:val="24"/>
          <w:szCs w:val="24"/>
          <w:lang w:val="es-US"/>
        </w:rPr>
        <w:t xml:space="preserve">, con el propósito de establecer la </w:t>
      </w:r>
      <w:r w:rsidRPr="4DBCB155">
        <w:rPr>
          <w:rFonts w:ascii="Book Antiqua" w:eastAsia="Book Antiqua" w:hAnsi="Book Antiqua" w:cs="Book Antiqua"/>
          <w:i/>
          <w:iCs/>
          <w:sz w:val="24"/>
          <w:szCs w:val="24"/>
          <w:lang w:val="es-US"/>
        </w:rPr>
        <w:t>“Ley de Prioridad en el Restablecimiento de Servicios Esenciales para Hogares Sustitutos y de Transición”</w:t>
      </w:r>
      <w:r w:rsidRPr="4DBCB155">
        <w:rPr>
          <w:rFonts w:ascii="Book Antiqua" w:eastAsia="Book Antiqua" w:hAnsi="Book Antiqua" w:cs="Book Antiqua"/>
          <w:sz w:val="24"/>
          <w:szCs w:val="24"/>
          <w:lang w:val="es-US"/>
        </w:rPr>
        <w:t>.</w:t>
      </w:r>
      <w:r w:rsidRPr="000D2B0B">
        <w:rPr>
          <w:lang w:val="es-PR"/>
        </w:rPr>
        <w:br/>
      </w:r>
      <w:r w:rsidRPr="4DBCB155">
        <w:rPr>
          <w:rFonts w:ascii="Book Antiqua" w:eastAsia="Book Antiqua" w:hAnsi="Book Antiqua" w:cs="Book Antiqua"/>
          <w:sz w:val="24"/>
          <w:szCs w:val="24"/>
          <w:lang w:val="es-US"/>
        </w:rPr>
        <w:lastRenderedPageBreak/>
        <w:t xml:space="preserve"> El proyecto propone declarar como política pública del Gobierno de Puerto Rico que los hogares sustitutos y de transición bajo la supervisión del </w:t>
      </w:r>
      <w:r w:rsidRPr="4DBCB155">
        <w:rPr>
          <w:rFonts w:ascii="Book Antiqua" w:eastAsia="Book Antiqua" w:hAnsi="Book Antiqua" w:cs="Book Antiqua"/>
          <w:b/>
          <w:bCs/>
          <w:sz w:val="24"/>
          <w:szCs w:val="24"/>
          <w:lang w:val="es-US"/>
        </w:rPr>
        <w:t>Departamento de la Familia</w:t>
      </w:r>
      <w:r w:rsidRPr="4DBCB155">
        <w:rPr>
          <w:rFonts w:ascii="Book Antiqua" w:eastAsia="Book Antiqua" w:hAnsi="Book Antiqua" w:cs="Book Antiqua"/>
          <w:sz w:val="24"/>
          <w:szCs w:val="24"/>
          <w:lang w:val="es-US"/>
        </w:rPr>
        <w:t xml:space="preserve"> sean clasificados como instalaciones de atención prioritaria en los planes de restablecimiento de servicios esenciales luego de una emergencia o desastre.</w:t>
      </w:r>
    </w:p>
    <w:p w14:paraId="1559DD10" w14:textId="7CF5A776" w:rsidR="3986375A" w:rsidRPr="000D2B0B" w:rsidRDefault="3986375A" w:rsidP="4DBCB155">
      <w:pPr>
        <w:spacing w:before="240" w:after="240"/>
        <w:jc w:val="both"/>
        <w:rPr>
          <w:lang w:val="es-PR"/>
        </w:rPr>
      </w:pPr>
      <w:r w:rsidRPr="4DBCB155">
        <w:rPr>
          <w:rFonts w:ascii="Book Antiqua" w:eastAsia="Book Antiqua" w:hAnsi="Book Antiqua" w:cs="Book Antiqua"/>
          <w:sz w:val="24"/>
          <w:szCs w:val="24"/>
          <w:lang w:val="es-US"/>
        </w:rPr>
        <w:t xml:space="preserve">La Comisión reconoce la importancia de esta medida ante la realidad recurrente de eventos naturales y emergencias que han afectado a la Isla en los últimos años. La interrupción prolongada de servicios básicos como la energía eléctrica, el agua potable y las telecomunicaciones impacta de manera desproporcionada a las poblaciones más vulnerables, incluyendo a los menores bajo la custodia del Estado. Por ello, el P. de la C. 834 busca fortalecer los mecanismos de coordinación </w:t>
      </w:r>
      <w:proofErr w:type="spellStart"/>
      <w:r w:rsidRPr="4DBCB155">
        <w:rPr>
          <w:rFonts w:ascii="Book Antiqua" w:eastAsia="Book Antiqua" w:hAnsi="Book Antiqua" w:cs="Book Antiqua"/>
          <w:sz w:val="24"/>
          <w:szCs w:val="24"/>
          <w:lang w:val="es-US"/>
        </w:rPr>
        <w:t>interagencial</w:t>
      </w:r>
      <w:proofErr w:type="spellEnd"/>
      <w:r w:rsidRPr="4DBCB155">
        <w:rPr>
          <w:rFonts w:ascii="Book Antiqua" w:eastAsia="Book Antiqua" w:hAnsi="Book Antiqua" w:cs="Book Antiqua"/>
          <w:sz w:val="24"/>
          <w:szCs w:val="24"/>
          <w:lang w:val="es-US"/>
        </w:rPr>
        <w:t xml:space="preserve"> para garantizar una respuesta ágil y efectiva que salvaguarde el bienestar de los menores ubicados en hogares sustitutos y centros de transición.</w:t>
      </w:r>
    </w:p>
    <w:p w14:paraId="2774595D" w14:textId="7FACEE4B" w:rsidR="3986375A" w:rsidRPr="000D2B0B" w:rsidRDefault="3986375A" w:rsidP="4DBCB155">
      <w:pPr>
        <w:spacing w:before="240" w:after="240"/>
        <w:jc w:val="both"/>
        <w:rPr>
          <w:lang w:val="es-PR"/>
        </w:rPr>
      </w:pPr>
      <w:r w:rsidRPr="4DBCB155">
        <w:rPr>
          <w:rFonts w:ascii="Book Antiqua" w:eastAsia="Book Antiqua" w:hAnsi="Book Antiqua" w:cs="Book Antiqua"/>
          <w:sz w:val="24"/>
          <w:szCs w:val="24"/>
          <w:lang w:val="es-US"/>
        </w:rPr>
        <w:t>En este informe, la Comisión presenta el análisis de la medida, los comentarios recibidos de las agencias concernidas, y sus conclusiones y recomendaciones en torno a la aprobación del proyecto.</w:t>
      </w:r>
    </w:p>
    <w:p w14:paraId="2FEDACC1" w14:textId="476EE06B" w:rsidR="007728D9" w:rsidRPr="00C06313" w:rsidRDefault="4B8327FA"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4DBCB155">
        <w:rPr>
          <w:rFonts w:ascii="Book Antiqua" w:eastAsia="Book Antiqua" w:hAnsi="Book Antiqua" w:cs="Book Antiqua"/>
          <w:b/>
          <w:bCs/>
          <w:color w:val="000000" w:themeColor="text1"/>
          <w:sz w:val="24"/>
          <w:szCs w:val="24"/>
          <w:lang w:val="es-ES"/>
        </w:rPr>
        <w:t>ANÁLISIS DE LA MEDIDA</w:t>
      </w:r>
      <w:r w:rsidR="4EFC05C2" w:rsidRPr="4DBCB155">
        <w:rPr>
          <w:rFonts w:ascii="Book Antiqua" w:eastAsia="Book Antiqua" w:hAnsi="Book Antiqua" w:cs="Book Antiqua"/>
          <w:b/>
          <w:bCs/>
          <w:color w:val="000000" w:themeColor="text1"/>
          <w:sz w:val="24"/>
          <w:szCs w:val="24"/>
          <w:lang w:val="es-ES"/>
        </w:rPr>
        <w:t xml:space="preserve"> </w:t>
      </w:r>
    </w:p>
    <w:p w14:paraId="03A244AD" w14:textId="4C8CC2C4" w:rsidR="00AD28A5" w:rsidRPr="000D2B0B" w:rsidRDefault="63F60D48" w:rsidP="4DBCB155">
      <w:pPr>
        <w:spacing w:before="240" w:after="240"/>
        <w:jc w:val="both"/>
        <w:rPr>
          <w:lang w:val="es-PR"/>
        </w:rPr>
      </w:pPr>
      <w:r w:rsidRPr="4DBCB155">
        <w:rPr>
          <w:rFonts w:ascii="Book Antiqua" w:eastAsia="Book Antiqua" w:hAnsi="Book Antiqua" w:cs="Book Antiqua"/>
          <w:sz w:val="24"/>
          <w:szCs w:val="24"/>
          <w:lang w:val="es-US"/>
        </w:rPr>
        <w:t xml:space="preserve">El </w:t>
      </w:r>
      <w:r w:rsidRPr="4DBCB155">
        <w:rPr>
          <w:rFonts w:ascii="Book Antiqua" w:eastAsia="Book Antiqua" w:hAnsi="Book Antiqua" w:cs="Book Antiqua"/>
          <w:b/>
          <w:bCs/>
          <w:sz w:val="24"/>
          <w:szCs w:val="24"/>
          <w:lang w:val="es-US"/>
        </w:rPr>
        <w:t>Proyecto de la Cámara 834</w:t>
      </w:r>
      <w:r w:rsidRPr="4DBCB155">
        <w:rPr>
          <w:rFonts w:ascii="Book Antiqua" w:eastAsia="Book Antiqua" w:hAnsi="Book Antiqua" w:cs="Book Antiqua"/>
          <w:sz w:val="24"/>
          <w:szCs w:val="24"/>
          <w:lang w:val="es-US"/>
        </w:rPr>
        <w:t xml:space="preserve"> propone la creación de la </w:t>
      </w:r>
      <w:r w:rsidRPr="4DBCB155">
        <w:rPr>
          <w:rFonts w:ascii="Book Antiqua" w:eastAsia="Book Antiqua" w:hAnsi="Book Antiqua" w:cs="Book Antiqua"/>
          <w:i/>
          <w:iCs/>
          <w:sz w:val="24"/>
          <w:szCs w:val="24"/>
          <w:lang w:val="es-US"/>
        </w:rPr>
        <w:t>“Ley de Prioridad en el Restablecimiento de Servicios Esenciales para Hogares Sustitutos y de Transición”</w:t>
      </w:r>
      <w:r w:rsidRPr="4DBCB155">
        <w:rPr>
          <w:rFonts w:ascii="Book Antiqua" w:eastAsia="Book Antiqua" w:hAnsi="Book Antiqua" w:cs="Book Antiqua"/>
          <w:sz w:val="24"/>
          <w:szCs w:val="24"/>
          <w:lang w:val="es-US"/>
        </w:rPr>
        <w:t xml:space="preserve">, con el fin de establecer como política pública del Gobierno de Puerto Rico que los hogares sustitutos y de transición bajo la supervisión del </w:t>
      </w:r>
      <w:r w:rsidRPr="4DBCB155">
        <w:rPr>
          <w:rFonts w:ascii="Book Antiqua" w:eastAsia="Book Antiqua" w:hAnsi="Book Antiqua" w:cs="Book Antiqua"/>
          <w:b/>
          <w:bCs/>
          <w:sz w:val="24"/>
          <w:szCs w:val="24"/>
          <w:lang w:val="es-US"/>
        </w:rPr>
        <w:t>Departamento de la Familia</w:t>
      </w:r>
      <w:r w:rsidRPr="4DBCB155">
        <w:rPr>
          <w:rFonts w:ascii="Book Antiqua" w:eastAsia="Book Antiqua" w:hAnsi="Book Antiqua" w:cs="Book Antiqua"/>
          <w:sz w:val="24"/>
          <w:szCs w:val="24"/>
          <w:lang w:val="es-US"/>
        </w:rPr>
        <w:t xml:space="preserve"> sean considerados instalaciones de atención prioritaria en los planes de restablecimiento de servicios básicos tras la ocurrencia de una emergencia o desastre.</w:t>
      </w:r>
    </w:p>
    <w:p w14:paraId="7301E402" w14:textId="362EA3AC" w:rsidR="00AD28A5" w:rsidRPr="000D2B0B" w:rsidRDefault="63F60D48" w:rsidP="4DBCB155">
      <w:pPr>
        <w:spacing w:before="240" w:after="240"/>
        <w:jc w:val="both"/>
        <w:rPr>
          <w:lang w:val="es-PR"/>
        </w:rPr>
      </w:pPr>
      <w:r w:rsidRPr="4DBCB155">
        <w:rPr>
          <w:rFonts w:ascii="Book Antiqua" w:eastAsia="Book Antiqua" w:hAnsi="Book Antiqua" w:cs="Book Antiqua"/>
          <w:sz w:val="24"/>
          <w:szCs w:val="24"/>
          <w:lang w:val="es-US"/>
        </w:rPr>
        <w:t>La medida parte del reconocimiento de que los menores removidos de sus hogares y ubicados en hogares sustitutos o de transición constituyen una población altamente vulnerable y dependiente del cuidado estatal. Estos espacios —sean residencias familiares, hogares de grupo o centros temporeros— representan una extensión del sistema de protección del Estado y, por tanto, requieren garantías especiales para la continuidad de los servicios esenciales que permitan preservar la seguridad, salud y estabilidad emocional de los menores bajo su custodia.</w:t>
      </w:r>
    </w:p>
    <w:p w14:paraId="23AD3313" w14:textId="6932F204" w:rsidR="00AD28A5" w:rsidRPr="000D2B0B" w:rsidRDefault="63F60D48" w:rsidP="4DBCB155">
      <w:pPr>
        <w:spacing w:before="240" w:after="240"/>
        <w:jc w:val="both"/>
        <w:rPr>
          <w:lang w:val="es-PR"/>
        </w:rPr>
      </w:pPr>
      <w:r w:rsidRPr="4DBCB155">
        <w:rPr>
          <w:rFonts w:ascii="Book Antiqua" w:eastAsia="Book Antiqua" w:hAnsi="Book Antiqua" w:cs="Book Antiqua"/>
          <w:sz w:val="24"/>
          <w:szCs w:val="24"/>
          <w:lang w:val="es-US"/>
        </w:rPr>
        <w:t xml:space="preserve">A tales efectos, el proyecto dispone que el </w:t>
      </w:r>
      <w:r w:rsidRPr="4DBCB155">
        <w:rPr>
          <w:rFonts w:ascii="Book Antiqua" w:eastAsia="Book Antiqua" w:hAnsi="Book Antiqua" w:cs="Book Antiqua"/>
          <w:b/>
          <w:bCs/>
          <w:sz w:val="24"/>
          <w:szCs w:val="24"/>
          <w:lang w:val="es-US"/>
        </w:rPr>
        <w:t>Departamento de la Familia</w:t>
      </w:r>
      <w:r w:rsidRPr="4DBCB155">
        <w:rPr>
          <w:rFonts w:ascii="Book Antiqua" w:eastAsia="Book Antiqua" w:hAnsi="Book Antiqua" w:cs="Book Antiqua"/>
          <w:sz w:val="24"/>
          <w:szCs w:val="24"/>
          <w:lang w:val="es-US"/>
        </w:rPr>
        <w:t xml:space="preserve"> mantenga un registro actualizado de todos los hogares sustitutos y de transición autorizados, y que comparta dicho registro con las agencias y entidades encargadas de los servicios esenciales, entre ellas la </w:t>
      </w:r>
      <w:r w:rsidRPr="4DBCB155">
        <w:rPr>
          <w:rFonts w:ascii="Book Antiqua" w:eastAsia="Book Antiqua" w:hAnsi="Book Antiqua" w:cs="Book Antiqua"/>
          <w:b/>
          <w:bCs/>
          <w:sz w:val="24"/>
          <w:szCs w:val="24"/>
          <w:lang w:val="es-US"/>
        </w:rPr>
        <w:t>Autoridad de Energía Eléctrica (AEE)</w:t>
      </w:r>
      <w:r w:rsidRPr="4DBCB155">
        <w:rPr>
          <w:rFonts w:ascii="Book Antiqua" w:eastAsia="Book Antiqua" w:hAnsi="Book Antiqua" w:cs="Book Antiqua"/>
          <w:sz w:val="24"/>
          <w:szCs w:val="24"/>
          <w:lang w:val="es-US"/>
        </w:rPr>
        <w:t xml:space="preserve">, </w:t>
      </w:r>
      <w:r w:rsidRPr="4DBCB155">
        <w:rPr>
          <w:rFonts w:ascii="Book Antiqua" w:eastAsia="Book Antiqua" w:hAnsi="Book Antiqua" w:cs="Book Antiqua"/>
          <w:b/>
          <w:bCs/>
          <w:sz w:val="24"/>
          <w:szCs w:val="24"/>
          <w:lang w:val="es-US"/>
        </w:rPr>
        <w:t>LUMA Energy</w:t>
      </w:r>
      <w:r w:rsidRPr="4DBCB155">
        <w:rPr>
          <w:rFonts w:ascii="Book Antiqua" w:eastAsia="Book Antiqua" w:hAnsi="Book Antiqua" w:cs="Book Antiqua"/>
          <w:sz w:val="24"/>
          <w:szCs w:val="24"/>
          <w:lang w:val="es-US"/>
        </w:rPr>
        <w:t xml:space="preserve">, la </w:t>
      </w:r>
      <w:r w:rsidRPr="4DBCB155">
        <w:rPr>
          <w:rFonts w:ascii="Book Antiqua" w:eastAsia="Book Antiqua" w:hAnsi="Book Antiqua" w:cs="Book Antiqua"/>
          <w:b/>
          <w:bCs/>
          <w:sz w:val="24"/>
          <w:szCs w:val="24"/>
          <w:lang w:val="es-US"/>
        </w:rPr>
        <w:t>Autoridad de Acueductos y Alcantarillados (AAA)</w:t>
      </w:r>
      <w:r w:rsidRPr="4DBCB155">
        <w:rPr>
          <w:rFonts w:ascii="Book Antiqua" w:eastAsia="Book Antiqua" w:hAnsi="Book Antiqua" w:cs="Book Antiqua"/>
          <w:sz w:val="24"/>
          <w:szCs w:val="24"/>
          <w:lang w:val="es-US"/>
        </w:rPr>
        <w:t xml:space="preserve"> y las </w:t>
      </w:r>
      <w:r w:rsidRPr="4DBCB155">
        <w:rPr>
          <w:rFonts w:ascii="Book Antiqua" w:eastAsia="Book Antiqua" w:hAnsi="Book Antiqua" w:cs="Book Antiqua"/>
          <w:b/>
          <w:bCs/>
          <w:sz w:val="24"/>
          <w:szCs w:val="24"/>
          <w:lang w:val="es-US"/>
        </w:rPr>
        <w:t>empresas de telecomunicaciones</w:t>
      </w:r>
      <w:r w:rsidRPr="4DBCB155">
        <w:rPr>
          <w:rFonts w:ascii="Book Antiqua" w:eastAsia="Book Antiqua" w:hAnsi="Book Antiqua" w:cs="Book Antiqua"/>
          <w:sz w:val="24"/>
          <w:szCs w:val="24"/>
          <w:lang w:val="es-US"/>
        </w:rPr>
        <w:t xml:space="preserve">. Estas entidades, a su vez, deberán incluir dichos hogares dentro de </w:t>
      </w:r>
      <w:r w:rsidRPr="4DBCB155">
        <w:rPr>
          <w:rFonts w:ascii="Book Antiqua" w:eastAsia="Book Antiqua" w:hAnsi="Book Antiqua" w:cs="Book Antiqua"/>
          <w:sz w:val="24"/>
          <w:szCs w:val="24"/>
          <w:lang w:val="es-US"/>
        </w:rPr>
        <w:lastRenderedPageBreak/>
        <w:t>sus protocolos de restablecimiento prioritario, junto con hospitales, égidas y otras instalaciones críticas.</w:t>
      </w:r>
    </w:p>
    <w:p w14:paraId="5AF5ACC3" w14:textId="6D925102" w:rsidR="00AD28A5" w:rsidRPr="000D2B0B" w:rsidRDefault="63F60D48" w:rsidP="4DBCB155">
      <w:pPr>
        <w:spacing w:before="240" w:after="240"/>
        <w:jc w:val="both"/>
        <w:rPr>
          <w:lang w:val="es-PR"/>
        </w:rPr>
      </w:pPr>
      <w:r w:rsidRPr="4DBCB155">
        <w:rPr>
          <w:rFonts w:ascii="Book Antiqua" w:eastAsia="Book Antiqua" w:hAnsi="Book Antiqua" w:cs="Book Antiqua"/>
          <w:sz w:val="24"/>
          <w:szCs w:val="24"/>
          <w:lang w:val="es-US"/>
        </w:rPr>
        <w:t xml:space="preserve">El proyecto también impone a las agencias involucradas la obligación de adoptar o enmendar su reglamentación o protocolos de respuesta en un término no mayor de noventa (90) días a partir de la aprobación de la ley. Con ello se busca institucionalizar un mecanismo de coordinación </w:t>
      </w:r>
      <w:proofErr w:type="spellStart"/>
      <w:r w:rsidRPr="4DBCB155">
        <w:rPr>
          <w:rFonts w:ascii="Book Antiqua" w:eastAsia="Book Antiqua" w:hAnsi="Book Antiqua" w:cs="Book Antiqua"/>
          <w:sz w:val="24"/>
          <w:szCs w:val="24"/>
          <w:lang w:val="es-US"/>
        </w:rPr>
        <w:t>interagencial</w:t>
      </w:r>
      <w:proofErr w:type="spellEnd"/>
      <w:r w:rsidRPr="4DBCB155">
        <w:rPr>
          <w:rFonts w:ascii="Book Antiqua" w:eastAsia="Book Antiqua" w:hAnsi="Book Antiqua" w:cs="Book Antiqua"/>
          <w:sz w:val="24"/>
          <w:szCs w:val="24"/>
          <w:lang w:val="es-US"/>
        </w:rPr>
        <w:t xml:space="preserve"> permanente que garantice una respuesta ágil, equitativa y efectiva ante emergencias.</w:t>
      </w:r>
    </w:p>
    <w:p w14:paraId="4819C046" w14:textId="1893B404" w:rsidR="00AD28A5" w:rsidRPr="000D2B0B" w:rsidRDefault="63F60D48" w:rsidP="4DBCB155">
      <w:pPr>
        <w:spacing w:before="240" w:after="240"/>
        <w:jc w:val="both"/>
        <w:rPr>
          <w:lang w:val="es-PR"/>
        </w:rPr>
      </w:pPr>
      <w:r w:rsidRPr="4DBCB155">
        <w:rPr>
          <w:rFonts w:ascii="Book Antiqua" w:eastAsia="Book Antiqua" w:hAnsi="Book Antiqua" w:cs="Book Antiqua"/>
          <w:sz w:val="24"/>
          <w:szCs w:val="24"/>
          <w:lang w:val="es-US"/>
        </w:rPr>
        <w:t xml:space="preserve">Desde el punto de vista jurídico y operacional, la medida es cónsona con los principios establecidos en la </w:t>
      </w:r>
      <w:r w:rsidRPr="4DBCB155">
        <w:rPr>
          <w:rFonts w:ascii="Book Antiqua" w:eastAsia="Book Antiqua" w:hAnsi="Book Antiqua" w:cs="Book Antiqua"/>
          <w:b/>
          <w:bCs/>
          <w:sz w:val="24"/>
          <w:szCs w:val="24"/>
          <w:lang w:val="es-US"/>
        </w:rPr>
        <w:t>Ley 246-2011</w:t>
      </w:r>
      <w:r w:rsidRPr="4DBCB155">
        <w:rPr>
          <w:rFonts w:ascii="Book Antiqua" w:eastAsia="Book Antiqua" w:hAnsi="Book Antiqua" w:cs="Book Antiqua"/>
          <w:sz w:val="24"/>
          <w:szCs w:val="24"/>
          <w:lang w:val="es-US"/>
        </w:rPr>
        <w:t xml:space="preserve">, conocida como la </w:t>
      </w:r>
      <w:r w:rsidRPr="4DBCB155">
        <w:rPr>
          <w:rFonts w:ascii="Book Antiqua" w:eastAsia="Book Antiqua" w:hAnsi="Book Antiqua" w:cs="Book Antiqua"/>
          <w:i/>
          <w:iCs/>
          <w:sz w:val="24"/>
          <w:szCs w:val="24"/>
          <w:lang w:val="es-US"/>
        </w:rPr>
        <w:t>“Ley para la Seguridad, Bienestar y Protección de Menores”</w:t>
      </w:r>
      <w:r w:rsidRPr="4DBCB155">
        <w:rPr>
          <w:rFonts w:ascii="Book Antiqua" w:eastAsia="Book Antiqua" w:hAnsi="Book Antiqua" w:cs="Book Antiqua"/>
          <w:sz w:val="24"/>
          <w:szCs w:val="24"/>
          <w:lang w:val="es-US"/>
        </w:rPr>
        <w:t>, que impone al Estado la obligación de proveer un entorno seguro a todos los menores bajo su tutela. Asimismo, armoniza con la política pública de protección de poblaciones vulnerables y con los planes de manejo de emergencias del Gobierno de Puerto Rico.</w:t>
      </w:r>
    </w:p>
    <w:p w14:paraId="2093013D" w14:textId="6FF82086" w:rsidR="00AD28A5" w:rsidRPr="000D2B0B" w:rsidRDefault="63F60D48" w:rsidP="4DBCB155">
      <w:pPr>
        <w:spacing w:before="240" w:after="240"/>
        <w:jc w:val="both"/>
        <w:rPr>
          <w:lang w:val="es-PR"/>
        </w:rPr>
      </w:pPr>
      <w:r w:rsidRPr="4DBCB155">
        <w:rPr>
          <w:rFonts w:ascii="Book Antiqua" w:eastAsia="Book Antiqua" w:hAnsi="Book Antiqua" w:cs="Book Antiqua"/>
          <w:sz w:val="24"/>
          <w:szCs w:val="24"/>
          <w:lang w:val="es-US"/>
        </w:rPr>
        <w:t>La iniciativa no crea nuevas estructuras gubernamentales ni conlleva un impacto presupuestario significativo, ya que se limita a integrar a los hogares sustitutos y de transición dentro de los sistemas y protocolos de restablecimiento ya existentes. Por tanto, su implantación puede lograrse mediante ajustes administrativos y reglamentarios coordinados entre las agencias concernidas.</w:t>
      </w:r>
    </w:p>
    <w:p w14:paraId="4FB58C16" w14:textId="5B265925" w:rsidR="00AD28A5" w:rsidRPr="000D2B0B" w:rsidRDefault="63F60D48" w:rsidP="4DBCB155">
      <w:pPr>
        <w:spacing w:before="240" w:after="240"/>
        <w:jc w:val="both"/>
        <w:rPr>
          <w:lang w:val="es-PR"/>
        </w:rPr>
      </w:pPr>
      <w:r w:rsidRPr="4DBCB155">
        <w:rPr>
          <w:rFonts w:ascii="Book Antiqua" w:eastAsia="Book Antiqua" w:hAnsi="Book Antiqua" w:cs="Book Antiqua"/>
          <w:sz w:val="24"/>
          <w:szCs w:val="24"/>
          <w:lang w:val="es-US"/>
        </w:rPr>
        <w:t>En suma, el P. de la C. 834 constituye una medida de carácter social y humanitario que refuerza el deber del Estado de garantizar condiciones adecuadas y seguras para los menores bajo su custodia, especialmente en los momentos de mayor vulnerabilidad colectiva.</w:t>
      </w:r>
    </w:p>
    <w:p w14:paraId="5636A895" w14:textId="651AC99E" w:rsidR="00004154" w:rsidRPr="00AD28A5" w:rsidRDefault="000B7AD7" w:rsidP="00AD28A5">
      <w:pPr>
        <w:spacing w:after="0"/>
        <w:ind w:firstLine="720"/>
        <w:jc w:val="center"/>
        <w:rPr>
          <w:rFonts w:ascii="Book Antiqua" w:eastAsia="Book Antiqua" w:hAnsi="Book Antiqua" w:cs="Book Antiqua"/>
          <w:b/>
          <w:bCs/>
          <w:sz w:val="24"/>
          <w:szCs w:val="24"/>
          <w:lang w:val="es-PR"/>
        </w:rPr>
      </w:pPr>
      <w:r w:rsidRPr="00AD28A5">
        <w:rPr>
          <w:rFonts w:ascii="Book Antiqua" w:eastAsia="Book Antiqua" w:hAnsi="Book Antiqua" w:cs="Book Antiqua"/>
          <w:b/>
          <w:bCs/>
          <w:sz w:val="24"/>
          <w:szCs w:val="24"/>
          <w:lang w:val="es-PR"/>
        </w:rPr>
        <w:t>RESUMEN DE PONENCIAS</w:t>
      </w:r>
    </w:p>
    <w:p w14:paraId="60F1C08D" w14:textId="64EABE7A" w:rsidR="00004154" w:rsidRDefault="00AB3BAE" w:rsidP="00AB3BAE">
      <w:pPr>
        <w:spacing w:after="0"/>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PR"/>
        </w:rPr>
        <w:t>A continuación, se exponen los comentarios y recomendaciones de las entidades participantes, los cuales han servido de base para la evaluación legislativa de esta Comisión.</w:t>
      </w:r>
      <w:r w:rsidRPr="00AB3BAE">
        <w:rPr>
          <w:rFonts w:ascii="Book Antiqua" w:eastAsia="Book Antiqua" w:hAnsi="Book Antiqua" w:cs="Book Antiqua"/>
          <w:sz w:val="24"/>
          <w:szCs w:val="24"/>
          <w:lang w:val="es-US"/>
        </w:rPr>
        <w:t> </w:t>
      </w:r>
    </w:p>
    <w:p w14:paraId="5CE55A22" w14:textId="77777777" w:rsidR="00020CFB" w:rsidRPr="00AB3BAE" w:rsidRDefault="00020CFB" w:rsidP="00AB3BAE">
      <w:pPr>
        <w:spacing w:after="0" w:line="240" w:lineRule="auto"/>
        <w:rPr>
          <w:rFonts w:ascii="Book Antiqua" w:eastAsia="Book Antiqua" w:hAnsi="Book Antiqua" w:cs="Book Antiqua"/>
          <w:b/>
          <w:bCs/>
          <w:sz w:val="24"/>
          <w:szCs w:val="24"/>
          <w:lang w:val="es-PR"/>
        </w:rPr>
      </w:pPr>
    </w:p>
    <w:p w14:paraId="6A55D3E9" w14:textId="11C6BFE9" w:rsidR="00AB3BAE" w:rsidRDefault="1A10848D" w:rsidP="4DBCB155">
      <w:pPr>
        <w:pStyle w:val="ListParagraph"/>
        <w:spacing w:after="0"/>
        <w:ind w:left="0"/>
        <w:jc w:val="center"/>
        <w:rPr>
          <w:rFonts w:ascii="Book Antiqua" w:eastAsia="Book Antiqua" w:hAnsi="Book Antiqua" w:cs="Book Antiqua"/>
          <w:b/>
          <w:bCs/>
          <w:sz w:val="24"/>
          <w:szCs w:val="24"/>
          <w:lang w:val="es-US"/>
        </w:rPr>
      </w:pPr>
      <w:r w:rsidRPr="4DBCB155">
        <w:rPr>
          <w:rFonts w:ascii="Book Antiqua" w:eastAsia="Book Antiqua" w:hAnsi="Book Antiqua" w:cs="Book Antiqua"/>
          <w:b/>
          <w:bCs/>
          <w:sz w:val="24"/>
          <w:szCs w:val="24"/>
          <w:lang w:val="es-US"/>
        </w:rPr>
        <w:t>LUMA Energy</w:t>
      </w:r>
      <w:r w:rsidR="1B53D550" w:rsidRPr="4DBCB155">
        <w:rPr>
          <w:rFonts w:ascii="Book Antiqua" w:eastAsia="Book Antiqua" w:hAnsi="Book Antiqua" w:cs="Book Antiqua"/>
          <w:b/>
          <w:bCs/>
          <w:sz w:val="24"/>
          <w:szCs w:val="24"/>
          <w:lang w:val="es-US"/>
        </w:rPr>
        <w:t>, LLC</w:t>
      </w:r>
    </w:p>
    <w:p w14:paraId="3F8065DB" w14:textId="56AED361" w:rsidR="00AB3BAE" w:rsidRDefault="2E399AEC" w:rsidP="4DBCB155">
      <w:pPr>
        <w:spacing w:before="240" w:after="240" w:line="240" w:lineRule="auto"/>
        <w:jc w:val="both"/>
        <w:rPr>
          <w:rFonts w:ascii="Book Antiqua" w:eastAsia="Book Antiqua" w:hAnsi="Book Antiqua" w:cs="Book Antiqua"/>
          <w:sz w:val="24"/>
          <w:szCs w:val="24"/>
          <w:lang w:val="es-US"/>
        </w:rPr>
      </w:pPr>
      <w:r w:rsidRPr="4DBCB155">
        <w:rPr>
          <w:rFonts w:ascii="Book Antiqua" w:eastAsia="Book Antiqua" w:hAnsi="Book Antiqua" w:cs="Book Antiqua"/>
          <w:sz w:val="24"/>
          <w:szCs w:val="24"/>
          <w:lang w:val="es-US"/>
        </w:rPr>
        <w:t xml:space="preserve">En cumplimiento con la convocatoria emitida por esta Comisión, </w:t>
      </w:r>
      <w:r w:rsidRPr="4DBCB155">
        <w:rPr>
          <w:rFonts w:ascii="Book Antiqua" w:eastAsia="Book Antiqua" w:hAnsi="Book Antiqua" w:cs="Book Antiqua"/>
          <w:b/>
          <w:bCs/>
          <w:sz w:val="24"/>
          <w:szCs w:val="24"/>
          <w:lang w:val="es-US"/>
        </w:rPr>
        <w:t>LUMA Energy, LLC</w:t>
      </w:r>
      <w:r w:rsidRPr="4DBCB155">
        <w:rPr>
          <w:rFonts w:ascii="Book Antiqua" w:eastAsia="Book Antiqua" w:hAnsi="Book Antiqua" w:cs="Book Antiqua"/>
          <w:sz w:val="24"/>
          <w:szCs w:val="24"/>
          <w:lang w:val="es-US"/>
        </w:rPr>
        <w:t xml:space="preserve"> compareció a la vista pública y presentó su </w:t>
      </w:r>
      <w:r w:rsidRPr="4DBCB155">
        <w:rPr>
          <w:rFonts w:ascii="Book Antiqua" w:eastAsia="Book Antiqua" w:hAnsi="Book Antiqua" w:cs="Book Antiqua"/>
          <w:i/>
          <w:iCs/>
          <w:sz w:val="24"/>
          <w:szCs w:val="24"/>
          <w:lang w:val="es-US"/>
        </w:rPr>
        <w:t>Memorial Explicativo</w:t>
      </w:r>
      <w:r w:rsidRPr="4DBCB155">
        <w:rPr>
          <w:rFonts w:ascii="Book Antiqua" w:eastAsia="Book Antiqua" w:hAnsi="Book Antiqua" w:cs="Book Antiqua"/>
          <w:sz w:val="24"/>
          <w:szCs w:val="24"/>
          <w:lang w:val="es-US"/>
        </w:rPr>
        <w:t xml:space="preserve"> sobre el </w:t>
      </w:r>
      <w:r w:rsidRPr="4DBCB155">
        <w:rPr>
          <w:rFonts w:ascii="Book Antiqua" w:eastAsia="Book Antiqua" w:hAnsi="Book Antiqua" w:cs="Book Antiqua"/>
          <w:b/>
          <w:bCs/>
          <w:sz w:val="24"/>
          <w:szCs w:val="24"/>
          <w:lang w:val="es-US"/>
        </w:rPr>
        <w:t>Proyecto de la Cámara 834</w:t>
      </w:r>
      <w:r w:rsidRPr="4DBCB155">
        <w:rPr>
          <w:rFonts w:ascii="Book Antiqua" w:eastAsia="Book Antiqua" w:hAnsi="Book Antiqua" w:cs="Book Antiqua"/>
          <w:sz w:val="24"/>
          <w:szCs w:val="24"/>
          <w:lang w:val="es-US"/>
        </w:rPr>
        <w:t xml:space="preserve">, medida que propone la creación de la </w:t>
      </w:r>
      <w:r w:rsidRPr="4DBCB155">
        <w:rPr>
          <w:rFonts w:ascii="Book Antiqua" w:eastAsia="Book Antiqua" w:hAnsi="Book Antiqua" w:cs="Book Antiqua"/>
          <w:i/>
          <w:iCs/>
          <w:sz w:val="24"/>
          <w:szCs w:val="24"/>
          <w:lang w:val="es-US"/>
        </w:rPr>
        <w:t>“Ley de Prioridad en el Restablecimiento de Servi</w:t>
      </w:r>
      <w:r w:rsidR="6FAB7B09" w:rsidRPr="4DBCB155">
        <w:rPr>
          <w:rFonts w:ascii="Book Antiqua" w:eastAsia="Book Antiqua" w:hAnsi="Book Antiqua" w:cs="Book Antiqua"/>
          <w:i/>
          <w:iCs/>
          <w:sz w:val="24"/>
          <w:szCs w:val="24"/>
          <w:lang w:val="es-US"/>
        </w:rPr>
        <w:t>cios</w:t>
      </w:r>
      <w:r w:rsidRPr="4DBCB155">
        <w:rPr>
          <w:rFonts w:ascii="Book Antiqua" w:eastAsia="Book Antiqua" w:hAnsi="Book Antiqua" w:cs="Book Antiqua"/>
          <w:i/>
          <w:iCs/>
          <w:sz w:val="24"/>
          <w:szCs w:val="24"/>
          <w:lang w:val="es-US"/>
        </w:rPr>
        <w:t xml:space="preserve"> Esenciales para Hogares Sustitutos y de Transición”</w:t>
      </w:r>
      <w:r w:rsidRPr="4DBCB155">
        <w:rPr>
          <w:rFonts w:ascii="Book Antiqua" w:eastAsia="Book Antiqua" w:hAnsi="Book Antiqua" w:cs="Book Antiqua"/>
          <w:sz w:val="24"/>
          <w:szCs w:val="24"/>
          <w:lang w:val="es-US"/>
        </w:rPr>
        <w:t>. La corporación manifestó su respaldo al propósito de la legislación y reafirmó su compromiso con la planificación, respuesta y restauración del servicio eléctrico ante emergencias, conforme al Plan de Respuesta a Emergencias (ERP) y al Acuerdo de Operación y Mantenimiento del Sistema de Transmisión y Distribución de Puerto Rico (T&amp;D OMA).</w:t>
      </w:r>
    </w:p>
    <w:p w14:paraId="082B31A6" w14:textId="201B88FD" w:rsidR="00AB3BAE" w:rsidRDefault="2E399AEC" w:rsidP="4DBCB155">
      <w:pPr>
        <w:spacing w:before="240" w:after="240" w:line="240" w:lineRule="auto"/>
        <w:jc w:val="both"/>
        <w:rPr>
          <w:rFonts w:ascii="Book Antiqua" w:eastAsia="Book Antiqua" w:hAnsi="Book Antiqua" w:cs="Book Antiqua"/>
          <w:sz w:val="24"/>
          <w:szCs w:val="24"/>
          <w:lang w:val="es-US"/>
        </w:rPr>
      </w:pPr>
      <w:r w:rsidRPr="4DBCB155">
        <w:rPr>
          <w:rFonts w:ascii="Book Antiqua" w:eastAsia="Book Antiqua" w:hAnsi="Book Antiqua" w:cs="Book Antiqua"/>
          <w:sz w:val="24"/>
          <w:szCs w:val="24"/>
          <w:lang w:val="es-US"/>
        </w:rPr>
        <w:lastRenderedPageBreak/>
        <w:t xml:space="preserve">LUMA explicó que su sistema de priorización de restablecimiento de energía se basa en las directrices federales de la Agencia de Seguridad de Infraestructura y Ciberseguridad (CISA) y la Agencia Federal para el Manejo de Emergencias (FEMA), las cuales establecen jerarquías de infraestructura crítica conforme a las denominadas </w:t>
      </w:r>
      <w:r w:rsidRPr="4DBCB155">
        <w:rPr>
          <w:rFonts w:ascii="Book Antiqua" w:eastAsia="Book Antiqua" w:hAnsi="Book Antiqua" w:cs="Book Antiqua"/>
          <w:i/>
          <w:iCs/>
          <w:sz w:val="24"/>
          <w:szCs w:val="24"/>
          <w:lang w:val="es-US"/>
        </w:rPr>
        <w:t>“Líneas de Vida Comunitarias Críticas”</w:t>
      </w:r>
      <w:r w:rsidRPr="4DBCB155">
        <w:rPr>
          <w:rFonts w:ascii="Book Antiqua" w:eastAsia="Book Antiqua" w:hAnsi="Book Antiqua" w:cs="Book Antiqua"/>
          <w:sz w:val="24"/>
          <w:szCs w:val="24"/>
          <w:lang w:val="es-US"/>
        </w:rPr>
        <w:t>. Este marco permite atender con prioridad aquellas instalaciones indispensables para la salud, seguridad y funcionamiento social, tales como hospitales, égidas, refugios y sistemas de agua.</w:t>
      </w:r>
    </w:p>
    <w:p w14:paraId="641689F7" w14:textId="4C9C1DF7" w:rsidR="00AB3BAE" w:rsidRDefault="2E399AEC" w:rsidP="4DBCB155">
      <w:pPr>
        <w:spacing w:before="240" w:after="240" w:line="240" w:lineRule="auto"/>
        <w:jc w:val="both"/>
        <w:rPr>
          <w:rFonts w:ascii="Book Antiqua" w:eastAsia="Book Antiqua" w:hAnsi="Book Antiqua" w:cs="Book Antiqua"/>
          <w:sz w:val="24"/>
          <w:szCs w:val="24"/>
          <w:lang w:val="es-US"/>
        </w:rPr>
      </w:pPr>
      <w:r w:rsidRPr="4DBCB155">
        <w:rPr>
          <w:rFonts w:ascii="Book Antiqua" w:eastAsia="Book Antiqua" w:hAnsi="Book Antiqua" w:cs="Book Antiqua"/>
          <w:sz w:val="24"/>
          <w:szCs w:val="24"/>
          <w:lang w:val="es-US"/>
        </w:rPr>
        <w:t>De igual forma, LUMA destacó su coordinación con el Negociado para el Manejo de Emergencias y Administración de Desastres (NMEAD) y con las Funciones de Apoyo en Emergencias (ESF), especialmente la ESF 6: Cuidado Masivo, que agrupa agencias como el Departamento de la Familia, el Departamento de la Vivienda, el Departamento de Salud, ASSMCA y otras entidades. Mediante este mecanismo, se canalizan las prioridades de restablecimiento de servicios durante eventos de emergencia a través de una estructura de mando unificado.</w:t>
      </w:r>
    </w:p>
    <w:p w14:paraId="623A9655" w14:textId="69846831" w:rsidR="00AB3BAE" w:rsidRDefault="2E399AEC" w:rsidP="4DBCB155">
      <w:pPr>
        <w:spacing w:before="240" w:after="240" w:line="240" w:lineRule="auto"/>
        <w:jc w:val="both"/>
        <w:rPr>
          <w:rFonts w:ascii="Book Antiqua" w:eastAsia="Book Antiqua" w:hAnsi="Book Antiqua" w:cs="Book Antiqua"/>
          <w:sz w:val="24"/>
          <w:szCs w:val="24"/>
          <w:lang w:val="es-US"/>
        </w:rPr>
      </w:pPr>
      <w:r w:rsidRPr="4DBCB155">
        <w:rPr>
          <w:rFonts w:ascii="Book Antiqua" w:eastAsia="Book Antiqua" w:hAnsi="Book Antiqua" w:cs="Book Antiqua"/>
          <w:sz w:val="24"/>
          <w:szCs w:val="24"/>
          <w:lang w:val="es-US"/>
        </w:rPr>
        <w:t>La empresa coincidió con la intención legislativa de reconocer a los hogares sustitutos y de transición como facilidades de atención prioritaria, al nivel de los hospitales y centros de envejecientes. No obstante, señaló la necesidad de armonizar la medida con la legislación vigente y de fortalecer los mecanismos de preparación del Departamento de la Familia ante situaciones de emergencia.</w:t>
      </w:r>
    </w:p>
    <w:p w14:paraId="48C00E4C" w14:textId="7AB34E11" w:rsidR="00AB3BAE" w:rsidRDefault="2E399AEC" w:rsidP="4DBCB155">
      <w:pPr>
        <w:pStyle w:val="Heading3"/>
        <w:spacing w:before="281" w:after="281" w:line="240" w:lineRule="auto"/>
        <w:rPr>
          <w:rFonts w:ascii="Book Antiqua" w:eastAsia="Book Antiqua" w:hAnsi="Book Antiqua" w:cs="Book Antiqua"/>
          <w:b/>
          <w:bCs/>
          <w:color w:val="auto"/>
          <w:lang w:val="es-US"/>
        </w:rPr>
      </w:pPr>
      <w:r w:rsidRPr="4DBCB155">
        <w:rPr>
          <w:rFonts w:ascii="Book Antiqua" w:eastAsia="Book Antiqua" w:hAnsi="Book Antiqua" w:cs="Book Antiqua"/>
          <w:b/>
          <w:bCs/>
          <w:color w:val="auto"/>
          <w:lang w:val="es-US"/>
        </w:rPr>
        <w:t>ENMIENDAS PRESENTADAS</w:t>
      </w:r>
    </w:p>
    <w:p w14:paraId="660F4286" w14:textId="45DF8F25" w:rsidR="00AB3BAE" w:rsidRPr="000D2B0B" w:rsidRDefault="2E399AEC" w:rsidP="4DBCB155">
      <w:pPr>
        <w:spacing w:before="240" w:after="240" w:line="240" w:lineRule="auto"/>
        <w:jc w:val="both"/>
        <w:rPr>
          <w:rFonts w:ascii="Book Antiqua" w:eastAsia="Book Antiqua" w:hAnsi="Book Antiqua" w:cs="Book Antiqua"/>
          <w:sz w:val="24"/>
          <w:szCs w:val="24"/>
          <w:lang w:val="es-US"/>
        </w:rPr>
      </w:pPr>
      <w:r w:rsidRPr="4DBCB155">
        <w:rPr>
          <w:rFonts w:ascii="Book Antiqua" w:eastAsia="Book Antiqua" w:hAnsi="Book Antiqua" w:cs="Book Antiqua"/>
          <w:sz w:val="24"/>
          <w:szCs w:val="24"/>
          <w:lang w:val="es-US"/>
        </w:rPr>
        <w:t xml:space="preserve">Durante el proceso de evaluación </w:t>
      </w:r>
      <w:r w:rsidRPr="000D2B0B">
        <w:rPr>
          <w:rFonts w:ascii="Book Antiqua" w:eastAsia="Book Antiqua" w:hAnsi="Book Antiqua" w:cs="Book Antiqua"/>
          <w:sz w:val="24"/>
          <w:szCs w:val="24"/>
          <w:lang w:val="es-US"/>
        </w:rPr>
        <w:t xml:space="preserve">y vista pública, </w:t>
      </w:r>
      <w:r w:rsidRPr="000D2B0B">
        <w:rPr>
          <w:rFonts w:ascii="Book Antiqua" w:eastAsia="Book Antiqua" w:hAnsi="Book Antiqua" w:cs="Book Antiqua"/>
          <w:b/>
          <w:bCs/>
          <w:sz w:val="24"/>
          <w:szCs w:val="24"/>
          <w:lang w:val="es-US"/>
        </w:rPr>
        <w:t>LUMA Energy</w:t>
      </w:r>
      <w:r w:rsidRPr="000D2B0B">
        <w:rPr>
          <w:rFonts w:ascii="Book Antiqua" w:eastAsia="Book Antiqua" w:hAnsi="Book Antiqua" w:cs="Book Antiqua"/>
          <w:sz w:val="24"/>
          <w:szCs w:val="24"/>
          <w:lang w:val="es-US"/>
        </w:rPr>
        <w:t xml:space="preserve"> presentó </w:t>
      </w:r>
      <w:r w:rsidRPr="000D2B0B">
        <w:rPr>
          <w:rFonts w:ascii="Book Antiqua" w:eastAsia="Book Antiqua" w:hAnsi="Book Antiqua" w:cs="Book Antiqua"/>
          <w:b/>
          <w:bCs/>
          <w:sz w:val="24"/>
          <w:szCs w:val="24"/>
          <w:lang w:val="es-US"/>
        </w:rPr>
        <w:t>tres enmiendas principales</w:t>
      </w:r>
      <w:r w:rsidRPr="000D2B0B">
        <w:rPr>
          <w:rFonts w:ascii="Book Antiqua" w:eastAsia="Book Antiqua" w:hAnsi="Book Antiqua" w:cs="Book Antiqua"/>
          <w:sz w:val="24"/>
          <w:szCs w:val="24"/>
          <w:lang w:val="es-US"/>
        </w:rPr>
        <w:t xml:space="preserve"> a la medida, encaminadas a mejorar su precisión legal y eficacia operativa:</w:t>
      </w:r>
    </w:p>
    <w:p w14:paraId="787B0BD4" w14:textId="50B7592B" w:rsidR="00AB3BAE" w:rsidRPr="000D2B0B" w:rsidRDefault="2E399AEC" w:rsidP="4DBCB155">
      <w:pPr>
        <w:pStyle w:val="ListParagraph"/>
        <w:numPr>
          <w:ilvl w:val="0"/>
          <w:numId w:val="4"/>
        </w:numPr>
        <w:spacing w:before="240" w:after="240" w:line="240" w:lineRule="auto"/>
        <w:jc w:val="both"/>
        <w:rPr>
          <w:rFonts w:ascii="Book Antiqua" w:eastAsia="Book Antiqua" w:hAnsi="Book Antiqua" w:cs="Book Antiqua"/>
          <w:sz w:val="24"/>
          <w:szCs w:val="24"/>
          <w:lang w:val="es-US"/>
        </w:rPr>
      </w:pPr>
      <w:r w:rsidRPr="000D2B0B">
        <w:rPr>
          <w:rFonts w:ascii="Book Antiqua" w:eastAsia="Book Antiqua" w:hAnsi="Book Antiqua" w:cs="Book Antiqua"/>
          <w:b/>
          <w:bCs/>
          <w:sz w:val="24"/>
          <w:szCs w:val="24"/>
          <w:lang w:val="es-US"/>
        </w:rPr>
        <w:t>Sustitución de Terminología Legal:</w:t>
      </w:r>
      <w:r w:rsidR="00AB3BAE" w:rsidRPr="000D2B0B">
        <w:rPr>
          <w:lang w:val="es-PR"/>
        </w:rPr>
        <w:br/>
      </w:r>
      <w:r w:rsidRPr="000D2B0B">
        <w:rPr>
          <w:rFonts w:ascii="Book Antiqua" w:eastAsia="Book Antiqua" w:hAnsi="Book Antiqua" w:cs="Book Antiqua"/>
          <w:sz w:val="24"/>
          <w:szCs w:val="24"/>
          <w:lang w:val="es-US"/>
        </w:rPr>
        <w:t xml:space="preserve">LUMA recomendó sustituir en el texto de la medida los términos </w:t>
      </w:r>
      <w:r w:rsidRPr="000D2B0B">
        <w:rPr>
          <w:rFonts w:ascii="Book Antiqua" w:eastAsia="Book Antiqua" w:hAnsi="Book Antiqua" w:cs="Book Antiqua"/>
          <w:i/>
          <w:iCs/>
          <w:sz w:val="24"/>
          <w:szCs w:val="24"/>
          <w:lang w:val="es-US"/>
        </w:rPr>
        <w:t>“hogar sustituto”</w:t>
      </w:r>
      <w:r w:rsidRPr="000D2B0B">
        <w:rPr>
          <w:rFonts w:ascii="Book Antiqua" w:eastAsia="Book Antiqua" w:hAnsi="Book Antiqua" w:cs="Book Antiqua"/>
          <w:sz w:val="24"/>
          <w:szCs w:val="24"/>
          <w:lang w:val="es-US"/>
        </w:rPr>
        <w:t xml:space="preserve"> y </w:t>
      </w:r>
      <w:r w:rsidRPr="000D2B0B">
        <w:rPr>
          <w:rFonts w:ascii="Book Antiqua" w:eastAsia="Book Antiqua" w:hAnsi="Book Antiqua" w:cs="Book Antiqua"/>
          <w:i/>
          <w:iCs/>
          <w:sz w:val="24"/>
          <w:szCs w:val="24"/>
          <w:lang w:val="es-US"/>
        </w:rPr>
        <w:t>“hogar de transición”</w:t>
      </w:r>
      <w:r w:rsidRPr="000D2B0B">
        <w:rPr>
          <w:rFonts w:ascii="Book Antiqua" w:eastAsia="Book Antiqua" w:hAnsi="Book Antiqua" w:cs="Book Antiqua"/>
          <w:sz w:val="24"/>
          <w:szCs w:val="24"/>
          <w:lang w:val="es-US"/>
        </w:rPr>
        <w:t xml:space="preserve"> por </w:t>
      </w:r>
      <w:r w:rsidRPr="000D2B0B">
        <w:rPr>
          <w:rFonts w:ascii="Book Antiqua" w:eastAsia="Book Antiqua" w:hAnsi="Book Antiqua" w:cs="Book Antiqua"/>
          <w:i/>
          <w:iCs/>
          <w:sz w:val="24"/>
          <w:szCs w:val="24"/>
          <w:lang w:val="es-US"/>
        </w:rPr>
        <w:t>“establecimiento residencial”</w:t>
      </w:r>
      <w:r w:rsidRPr="000D2B0B">
        <w:rPr>
          <w:rFonts w:ascii="Book Antiqua" w:eastAsia="Book Antiqua" w:hAnsi="Book Antiqua" w:cs="Book Antiqua"/>
          <w:sz w:val="24"/>
          <w:szCs w:val="24"/>
          <w:lang w:val="es-US"/>
        </w:rPr>
        <w:t xml:space="preserve"> y </w:t>
      </w:r>
      <w:r w:rsidRPr="000D2B0B">
        <w:rPr>
          <w:rFonts w:ascii="Book Antiqua" w:eastAsia="Book Antiqua" w:hAnsi="Book Antiqua" w:cs="Book Antiqua"/>
          <w:i/>
          <w:iCs/>
          <w:sz w:val="24"/>
          <w:szCs w:val="24"/>
          <w:lang w:val="es-US"/>
        </w:rPr>
        <w:t>“hogar de crianza”</w:t>
      </w:r>
      <w:r w:rsidRPr="000D2B0B">
        <w:rPr>
          <w:rFonts w:ascii="Book Antiqua" w:eastAsia="Book Antiqua" w:hAnsi="Book Antiqua" w:cs="Book Antiqua"/>
          <w:sz w:val="24"/>
          <w:szCs w:val="24"/>
          <w:lang w:val="es-US"/>
        </w:rPr>
        <w:t xml:space="preserve">, conforme a las definiciones de la Ley 57-2023, conocida como la </w:t>
      </w:r>
      <w:r w:rsidRPr="000D2B0B">
        <w:rPr>
          <w:rFonts w:ascii="Book Antiqua" w:eastAsia="Book Antiqua" w:hAnsi="Book Antiqua" w:cs="Book Antiqua"/>
          <w:i/>
          <w:iCs/>
          <w:sz w:val="24"/>
          <w:szCs w:val="24"/>
          <w:lang w:val="es-US"/>
        </w:rPr>
        <w:t>“Ley para la Prevención del Maltrato, Preservación de la Unidad Familiar y para la Seguridad, Bienestar y Protección de los Menores”</w:t>
      </w:r>
      <w:r w:rsidRPr="000D2B0B">
        <w:rPr>
          <w:rFonts w:ascii="Book Antiqua" w:eastAsia="Book Antiqua" w:hAnsi="Book Antiqua" w:cs="Book Antiqua"/>
          <w:sz w:val="24"/>
          <w:szCs w:val="24"/>
          <w:lang w:val="es-US"/>
        </w:rPr>
        <w:t>. Esta enmienda busca actualizar el lenguaje legal del proyecto a la normativa vigente, considerando la derogación de la antigua Ley 246-2011.</w:t>
      </w:r>
    </w:p>
    <w:p w14:paraId="536B9A8B" w14:textId="5144FB8C" w:rsidR="00AB3BAE" w:rsidRPr="000D2B0B" w:rsidRDefault="2E399AEC" w:rsidP="4DBCB155">
      <w:pPr>
        <w:pStyle w:val="ListParagraph"/>
        <w:numPr>
          <w:ilvl w:val="0"/>
          <w:numId w:val="4"/>
        </w:numPr>
        <w:spacing w:before="240" w:after="240" w:line="240" w:lineRule="auto"/>
        <w:jc w:val="both"/>
        <w:rPr>
          <w:rFonts w:ascii="Book Antiqua" w:eastAsia="Book Antiqua" w:hAnsi="Book Antiqua" w:cs="Book Antiqua"/>
          <w:sz w:val="24"/>
          <w:szCs w:val="24"/>
          <w:lang w:val="es-US"/>
        </w:rPr>
      </w:pPr>
      <w:r w:rsidRPr="000D2B0B">
        <w:rPr>
          <w:rFonts w:ascii="Book Antiqua" w:eastAsia="Book Antiqua" w:hAnsi="Book Antiqua" w:cs="Book Antiqua"/>
          <w:b/>
          <w:bCs/>
          <w:sz w:val="24"/>
          <w:szCs w:val="24"/>
          <w:lang w:val="es-US"/>
        </w:rPr>
        <w:t>Verificación de Generadores Eléctricos:</w:t>
      </w:r>
      <w:r w:rsidR="00AB3BAE" w:rsidRPr="000D2B0B">
        <w:rPr>
          <w:lang w:val="es-PR"/>
        </w:rPr>
        <w:br/>
      </w:r>
      <w:r w:rsidRPr="000D2B0B">
        <w:rPr>
          <w:rFonts w:ascii="Book Antiqua" w:eastAsia="Book Antiqua" w:hAnsi="Book Antiqua" w:cs="Book Antiqua"/>
          <w:sz w:val="24"/>
          <w:szCs w:val="24"/>
          <w:lang w:val="es-US"/>
        </w:rPr>
        <w:t>Sugirió que se requiera al Departamento de la Familia certificar que todos los establecimientos residenciales y hogares de crianza cuenten con generadores eléctricos funcionales y que estos reciban el mantenimiento adecuado, conforme al Reglamento 8860. Esta medida preventiva garantizaría la continuidad de los servicios esenciales a los menores bajo custodia del Estado durante emergencias prolongadas.</w:t>
      </w:r>
    </w:p>
    <w:p w14:paraId="33509224" w14:textId="51581F68" w:rsidR="00AB3BAE" w:rsidRPr="000D2B0B" w:rsidRDefault="00AB3BAE" w:rsidP="4DBCB155">
      <w:pPr>
        <w:pStyle w:val="ListParagraph"/>
        <w:spacing w:before="240" w:after="240" w:line="240" w:lineRule="auto"/>
        <w:rPr>
          <w:rFonts w:ascii="Book Antiqua" w:eastAsia="Book Antiqua" w:hAnsi="Book Antiqua" w:cs="Book Antiqua"/>
          <w:sz w:val="24"/>
          <w:szCs w:val="24"/>
          <w:lang w:val="es-US"/>
        </w:rPr>
      </w:pPr>
    </w:p>
    <w:p w14:paraId="49BC5E84" w14:textId="7A843186" w:rsidR="00AB3BAE" w:rsidRPr="000D2B0B" w:rsidRDefault="2E399AEC" w:rsidP="4DBCB155">
      <w:pPr>
        <w:pStyle w:val="ListParagraph"/>
        <w:numPr>
          <w:ilvl w:val="0"/>
          <w:numId w:val="4"/>
        </w:numPr>
        <w:spacing w:before="240" w:after="240" w:line="240" w:lineRule="auto"/>
        <w:jc w:val="both"/>
        <w:rPr>
          <w:rFonts w:ascii="Book Antiqua" w:eastAsia="Book Antiqua" w:hAnsi="Book Antiqua" w:cs="Book Antiqua"/>
          <w:sz w:val="24"/>
          <w:szCs w:val="24"/>
          <w:lang w:val="es-US"/>
        </w:rPr>
      </w:pPr>
      <w:r w:rsidRPr="000D2B0B">
        <w:rPr>
          <w:rFonts w:ascii="Book Antiqua" w:eastAsia="Book Antiqua" w:hAnsi="Book Antiqua" w:cs="Book Antiqua"/>
          <w:b/>
          <w:bCs/>
          <w:sz w:val="24"/>
          <w:szCs w:val="24"/>
          <w:lang w:val="es-US"/>
        </w:rPr>
        <w:lastRenderedPageBreak/>
        <w:t>Integración Formal al Plan Estatal de Manejo de Emergencias:</w:t>
      </w:r>
      <w:r w:rsidR="00AB3BAE" w:rsidRPr="000D2B0B">
        <w:rPr>
          <w:lang w:val="es-PR"/>
        </w:rPr>
        <w:br/>
      </w:r>
      <w:r w:rsidRPr="000D2B0B">
        <w:rPr>
          <w:rFonts w:ascii="Book Antiqua" w:eastAsia="Book Antiqua" w:hAnsi="Book Antiqua" w:cs="Book Antiqua"/>
          <w:sz w:val="24"/>
          <w:szCs w:val="24"/>
          <w:lang w:val="es-US"/>
        </w:rPr>
        <w:t>Propuso que el Departamento de la Familia someta anualmente al NMEAD un listado actualizado de los establecimientos residenciales y hogares de crianza licenciados, a fin de que sean incluidos dentro del Plan Estatal para el Manejo de Emergencias y priorizados a través de la ESF 6 (Cuidado Masivo), conforme al Anejo P del plan estatal.</w:t>
      </w:r>
    </w:p>
    <w:p w14:paraId="6672945E" w14:textId="30DB0D14" w:rsidR="00AB3BAE" w:rsidRPr="000D2B0B" w:rsidRDefault="2E399AEC" w:rsidP="4DBCB155">
      <w:pPr>
        <w:spacing w:before="240" w:after="240" w:line="240" w:lineRule="auto"/>
        <w:jc w:val="both"/>
        <w:rPr>
          <w:rFonts w:ascii="Book Antiqua" w:eastAsia="Book Antiqua" w:hAnsi="Book Antiqua" w:cs="Book Antiqua"/>
          <w:sz w:val="24"/>
          <w:szCs w:val="24"/>
          <w:lang w:val="es-US"/>
        </w:rPr>
      </w:pPr>
      <w:r w:rsidRPr="000D2B0B">
        <w:rPr>
          <w:rFonts w:ascii="Book Antiqua" w:eastAsia="Book Antiqua" w:hAnsi="Book Antiqua" w:cs="Book Antiqua"/>
          <w:sz w:val="24"/>
          <w:szCs w:val="24"/>
          <w:lang w:val="es-US"/>
        </w:rPr>
        <w:t xml:space="preserve">En conclusión, LUMA avaló el Proyecto de la Cámara 834, condicionando su apoyo a la incorporación de las recomendaciones antes señaladas, por entender que las mismas fortalecen el marco de coordinación </w:t>
      </w:r>
      <w:proofErr w:type="spellStart"/>
      <w:r w:rsidRPr="000D2B0B">
        <w:rPr>
          <w:rFonts w:ascii="Book Antiqua" w:eastAsia="Book Antiqua" w:hAnsi="Book Antiqua" w:cs="Book Antiqua"/>
          <w:sz w:val="24"/>
          <w:szCs w:val="24"/>
          <w:lang w:val="es-US"/>
        </w:rPr>
        <w:t>interagencial</w:t>
      </w:r>
      <w:proofErr w:type="spellEnd"/>
      <w:r w:rsidRPr="000D2B0B">
        <w:rPr>
          <w:rFonts w:ascii="Book Antiqua" w:eastAsia="Book Antiqua" w:hAnsi="Book Antiqua" w:cs="Book Antiqua"/>
          <w:sz w:val="24"/>
          <w:szCs w:val="24"/>
          <w:lang w:val="es-US"/>
        </w:rPr>
        <w:t xml:space="preserve"> y garantizan una respuesta más eficiente y equitativa en la restauración de servicios esenciales para menores bajo la custodia del Estado.</w:t>
      </w:r>
    </w:p>
    <w:p w14:paraId="3B7BC03E" w14:textId="4EE316CE" w:rsidR="00AB3BAE" w:rsidRPr="000D2B0B" w:rsidRDefault="03EA0897" w:rsidP="4DBCB155">
      <w:pPr>
        <w:spacing w:after="0"/>
        <w:ind w:firstLine="720"/>
        <w:jc w:val="center"/>
        <w:rPr>
          <w:lang w:val="es-PR"/>
        </w:rPr>
      </w:pPr>
      <w:r w:rsidRPr="000D2B0B">
        <w:rPr>
          <w:rFonts w:ascii="Book Antiqua" w:eastAsia="Book Antiqua" w:hAnsi="Book Antiqua" w:cs="Book Antiqua"/>
          <w:b/>
          <w:bCs/>
          <w:sz w:val="24"/>
          <w:szCs w:val="24"/>
          <w:lang w:val="es-US"/>
        </w:rPr>
        <w:t xml:space="preserve">Puerto Rico </w:t>
      </w:r>
      <w:proofErr w:type="spellStart"/>
      <w:r w:rsidRPr="000D2B0B">
        <w:rPr>
          <w:rFonts w:ascii="Book Antiqua" w:eastAsia="Book Antiqua" w:hAnsi="Book Antiqua" w:cs="Book Antiqua"/>
          <w:b/>
          <w:bCs/>
          <w:sz w:val="24"/>
          <w:szCs w:val="24"/>
          <w:lang w:val="es-US"/>
        </w:rPr>
        <w:t>Telephone</w:t>
      </w:r>
      <w:proofErr w:type="spellEnd"/>
      <w:r w:rsidRPr="000D2B0B">
        <w:rPr>
          <w:rFonts w:ascii="Book Antiqua" w:eastAsia="Book Antiqua" w:hAnsi="Book Antiqua" w:cs="Book Antiqua"/>
          <w:b/>
          <w:bCs/>
          <w:sz w:val="24"/>
          <w:szCs w:val="24"/>
          <w:lang w:val="es-US"/>
        </w:rPr>
        <w:t xml:space="preserve"> Company, Inc. (CLARO)</w:t>
      </w:r>
    </w:p>
    <w:p w14:paraId="13767AD3" w14:textId="65785BFD" w:rsidR="00AB3BAE" w:rsidRPr="000D2B0B" w:rsidRDefault="03EA0897" w:rsidP="4DBCB155">
      <w:pPr>
        <w:spacing w:before="240" w:after="240" w:line="240" w:lineRule="auto"/>
        <w:jc w:val="both"/>
        <w:rPr>
          <w:rFonts w:ascii="Book Antiqua" w:eastAsia="Book Antiqua" w:hAnsi="Book Antiqua" w:cs="Book Antiqua"/>
          <w:sz w:val="24"/>
          <w:szCs w:val="24"/>
          <w:lang w:val="es-US"/>
        </w:rPr>
      </w:pPr>
      <w:r w:rsidRPr="000D2B0B">
        <w:rPr>
          <w:rFonts w:ascii="Book Antiqua" w:eastAsia="Book Antiqua" w:hAnsi="Book Antiqua" w:cs="Book Antiqua"/>
          <w:sz w:val="24"/>
          <w:szCs w:val="24"/>
          <w:lang w:val="es-US"/>
        </w:rPr>
        <w:t xml:space="preserve">En atención a la convocatoria emitida por esta Comisión, compareció a vista pública Puerto Rico </w:t>
      </w:r>
      <w:proofErr w:type="spellStart"/>
      <w:r w:rsidRPr="000D2B0B">
        <w:rPr>
          <w:rFonts w:ascii="Book Antiqua" w:eastAsia="Book Antiqua" w:hAnsi="Book Antiqua" w:cs="Book Antiqua"/>
          <w:sz w:val="24"/>
          <w:szCs w:val="24"/>
          <w:lang w:val="es-US"/>
        </w:rPr>
        <w:t>Telephone</w:t>
      </w:r>
      <w:proofErr w:type="spellEnd"/>
      <w:r w:rsidRPr="000D2B0B">
        <w:rPr>
          <w:rFonts w:ascii="Book Antiqua" w:eastAsia="Book Antiqua" w:hAnsi="Book Antiqua" w:cs="Book Antiqua"/>
          <w:sz w:val="24"/>
          <w:szCs w:val="24"/>
          <w:lang w:val="es-US"/>
        </w:rPr>
        <w:t xml:space="preserve"> Company, Inc. h/n/c Claro, a través de su representante legal, para presentar su </w:t>
      </w:r>
      <w:r w:rsidRPr="000D2B0B">
        <w:rPr>
          <w:rFonts w:ascii="Book Antiqua" w:eastAsia="Book Antiqua" w:hAnsi="Book Antiqua" w:cs="Book Antiqua"/>
          <w:i/>
          <w:iCs/>
          <w:sz w:val="24"/>
          <w:szCs w:val="24"/>
          <w:lang w:val="es-US"/>
        </w:rPr>
        <w:t>Memorial Explicativo</w:t>
      </w:r>
      <w:r w:rsidRPr="000D2B0B">
        <w:rPr>
          <w:rFonts w:ascii="Book Antiqua" w:eastAsia="Book Antiqua" w:hAnsi="Book Antiqua" w:cs="Book Antiqua"/>
          <w:sz w:val="24"/>
          <w:szCs w:val="24"/>
          <w:lang w:val="es-US"/>
        </w:rPr>
        <w:t xml:space="preserve"> sobre el Proyecto de la Cámara 834, medida que propone la creación de la </w:t>
      </w:r>
      <w:r w:rsidRPr="000D2B0B">
        <w:rPr>
          <w:rFonts w:ascii="Book Antiqua" w:eastAsia="Book Antiqua" w:hAnsi="Book Antiqua" w:cs="Book Antiqua"/>
          <w:i/>
          <w:iCs/>
          <w:sz w:val="24"/>
          <w:szCs w:val="24"/>
          <w:lang w:val="es-US"/>
        </w:rPr>
        <w:t>“Ley de Prioridad en el Restablecimiento de Servicios Esenciales para Hogares Sustitutos y de Transición”</w:t>
      </w:r>
      <w:r w:rsidRPr="000D2B0B">
        <w:rPr>
          <w:rFonts w:ascii="Book Antiqua" w:eastAsia="Book Antiqua" w:hAnsi="Book Antiqua" w:cs="Book Antiqua"/>
          <w:sz w:val="24"/>
          <w:szCs w:val="24"/>
          <w:lang w:val="es-US"/>
        </w:rPr>
        <w:t>.</w:t>
      </w:r>
    </w:p>
    <w:p w14:paraId="1975D792" w14:textId="0E17EFC1" w:rsidR="00AB3BAE" w:rsidRPr="000D2B0B" w:rsidRDefault="03EA0897" w:rsidP="4DBCB155">
      <w:pPr>
        <w:spacing w:before="240" w:after="240" w:line="240" w:lineRule="auto"/>
        <w:jc w:val="both"/>
        <w:rPr>
          <w:lang w:val="es-PR"/>
        </w:rPr>
      </w:pPr>
      <w:r w:rsidRPr="000D2B0B">
        <w:rPr>
          <w:rFonts w:ascii="Book Antiqua" w:eastAsia="Book Antiqua" w:hAnsi="Book Antiqua" w:cs="Book Antiqua"/>
          <w:sz w:val="24"/>
          <w:szCs w:val="24"/>
          <w:lang w:val="es-US"/>
        </w:rPr>
        <w:t>Claro expresó su oposición a la aprobación del proyecto, reconociendo su buena intención, pero señalando que la medida no resulta cónsona con la realidad técnica y operativa del sistema de telecomunicaciones en Puerto Rico. La empresa explicó que, luego de una emergencia o desastre, el proceso de restauración de las comunicaciones debe atenderse de forma estratégica y escalonada, priorizando la reparación de la infraestructura principal de mayor capacidad, que sirve al mayor número de clientes, antes de llegar a los equipos y líneas de menor escala que conectan a sectores o residencias específicas.</w:t>
      </w:r>
    </w:p>
    <w:p w14:paraId="648FEAA9" w14:textId="41B2B945" w:rsidR="00AB3BAE" w:rsidRPr="000D2B0B" w:rsidRDefault="03EA0897" w:rsidP="4DBCB155">
      <w:pPr>
        <w:spacing w:before="240" w:after="240" w:line="240" w:lineRule="auto"/>
        <w:jc w:val="both"/>
        <w:rPr>
          <w:lang w:val="es-PR"/>
        </w:rPr>
      </w:pPr>
      <w:r w:rsidRPr="000D2B0B">
        <w:rPr>
          <w:rFonts w:ascii="Book Antiqua" w:eastAsia="Book Antiqua" w:hAnsi="Book Antiqua" w:cs="Book Antiqua"/>
          <w:sz w:val="24"/>
          <w:szCs w:val="24"/>
          <w:lang w:val="es-US"/>
        </w:rPr>
        <w:t>La compañía detalló el funcionamiento de su red —compuesta por cables troncales, gabinetes intermedios (</w:t>
      </w:r>
      <w:proofErr w:type="spellStart"/>
      <w:r w:rsidRPr="000D2B0B">
        <w:rPr>
          <w:rFonts w:ascii="Book Antiqua" w:eastAsia="Book Antiqua" w:hAnsi="Book Antiqua" w:cs="Book Antiqua"/>
          <w:sz w:val="24"/>
          <w:szCs w:val="24"/>
          <w:lang w:val="es-US"/>
        </w:rPr>
        <w:t>IPs</w:t>
      </w:r>
      <w:proofErr w:type="spellEnd"/>
      <w:r w:rsidRPr="000D2B0B">
        <w:rPr>
          <w:rFonts w:ascii="Book Antiqua" w:eastAsia="Book Antiqua" w:hAnsi="Book Antiqua" w:cs="Book Antiqua"/>
          <w:sz w:val="24"/>
          <w:szCs w:val="24"/>
          <w:lang w:val="es-US"/>
        </w:rPr>
        <w:t xml:space="preserve"> o </w:t>
      </w:r>
      <w:proofErr w:type="spellStart"/>
      <w:r w:rsidRPr="000D2B0B">
        <w:rPr>
          <w:rFonts w:ascii="Book Antiqua" w:eastAsia="Book Antiqua" w:hAnsi="Book Antiqua" w:cs="Book Antiqua"/>
          <w:sz w:val="24"/>
          <w:szCs w:val="24"/>
          <w:lang w:val="es-US"/>
        </w:rPr>
        <w:t>FDHs</w:t>
      </w:r>
      <w:proofErr w:type="spellEnd"/>
      <w:r w:rsidRPr="000D2B0B">
        <w:rPr>
          <w:rFonts w:ascii="Book Antiqua" w:eastAsia="Book Antiqua" w:hAnsi="Book Antiqua" w:cs="Book Antiqua"/>
          <w:sz w:val="24"/>
          <w:szCs w:val="24"/>
          <w:lang w:val="es-US"/>
        </w:rPr>
        <w:t xml:space="preserve">), divisores ópticos y terminales— y argumentó que las reparaciones deben seguir un orden lógico que permita restablecer servicio al mayor número posible de clientes en el menor tiempo. Asimismo, Claro indicó que, conforme a los protocolos de emergencia federales, se otorga </w:t>
      </w:r>
      <w:r w:rsidRPr="000D2B0B">
        <w:rPr>
          <w:rFonts w:ascii="Book Antiqua" w:eastAsia="Book Antiqua" w:hAnsi="Book Antiqua" w:cs="Book Antiqua"/>
          <w:b/>
          <w:bCs/>
          <w:sz w:val="24"/>
          <w:szCs w:val="24"/>
          <w:lang w:val="es-US"/>
        </w:rPr>
        <w:t>prioridad al restablecimiento de comunicaciones para las entidades de primeros respondedores y de servicios críticos</w:t>
      </w:r>
      <w:r w:rsidRPr="000D2B0B">
        <w:rPr>
          <w:rFonts w:ascii="Book Antiqua" w:eastAsia="Book Antiqua" w:hAnsi="Book Antiqua" w:cs="Book Antiqua"/>
          <w:sz w:val="24"/>
          <w:szCs w:val="24"/>
          <w:lang w:val="es-US"/>
        </w:rPr>
        <w:t>, tales como el Negociado del Sistema de Emergencias 911, el Negociado para el Manejo de Emergencias y Administración de Desastres (NMEAD), los hospitales, comandancias de la Policía de Puerto Rico, el Servicio Nacional de Meteorología y la Agencia Federal para el Manejo de Emergencias (FEMA).</w:t>
      </w:r>
    </w:p>
    <w:p w14:paraId="0C17618E" w14:textId="007015C0" w:rsidR="00AB3BAE" w:rsidRPr="000D2B0B" w:rsidRDefault="03EA0897" w:rsidP="4DBCB155">
      <w:pPr>
        <w:spacing w:before="240" w:after="240" w:line="240" w:lineRule="auto"/>
        <w:jc w:val="both"/>
        <w:rPr>
          <w:lang w:val="es-PR"/>
        </w:rPr>
      </w:pPr>
      <w:r w:rsidRPr="000D2B0B">
        <w:rPr>
          <w:rFonts w:ascii="Book Antiqua" w:eastAsia="Book Antiqua" w:hAnsi="Book Antiqua" w:cs="Book Antiqua"/>
          <w:sz w:val="24"/>
          <w:szCs w:val="24"/>
          <w:lang w:val="es-US"/>
        </w:rPr>
        <w:t xml:space="preserve">La empresa explicó que estas prioridades están alineadas con las disposiciones del programa </w:t>
      </w:r>
      <w:proofErr w:type="spellStart"/>
      <w:r w:rsidRPr="000D2B0B">
        <w:rPr>
          <w:rFonts w:ascii="Book Antiqua" w:eastAsia="Book Antiqua" w:hAnsi="Book Antiqua" w:cs="Book Antiqua"/>
          <w:b/>
          <w:bCs/>
          <w:sz w:val="24"/>
          <w:szCs w:val="24"/>
          <w:lang w:val="es-US"/>
        </w:rPr>
        <w:t>Telecommunications</w:t>
      </w:r>
      <w:proofErr w:type="spellEnd"/>
      <w:r w:rsidRPr="000D2B0B">
        <w:rPr>
          <w:rFonts w:ascii="Book Antiqua" w:eastAsia="Book Antiqua" w:hAnsi="Book Antiqua" w:cs="Book Antiqua"/>
          <w:b/>
          <w:bCs/>
          <w:sz w:val="24"/>
          <w:szCs w:val="24"/>
          <w:lang w:val="es-US"/>
        </w:rPr>
        <w:t xml:space="preserve"> </w:t>
      </w:r>
      <w:proofErr w:type="spellStart"/>
      <w:r w:rsidRPr="000D2B0B">
        <w:rPr>
          <w:rFonts w:ascii="Book Antiqua" w:eastAsia="Book Antiqua" w:hAnsi="Book Antiqua" w:cs="Book Antiqua"/>
          <w:b/>
          <w:bCs/>
          <w:sz w:val="24"/>
          <w:szCs w:val="24"/>
          <w:lang w:val="es-US"/>
        </w:rPr>
        <w:t>Service</w:t>
      </w:r>
      <w:proofErr w:type="spellEnd"/>
      <w:r w:rsidRPr="000D2B0B">
        <w:rPr>
          <w:rFonts w:ascii="Book Antiqua" w:eastAsia="Book Antiqua" w:hAnsi="Book Antiqua" w:cs="Book Antiqua"/>
          <w:b/>
          <w:bCs/>
          <w:sz w:val="24"/>
          <w:szCs w:val="24"/>
          <w:lang w:val="es-US"/>
        </w:rPr>
        <w:t xml:space="preserve"> </w:t>
      </w:r>
      <w:proofErr w:type="spellStart"/>
      <w:r w:rsidRPr="000D2B0B">
        <w:rPr>
          <w:rFonts w:ascii="Book Antiqua" w:eastAsia="Book Antiqua" w:hAnsi="Book Antiqua" w:cs="Book Antiqua"/>
          <w:b/>
          <w:bCs/>
          <w:sz w:val="24"/>
          <w:szCs w:val="24"/>
          <w:lang w:val="es-US"/>
        </w:rPr>
        <w:t>Priority</w:t>
      </w:r>
      <w:proofErr w:type="spellEnd"/>
      <w:r w:rsidRPr="000D2B0B">
        <w:rPr>
          <w:rFonts w:ascii="Book Antiqua" w:eastAsia="Book Antiqua" w:hAnsi="Book Antiqua" w:cs="Book Antiqua"/>
          <w:b/>
          <w:bCs/>
          <w:sz w:val="24"/>
          <w:szCs w:val="24"/>
          <w:lang w:val="es-US"/>
        </w:rPr>
        <w:t xml:space="preserve"> (TSP)</w:t>
      </w:r>
      <w:r w:rsidRPr="000D2B0B">
        <w:rPr>
          <w:rFonts w:ascii="Book Antiqua" w:eastAsia="Book Antiqua" w:hAnsi="Book Antiqua" w:cs="Book Antiqua"/>
          <w:sz w:val="24"/>
          <w:szCs w:val="24"/>
          <w:lang w:val="es-US"/>
        </w:rPr>
        <w:t xml:space="preserve"> de la </w:t>
      </w:r>
      <w:r w:rsidRPr="000D2B0B">
        <w:rPr>
          <w:rFonts w:ascii="Book Antiqua" w:eastAsia="Book Antiqua" w:hAnsi="Book Antiqua" w:cs="Book Antiqua"/>
          <w:b/>
          <w:bCs/>
          <w:sz w:val="24"/>
          <w:szCs w:val="24"/>
          <w:lang w:val="es-US"/>
        </w:rPr>
        <w:t>Comisión Federal de Comunicaciones (FCC)</w:t>
      </w:r>
      <w:r w:rsidRPr="000D2B0B">
        <w:rPr>
          <w:rFonts w:ascii="Book Antiqua" w:eastAsia="Book Antiqua" w:hAnsi="Book Antiqua" w:cs="Book Antiqua"/>
          <w:sz w:val="24"/>
          <w:szCs w:val="24"/>
          <w:lang w:val="es-US"/>
        </w:rPr>
        <w:t xml:space="preserve"> y del </w:t>
      </w:r>
      <w:r w:rsidRPr="000D2B0B">
        <w:rPr>
          <w:rFonts w:ascii="Book Antiqua" w:eastAsia="Book Antiqua" w:hAnsi="Book Antiqua" w:cs="Book Antiqua"/>
          <w:b/>
          <w:bCs/>
          <w:sz w:val="24"/>
          <w:szCs w:val="24"/>
          <w:lang w:val="es-US"/>
        </w:rPr>
        <w:t>Departamento de Seguridad Nacional de los Estados Unidos (DHS)</w:t>
      </w:r>
      <w:r w:rsidRPr="000D2B0B">
        <w:rPr>
          <w:rFonts w:ascii="Book Antiqua" w:eastAsia="Book Antiqua" w:hAnsi="Book Antiqua" w:cs="Book Antiqua"/>
          <w:sz w:val="24"/>
          <w:szCs w:val="24"/>
          <w:lang w:val="es-US"/>
        </w:rPr>
        <w:t xml:space="preserve">, el cual requiere que los proveedores de telecomunicaciones ofrezcan trato </w:t>
      </w:r>
      <w:r w:rsidRPr="000D2B0B">
        <w:rPr>
          <w:rFonts w:ascii="Book Antiqua" w:eastAsia="Book Antiqua" w:hAnsi="Book Antiqua" w:cs="Book Antiqua"/>
          <w:sz w:val="24"/>
          <w:szCs w:val="24"/>
          <w:lang w:val="es-US"/>
        </w:rPr>
        <w:lastRenderedPageBreak/>
        <w:t>preferencial a los usuarios que desempeñan funciones críticas de seguridad nacional y salud pública.</w:t>
      </w:r>
    </w:p>
    <w:p w14:paraId="2D635423" w14:textId="51ED1797" w:rsidR="00AB3BAE" w:rsidRPr="000D2B0B" w:rsidRDefault="03EA0897" w:rsidP="4DBCB155">
      <w:pPr>
        <w:spacing w:before="240" w:after="240" w:line="240" w:lineRule="auto"/>
        <w:jc w:val="both"/>
        <w:rPr>
          <w:lang w:val="es-PR"/>
        </w:rPr>
      </w:pPr>
      <w:r w:rsidRPr="000D2B0B">
        <w:rPr>
          <w:rFonts w:ascii="Book Antiqua" w:eastAsia="Book Antiqua" w:hAnsi="Book Antiqua" w:cs="Book Antiqua"/>
          <w:sz w:val="24"/>
          <w:szCs w:val="24"/>
          <w:lang w:val="es-US"/>
        </w:rPr>
        <w:t xml:space="preserve">En conclusión, Claro sostuvo que, aunque el propósito de la medida es loable, su implantación podría </w:t>
      </w:r>
      <w:r w:rsidRPr="000D2B0B">
        <w:rPr>
          <w:rFonts w:ascii="Book Antiqua" w:eastAsia="Book Antiqua" w:hAnsi="Book Antiqua" w:cs="Book Antiqua"/>
          <w:b/>
          <w:bCs/>
          <w:sz w:val="24"/>
          <w:szCs w:val="24"/>
          <w:lang w:val="es-US"/>
        </w:rPr>
        <w:t>interferir con los protocolos de respuesta y priorización establecidos por las agencias reguladoras federales</w:t>
      </w:r>
      <w:r w:rsidRPr="000D2B0B">
        <w:rPr>
          <w:rFonts w:ascii="Book Antiqua" w:eastAsia="Book Antiqua" w:hAnsi="Book Antiqua" w:cs="Book Antiqua"/>
          <w:sz w:val="24"/>
          <w:szCs w:val="24"/>
          <w:lang w:val="es-US"/>
        </w:rPr>
        <w:t xml:space="preserve">, </w:t>
      </w:r>
      <w:proofErr w:type="gramStart"/>
      <w:r w:rsidRPr="000D2B0B">
        <w:rPr>
          <w:rFonts w:ascii="Book Antiqua" w:eastAsia="Book Antiqua" w:hAnsi="Book Antiqua" w:cs="Book Antiqua"/>
          <w:sz w:val="24"/>
          <w:szCs w:val="24"/>
          <w:lang w:val="es-US"/>
        </w:rPr>
        <w:t>y</w:t>
      </w:r>
      <w:proofErr w:type="gramEnd"/>
      <w:r w:rsidRPr="000D2B0B">
        <w:rPr>
          <w:rFonts w:ascii="Book Antiqua" w:eastAsia="Book Antiqua" w:hAnsi="Book Antiqua" w:cs="Book Antiqua"/>
          <w:sz w:val="24"/>
          <w:szCs w:val="24"/>
          <w:lang w:val="es-US"/>
        </w:rPr>
        <w:t xml:space="preserve"> por tanto, </w:t>
      </w:r>
      <w:r w:rsidRPr="000D2B0B">
        <w:rPr>
          <w:rFonts w:ascii="Book Antiqua" w:eastAsia="Book Antiqua" w:hAnsi="Book Antiqua" w:cs="Book Antiqua"/>
          <w:b/>
          <w:bCs/>
          <w:sz w:val="24"/>
          <w:szCs w:val="24"/>
          <w:lang w:val="es-US"/>
        </w:rPr>
        <w:t>recomendó que la medida no sea aprobada en su forma actual</w:t>
      </w:r>
      <w:r w:rsidRPr="000D2B0B">
        <w:rPr>
          <w:rFonts w:ascii="Book Antiqua" w:eastAsia="Book Antiqua" w:hAnsi="Book Antiqua" w:cs="Book Antiqua"/>
          <w:sz w:val="24"/>
          <w:szCs w:val="24"/>
          <w:lang w:val="es-US"/>
        </w:rPr>
        <w:t>.</w:t>
      </w:r>
    </w:p>
    <w:p w14:paraId="4A0C64A9" w14:textId="40AF9FD2" w:rsidR="00AB3BAE" w:rsidRPr="000D2B0B" w:rsidRDefault="7864D960" w:rsidP="4DBCB155">
      <w:pPr>
        <w:pStyle w:val="Heading3"/>
        <w:spacing w:before="281" w:after="281" w:line="240" w:lineRule="auto"/>
        <w:jc w:val="both"/>
        <w:rPr>
          <w:rFonts w:ascii="Book Antiqua" w:eastAsia="Book Antiqua" w:hAnsi="Book Antiqua" w:cs="Book Antiqua"/>
          <w:b/>
          <w:bCs/>
          <w:color w:val="auto"/>
          <w:sz w:val="28"/>
          <w:szCs w:val="28"/>
          <w:lang w:val="es-US"/>
        </w:rPr>
      </w:pPr>
      <w:r w:rsidRPr="000D2B0B">
        <w:rPr>
          <w:rFonts w:ascii="Book Antiqua" w:eastAsia="Book Antiqua" w:hAnsi="Book Antiqua" w:cs="Book Antiqua"/>
          <w:b/>
          <w:bCs/>
          <w:color w:val="auto"/>
          <w:sz w:val="28"/>
          <w:szCs w:val="28"/>
          <w:lang w:val="es-US"/>
        </w:rPr>
        <w:t>ENMIENDAS SUGERIDAS</w:t>
      </w:r>
    </w:p>
    <w:p w14:paraId="61DD519B" w14:textId="79824593" w:rsidR="00AB3BAE" w:rsidRPr="000D2B0B" w:rsidRDefault="7864D960" w:rsidP="4DBCB155">
      <w:pPr>
        <w:spacing w:before="240" w:after="240" w:line="240" w:lineRule="auto"/>
        <w:jc w:val="both"/>
        <w:rPr>
          <w:lang w:val="es-PR"/>
        </w:rPr>
      </w:pPr>
      <w:r w:rsidRPr="000D2B0B">
        <w:rPr>
          <w:rFonts w:ascii="Book Antiqua" w:eastAsia="Book Antiqua" w:hAnsi="Book Antiqua" w:cs="Book Antiqua"/>
          <w:sz w:val="24"/>
          <w:szCs w:val="24"/>
          <w:lang w:val="es-US"/>
        </w:rPr>
        <w:t xml:space="preserve">Aunque Claro no presentó enmiendas formales al articulado del proyecto, sí realizó </w:t>
      </w:r>
      <w:r w:rsidRPr="000D2B0B">
        <w:rPr>
          <w:rFonts w:ascii="Book Antiqua" w:eastAsia="Book Antiqua" w:hAnsi="Book Antiqua" w:cs="Book Antiqua"/>
          <w:b/>
          <w:bCs/>
          <w:sz w:val="24"/>
          <w:szCs w:val="24"/>
          <w:lang w:val="es-US"/>
        </w:rPr>
        <w:t>observaciones sustantivas y recomendaciones técnicas</w:t>
      </w:r>
      <w:r w:rsidRPr="000D2B0B">
        <w:rPr>
          <w:rFonts w:ascii="Book Antiqua" w:eastAsia="Book Antiqua" w:hAnsi="Book Antiqua" w:cs="Book Antiqua"/>
          <w:sz w:val="24"/>
          <w:szCs w:val="24"/>
          <w:lang w:val="es-US"/>
        </w:rPr>
        <w:t xml:space="preserve"> dirigidas a la posible modificación o reconsideración de la medida:</w:t>
      </w:r>
    </w:p>
    <w:p w14:paraId="0F620DC5" w14:textId="2870E1F9" w:rsidR="00AB3BAE" w:rsidRPr="000D2B0B" w:rsidRDefault="7864D960" w:rsidP="4DBCB155">
      <w:pPr>
        <w:pStyle w:val="ListParagraph"/>
        <w:numPr>
          <w:ilvl w:val="0"/>
          <w:numId w:val="3"/>
        </w:numPr>
        <w:spacing w:before="240" w:after="240" w:line="240" w:lineRule="auto"/>
        <w:jc w:val="both"/>
        <w:rPr>
          <w:rFonts w:ascii="Book Antiqua" w:eastAsia="Book Antiqua" w:hAnsi="Book Antiqua" w:cs="Book Antiqua"/>
          <w:sz w:val="24"/>
          <w:szCs w:val="24"/>
          <w:lang w:val="es-US"/>
        </w:rPr>
      </w:pPr>
      <w:r w:rsidRPr="000D2B0B">
        <w:rPr>
          <w:rFonts w:ascii="Book Antiqua" w:eastAsia="Book Antiqua" w:hAnsi="Book Antiqua" w:cs="Book Antiqua"/>
          <w:b/>
          <w:bCs/>
          <w:sz w:val="24"/>
          <w:szCs w:val="24"/>
          <w:lang w:val="es-US"/>
        </w:rPr>
        <w:t>Reevaluar el alcance de la política pública propuesta</w:t>
      </w:r>
      <w:r w:rsidRPr="000D2B0B">
        <w:rPr>
          <w:rFonts w:ascii="Book Antiqua" w:eastAsia="Book Antiqua" w:hAnsi="Book Antiqua" w:cs="Book Antiqua"/>
          <w:sz w:val="24"/>
          <w:szCs w:val="24"/>
          <w:lang w:val="es-US"/>
        </w:rPr>
        <w:t xml:space="preserve">, de manera que no se establezcan obligaciones que entren en conflicto con los procesos de priorización de servicio ya regulados por la </w:t>
      </w:r>
      <w:r w:rsidRPr="000D2B0B">
        <w:rPr>
          <w:rFonts w:ascii="Book Antiqua" w:eastAsia="Book Antiqua" w:hAnsi="Book Antiqua" w:cs="Book Antiqua"/>
          <w:b/>
          <w:bCs/>
          <w:sz w:val="24"/>
          <w:szCs w:val="24"/>
          <w:lang w:val="es-US"/>
        </w:rPr>
        <w:t>FCC</w:t>
      </w:r>
      <w:r w:rsidRPr="000D2B0B">
        <w:rPr>
          <w:rFonts w:ascii="Book Antiqua" w:eastAsia="Book Antiqua" w:hAnsi="Book Antiqua" w:cs="Book Antiqua"/>
          <w:sz w:val="24"/>
          <w:szCs w:val="24"/>
          <w:lang w:val="es-US"/>
        </w:rPr>
        <w:t xml:space="preserve"> y el </w:t>
      </w:r>
      <w:r w:rsidRPr="000D2B0B">
        <w:rPr>
          <w:rFonts w:ascii="Book Antiqua" w:eastAsia="Book Antiqua" w:hAnsi="Book Antiqua" w:cs="Book Antiqua"/>
          <w:b/>
          <w:bCs/>
          <w:sz w:val="24"/>
          <w:szCs w:val="24"/>
          <w:lang w:val="es-US"/>
        </w:rPr>
        <w:t>DHS</w:t>
      </w:r>
      <w:r w:rsidRPr="000D2B0B">
        <w:rPr>
          <w:rFonts w:ascii="Book Antiqua" w:eastAsia="Book Antiqua" w:hAnsi="Book Antiqua" w:cs="Book Antiqua"/>
          <w:sz w:val="24"/>
          <w:szCs w:val="24"/>
          <w:lang w:val="es-US"/>
        </w:rPr>
        <w:t xml:space="preserve"> a través del programa </w:t>
      </w:r>
      <w:r w:rsidRPr="000D2B0B">
        <w:rPr>
          <w:rFonts w:ascii="Book Antiqua" w:eastAsia="Book Antiqua" w:hAnsi="Book Antiqua" w:cs="Book Antiqua"/>
          <w:b/>
          <w:bCs/>
          <w:sz w:val="24"/>
          <w:szCs w:val="24"/>
          <w:lang w:val="es-US"/>
        </w:rPr>
        <w:t>TSP</w:t>
      </w:r>
      <w:r w:rsidRPr="000D2B0B">
        <w:rPr>
          <w:rFonts w:ascii="Book Antiqua" w:eastAsia="Book Antiqua" w:hAnsi="Book Antiqua" w:cs="Book Antiqua"/>
          <w:sz w:val="24"/>
          <w:szCs w:val="24"/>
          <w:lang w:val="es-US"/>
        </w:rPr>
        <w:t>.</w:t>
      </w:r>
    </w:p>
    <w:p w14:paraId="78AF7A4C" w14:textId="78B7BC4A" w:rsidR="00AB3BAE" w:rsidRPr="000D2B0B" w:rsidRDefault="00AB3BAE" w:rsidP="4DBCB155">
      <w:pPr>
        <w:pStyle w:val="ListParagraph"/>
        <w:spacing w:before="240" w:after="240" w:line="240" w:lineRule="auto"/>
        <w:jc w:val="both"/>
        <w:rPr>
          <w:rFonts w:ascii="Book Antiqua" w:eastAsia="Book Antiqua" w:hAnsi="Book Antiqua" w:cs="Book Antiqua"/>
          <w:sz w:val="24"/>
          <w:szCs w:val="24"/>
          <w:lang w:val="es-US"/>
        </w:rPr>
      </w:pPr>
    </w:p>
    <w:p w14:paraId="0480026A" w14:textId="2CEB3A80" w:rsidR="00AB3BAE" w:rsidRPr="000D2B0B" w:rsidRDefault="7864D960" w:rsidP="4DBCB155">
      <w:pPr>
        <w:pStyle w:val="ListParagraph"/>
        <w:numPr>
          <w:ilvl w:val="0"/>
          <w:numId w:val="3"/>
        </w:numPr>
        <w:spacing w:before="240" w:after="240" w:line="240" w:lineRule="auto"/>
        <w:jc w:val="both"/>
        <w:rPr>
          <w:rFonts w:ascii="Book Antiqua" w:eastAsia="Book Antiqua" w:hAnsi="Book Antiqua" w:cs="Book Antiqua"/>
          <w:sz w:val="24"/>
          <w:szCs w:val="24"/>
          <w:lang w:val="es-US"/>
        </w:rPr>
      </w:pPr>
      <w:r w:rsidRPr="000D2B0B">
        <w:rPr>
          <w:rFonts w:ascii="Book Antiqua" w:eastAsia="Book Antiqua" w:hAnsi="Book Antiqua" w:cs="Book Antiqua"/>
          <w:b/>
          <w:bCs/>
          <w:sz w:val="24"/>
          <w:szCs w:val="24"/>
          <w:lang w:val="es-US"/>
        </w:rPr>
        <w:t>Incorporar lenguaje que reconozca la naturaleza jerárquica de la red de telecomunicaciones</w:t>
      </w:r>
      <w:r w:rsidRPr="000D2B0B">
        <w:rPr>
          <w:rFonts w:ascii="Book Antiqua" w:eastAsia="Book Antiqua" w:hAnsi="Book Antiqua" w:cs="Book Antiqua"/>
          <w:sz w:val="24"/>
          <w:szCs w:val="24"/>
          <w:lang w:val="es-US"/>
        </w:rPr>
        <w:t>, y que el restablecimiento debe comenzar por la infraestructura troncal de mayor capacidad antes de atender las conexiones finales a clientes o entidades individuales, garantizando así una recuperación más rápida y eficiente para la población general.</w:t>
      </w:r>
    </w:p>
    <w:p w14:paraId="574F3482" w14:textId="1FDE1DD2" w:rsidR="00AB3BAE" w:rsidRPr="000D2B0B" w:rsidRDefault="00AB3BAE" w:rsidP="4DBCB155">
      <w:pPr>
        <w:pStyle w:val="ListParagraph"/>
        <w:spacing w:before="240" w:after="240" w:line="240" w:lineRule="auto"/>
        <w:jc w:val="both"/>
        <w:rPr>
          <w:rFonts w:ascii="Book Antiqua" w:eastAsia="Book Antiqua" w:hAnsi="Book Antiqua" w:cs="Book Antiqua"/>
          <w:sz w:val="24"/>
          <w:szCs w:val="24"/>
          <w:lang w:val="es-US"/>
        </w:rPr>
      </w:pPr>
    </w:p>
    <w:p w14:paraId="0F42485B" w14:textId="65956E3B" w:rsidR="00AB3BAE" w:rsidRPr="000D2B0B" w:rsidRDefault="7864D960" w:rsidP="4DBCB155">
      <w:pPr>
        <w:pStyle w:val="ListParagraph"/>
        <w:numPr>
          <w:ilvl w:val="0"/>
          <w:numId w:val="3"/>
        </w:numPr>
        <w:spacing w:before="240" w:after="240" w:line="240" w:lineRule="auto"/>
        <w:jc w:val="both"/>
        <w:rPr>
          <w:rFonts w:ascii="Book Antiqua" w:eastAsia="Book Antiqua" w:hAnsi="Book Antiqua" w:cs="Book Antiqua"/>
          <w:sz w:val="24"/>
          <w:szCs w:val="24"/>
          <w:lang w:val="es-US"/>
        </w:rPr>
      </w:pPr>
      <w:r w:rsidRPr="000D2B0B">
        <w:rPr>
          <w:rFonts w:ascii="Book Antiqua" w:eastAsia="Book Antiqua" w:hAnsi="Book Antiqua" w:cs="Book Antiqua"/>
          <w:b/>
          <w:bCs/>
          <w:sz w:val="24"/>
          <w:szCs w:val="24"/>
          <w:lang w:val="es-US"/>
        </w:rPr>
        <w:t>Limitar la aplicación de la prioridad establecida en la medida</w:t>
      </w:r>
      <w:r w:rsidRPr="000D2B0B">
        <w:rPr>
          <w:rFonts w:ascii="Book Antiqua" w:eastAsia="Book Antiqua" w:hAnsi="Book Antiqua" w:cs="Book Antiqua"/>
          <w:sz w:val="24"/>
          <w:szCs w:val="24"/>
          <w:lang w:val="es-US"/>
        </w:rPr>
        <w:t xml:space="preserve"> a instancias en que los hogares sustitutos o de transición puedan ser incluidos en los planes de restauración sin afectar la continuidad de los servicios esenciales a los primeros respondedores, hospitales y otras instituciones críticas definidas por el programa </w:t>
      </w:r>
      <w:r w:rsidRPr="000D2B0B">
        <w:rPr>
          <w:rFonts w:ascii="Book Antiqua" w:eastAsia="Book Antiqua" w:hAnsi="Book Antiqua" w:cs="Book Antiqua"/>
          <w:b/>
          <w:bCs/>
          <w:sz w:val="24"/>
          <w:szCs w:val="24"/>
          <w:lang w:val="es-US"/>
        </w:rPr>
        <w:t>TSP</w:t>
      </w:r>
      <w:r w:rsidRPr="000D2B0B">
        <w:rPr>
          <w:rFonts w:ascii="Book Antiqua" w:eastAsia="Book Antiqua" w:hAnsi="Book Antiqua" w:cs="Book Antiqua"/>
          <w:sz w:val="24"/>
          <w:szCs w:val="24"/>
          <w:lang w:val="es-US"/>
        </w:rPr>
        <w:t>.</w:t>
      </w:r>
    </w:p>
    <w:p w14:paraId="3BB716BF" w14:textId="6EE1ADD2" w:rsidR="00AB3BAE" w:rsidRPr="000D2B0B" w:rsidRDefault="00AB3BAE" w:rsidP="00AB3BAE">
      <w:pPr>
        <w:spacing w:after="0" w:line="240" w:lineRule="auto"/>
        <w:jc w:val="center"/>
        <w:rPr>
          <w:rFonts w:ascii="Book Antiqua" w:eastAsia="Book Antiqua" w:hAnsi="Book Antiqua" w:cs="Book Antiqua"/>
          <w:b/>
          <w:bCs/>
          <w:sz w:val="24"/>
          <w:szCs w:val="24"/>
          <w:lang w:val="es-US"/>
        </w:rPr>
      </w:pPr>
      <w:r w:rsidRPr="000D2B0B">
        <w:rPr>
          <w:rFonts w:ascii="Book Antiqua" w:eastAsia="Book Antiqua" w:hAnsi="Book Antiqua" w:cs="Book Antiqua"/>
          <w:b/>
          <w:bCs/>
          <w:sz w:val="24"/>
          <w:szCs w:val="24"/>
          <w:lang w:val="es-US"/>
        </w:rPr>
        <w:t xml:space="preserve">Departamento de </w:t>
      </w:r>
      <w:r w:rsidR="48F0A47A" w:rsidRPr="000D2B0B">
        <w:rPr>
          <w:rFonts w:ascii="Book Antiqua" w:eastAsia="Book Antiqua" w:hAnsi="Book Antiqua" w:cs="Book Antiqua"/>
          <w:b/>
          <w:bCs/>
          <w:sz w:val="24"/>
          <w:szCs w:val="24"/>
          <w:lang w:val="es-US"/>
        </w:rPr>
        <w:t>la Familia</w:t>
      </w:r>
    </w:p>
    <w:p w14:paraId="77514A90" w14:textId="0ED41873" w:rsidR="48F0A47A" w:rsidRPr="000D2B0B" w:rsidRDefault="48F0A47A" w:rsidP="4DBCB155">
      <w:pPr>
        <w:spacing w:before="240" w:after="240"/>
        <w:jc w:val="both"/>
        <w:rPr>
          <w:lang w:val="es-PR"/>
        </w:rPr>
      </w:pPr>
      <w:r w:rsidRPr="000D2B0B">
        <w:rPr>
          <w:rFonts w:ascii="Book Antiqua" w:eastAsia="Book Antiqua" w:hAnsi="Book Antiqua" w:cs="Book Antiqua"/>
          <w:sz w:val="24"/>
          <w:szCs w:val="24"/>
          <w:lang w:val="es-US"/>
        </w:rPr>
        <w:t xml:space="preserve">Compareció ante esta Comisión el Departamento de la Familia, mediante la presentación de su </w:t>
      </w:r>
      <w:r w:rsidRPr="000D2B0B">
        <w:rPr>
          <w:rFonts w:ascii="Book Antiqua" w:eastAsia="Book Antiqua" w:hAnsi="Book Antiqua" w:cs="Book Antiqua"/>
          <w:i/>
          <w:iCs/>
          <w:sz w:val="24"/>
          <w:szCs w:val="24"/>
          <w:lang w:val="es-US"/>
        </w:rPr>
        <w:t>Memorial Explicativo</w:t>
      </w:r>
      <w:r w:rsidRPr="000D2B0B">
        <w:rPr>
          <w:rFonts w:ascii="Book Antiqua" w:eastAsia="Book Antiqua" w:hAnsi="Book Antiqua" w:cs="Book Antiqua"/>
          <w:sz w:val="24"/>
          <w:szCs w:val="24"/>
          <w:lang w:val="es-US"/>
        </w:rPr>
        <w:t xml:space="preserve"> y la comparecencia de personal técnico, en relación con el Proyecto de la Cámara 834, que propone la creación de la </w:t>
      </w:r>
      <w:r w:rsidRPr="000D2B0B">
        <w:rPr>
          <w:rFonts w:ascii="Book Antiqua" w:eastAsia="Book Antiqua" w:hAnsi="Book Antiqua" w:cs="Book Antiqua"/>
          <w:i/>
          <w:iCs/>
          <w:sz w:val="24"/>
          <w:szCs w:val="24"/>
          <w:lang w:val="es-US"/>
        </w:rPr>
        <w:t>“Ley de Prioridad en el Restablecimiento de Servicios Esenciales para Hogares Sustitutos y de Transición”</w:t>
      </w:r>
      <w:r w:rsidRPr="000D2B0B">
        <w:rPr>
          <w:rFonts w:ascii="Book Antiqua" w:eastAsia="Book Antiqua" w:hAnsi="Book Antiqua" w:cs="Book Antiqua"/>
          <w:sz w:val="24"/>
          <w:szCs w:val="24"/>
          <w:lang w:val="es-US"/>
        </w:rPr>
        <w:t>.</w:t>
      </w:r>
    </w:p>
    <w:p w14:paraId="67804E06" w14:textId="4A6BE464" w:rsidR="48F0A47A" w:rsidRPr="000D2B0B" w:rsidRDefault="48F0A47A" w:rsidP="4DBCB155">
      <w:pPr>
        <w:spacing w:before="240" w:after="240"/>
        <w:jc w:val="both"/>
        <w:rPr>
          <w:lang w:val="es-PR"/>
        </w:rPr>
      </w:pPr>
      <w:r w:rsidRPr="000D2B0B">
        <w:rPr>
          <w:rFonts w:ascii="Book Antiqua" w:eastAsia="Book Antiqua" w:hAnsi="Book Antiqua" w:cs="Book Antiqua"/>
          <w:sz w:val="24"/>
          <w:szCs w:val="24"/>
          <w:lang w:val="es-US"/>
        </w:rPr>
        <w:t>El Departamento acogió favorablemente la intención de la medida y coincidió en que los hogares de crianza y establecimientos residenciales para menores deben ser considerados facilidades críticas dentro de los planes de respuesta y recuperación ante emergencias. Reconoció que estos espacios albergan a una población altamente vulnerable, dependiente del Estado para su cuidado, protección y bienestar, por lo que resulta indispensable garantizar la continuidad de los servicios esenciales como energía eléctrica, agua potable y telecomunicaciones.</w:t>
      </w:r>
    </w:p>
    <w:p w14:paraId="24F6941F" w14:textId="0960EBF8" w:rsidR="48F0A47A" w:rsidRPr="000D2B0B" w:rsidRDefault="48F0A47A" w:rsidP="4DBCB155">
      <w:pPr>
        <w:spacing w:before="240" w:after="240"/>
        <w:jc w:val="both"/>
        <w:rPr>
          <w:lang w:val="es-PR"/>
        </w:rPr>
      </w:pPr>
      <w:r w:rsidRPr="000D2B0B">
        <w:rPr>
          <w:rFonts w:ascii="Book Antiqua" w:eastAsia="Book Antiqua" w:hAnsi="Book Antiqua" w:cs="Book Antiqua"/>
          <w:sz w:val="24"/>
          <w:szCs w:val="24"/>
          <w:lang w:val="es-US"/>
        </w:rPr>
        <w:lastRenderedPageBreak/>
        <w:t>Durante la vista pública, el Departamento expuso que cuenta con una Oficina de Licenciamiento de Establecimientos encargada de supervisar, reglamentar y mantener actualizado el registro de los hogares y centros residenciales para menores, adultos mayores y personas con discapacidad. Dicho registro incluye datos de localización, capacidad, licenciamiento y estatus operativo, información que es compartida periódicamente con el Negociado para el Manejo de Emergencias y Administración de Desastres (NMEAD) para efectos de planificación y respuesta.</w:t>
      </w:r>
    </w:p>
    <w:p w14:paraId="3DDB2600" w14:textId="43CE4B49" w:rsidR="48F0A47A" w:rsidRPr="000D2B0B" w:rsidRDefault="48F0A47A" w:rsidP="4DBCB155">
      <w:pPr>
        <w:spacing w:before="240" w:after="240"/>
        <w:jc w:val="both"/>
        <w:rPr>
          <w:rFonts w:ascii="Book Antiqua" w:eastAsia="Book Antiqua" w:hAnsi="Book Antiqua" w:cs="Book Antiqua"/>
          <w:sz w:val="24"/>
          <w:szCs w:val="24"/>
          <w:lang w:val="es-US"/>
        </w:rPr>
      </w:pPr>
      <w:r w:rsidRPr="000D2B0B">
        <w:rPr>
          <w:rFonts w:ascii="Book Antiqua" w:eastAsia="Book Antiqua" w:hAnsi="Book Antiqua" w:cs="Book Antiqua"/>
          <w:sz w:val="24"/>
          <w:szCs w:val="24"/>
          <w:lang w:val="es-US"/>
        </w:rPr>
        <w:t>Como evidencia de dicha coordinación, el Departamento presentó un listado actualizado de 1,806 establecimientos licenciados a nivel isla, entre hogares de crianza, hogares de grupo e instituciones de cuidado, distribuidos por región —Aguadilla, Arecibo, Bayamón, Caguas, Carolina, Guayama, Humacao, Mayagüez, Ponce y San Juan—</w:t>
      </w:r>
      <w:r w:rsidR="6FDF9101" w:rsidRPr="000D2B0B">
        <w:rPr>
          <w:rFonts w:ascii="Book Antiqua" w:eastAsia="Book Antiqua" w:hAnsi="Book Antiqua" w:cs="Book Antiqua"/>
          <w:sz w:val="24"/>
          <w:szCs w:val="24"/>
          <w:lang w:val="es-US"/>
        </w:rPr>
        <w:t>.</w:t>
      </w:r>
      <w:r w:rsidRPr="000D2B0B">
        <w:rPr>
          <w:rFonts w:ascii="Book Antiqua" w:eastAsia="Book Antiqua" w:hAnsi="Book Antiqua" w:cs="Book Antiqua"/>
          <w:sz w:val="24"/>
          <w:szCs w:val="24"/>
          <w:lang w:val="es-US"/>
        </w:rPr>
        <w:t xml:space="preserve"> Este inventario se utiliza para mantener comunicación directa con los hogares durante emergencias y evaluar la necesidad de relocalización o apoyo logístico, según la severidad del evento.</w:t>
      </w:r>
    </w:p>
    <w:p w14:paraId="0C118856" w14:textId="4DE900F9" w:rsidR="48F0A47A" w:rsidRPr="000D2B0B" w:rsidRDefault="48F0A47A" w:rsidP="4DBCB155">
      <w:pPr>
        <w:spacing w:before="240" w:after="240"/>
        <w:jc w:val="both"/>
        <w:rPr>
          <w:lang w:val="es-PR"/>
        </w:rPr>
      </w:pPr>
      <w:r w:rsidRPr="000D2B0B">
        <w:rPr>
          <w:rFonts w:ascii="Book Antiqua" w:eastAsia="Book Antiqua" w:hAnsi="Book Antiqua" w:cs="Book Antiqua"/>
          <w:sz w:val="24"/>
          <w:szCs w:val="24"/>
          <w:lang w:val="es-US"/>
        </w:rPr>
        <w:t xml:space="preserve">El Departamento enfatizó además que la Ley 57-2023, conocida como la </w:t>
      </w:r>
      <w:r w:rsidRPr="000D2B0B">
        <w:rPr>
          <w:rFonts w:ascii="Book Antiqua" w:eastAsia="Book Antiqua" w:hAnsi="Book Antiqua" w:cs="Book Antiqua"/>
          <w:i/>
          <w:iCs/>
          <w:sz w:val="24"/>
          <w:szCs w:val="24"/>
          <w:lang w:val="es-US"/>
        </w:rPr>
        <w:t>“Ley para la Prevención del Maltrato, Preservación de la Unidad Familiar y para la Seguridad, Bienestar y Protección de los Menores”</w:t>
      </w:r>
      <w:r w:rsidRPr="000D2B0B">
        <w:rPr>
          <w:rFonts w:ascii="Book Antiqua" w:eastAsia="Book Antiqua" w:hAnsi="Book Antiqua" w:cs="Book Antiqua"/>
          <w:sz w:val="24"/>
          <w:szCs w:val="24"/>
          <w:lang w:val="es-US"/>
        </w:rPr>
        <w:t xml:space="preserve">, sustituyó la antigua Ley 246-2011, </w:t>
      </w:r>
      <w:proofErr w:type="gramStart"/>
      <w:r w:rsidRPr="000D2B0B">
        <w:rPr>
          <w:rFonts w:ascii="Book Antiqua" w:eastAsia="Book Antiqua" w:hAnsi="Book Antiqua" w:cs="Book Antiqua"/>
          <w:sz w:val="24"/>
          <w:szCs w:val="24"/>
          <w:lang w:val="es-US"/>
        </w:rPr>
        <w:t>y</w:t>
      </w:r>
      <w:proofErr w:type="gramEnd"/>
      <w:r w:rsidRPr="000D2B0B">
        <w:rPr>
          <w:rFonts w:ascii="Book Antiqua" w:eastAsia="Book Antiqua" w:hAnsi="Book Antiqua" w:cs="Book Antiqua"/>
          <w:sz w:val="24"/>
          <w:szCs w:val="24"/>
          <w:lang w:val="es-US"/>
        </w:rPr>
        <w:t xml:space="preserve"> por ende, los términos correctos que deben emplearse en la medida son </w:t>
      </w:r>
      <w:r w:rsidRPr="000D2B0B">
        <w:rPr>
          <w:rFonts w:ascii="Book Antiqua" w:eastAsia="Book Antiqua" w:hAnsi="Book Antiqua" w:cs="Book Antiqua"/>
          <w:i/>
          <w:iCs/>
          <w:sz w:val="24"/>
          <w:szCs w:val="24"/>
          <w:lang w:val="es-US"/>
        </w:rPr>
        <w:t>“hogares de crianza”</w:t>
      </w:r>
      <w:r w:rsidRPr="000D2B0B">
        <w:rPr>
          <w:rFonts w:ascii="Book Antiqua" w:eastAsia="Book Antiqua" w:hAnsi="Book Antiqua" w:cs="Book Antiqua"/>
          <w:sz w:val="24"/>
          <w:szCs w:val="24"/>
          <w:lang w:val="es-US"/>
        </w:rPr>
        <w:t xml:space="preserve"> y </w:t>
      </w:r>
      <w:r w:rsidRPr="000D2B0B">
        <w:rPr>
          <w:rFonts w:ascii="Book Antiqua" w:eastAsia="Book Antiqua" w:hAnsi="Book Antiqua" w:cs="Book Antiqua"/>
          <w:i/>
          <w:iCs/>
          <w:sz w:val="24"/>
          <w:szCs w:val="24"/>
          <w:lang w:val="es-US"/>
        </w:rPr>
        <w:t>“establecimientos residenciales”</w:t>
      </w:r>
      <w:r w:rsidRPr="000D2B0B">
        <w:rPr>
          <w:rFonts w:ascii="Book Antiqua" w:eastAsia="Book Antiqua" w:hAnsi="Book Antiqua" w:cs="Book Antiqua"/>
          <w:sz w:val="24"/>
          <w:szCs w:val="24"/>
          <w:lang w:val="es-US"/>
        </w:rPr>
        <w:t>, conforme a las definiciones vigentes.</w:t>
      </w:r>
    </w:p>
    <w:p w14:paraId="0DFF624D" w14:textId="2C638F17" w:rsidR="48F0A47A" w:rsidRPr="000D2B0B" w:rsidRDefault="48F0A47A" w:rsidP="4DBCB155">
      <w:pPr>
        <w:spacing w:before="240" w:after="240"/>
        <w:jc w:val="both"/>
        <w:rPr>
          <w:lang w:val="es-PR"/>
        </w:rPr>
      </w:pPr>
      <w:r w:rsidRPr="000D2B0B">
        <w:rPr>
          <w:rFonts w:ascii="Book Antiqua" w:eastAsia="Book Antiqua" w:hAnsi="Book Antiqua" w:cs="Book Antiqua"/>
          <w:sz w:val="24"/>
          <w:szCs w:val="24"/>
          <w:lang w:val="es-US"/>
        </w:rPr>
        <w:t>Finalmente, el Departamento expresó su disponibilidad para colaborar con las agencias concernidas —en particular el NMEAD, la Autoridad de Energía Eléctrica / LUMA Energy, la Autoridad de Acueductos y Alcantarillados (AAA) y las empresas de telecomunicaciones— en la confección de un protocolo formal de coordinación que integre a los hogares de crianza dentro de los planes de restauración de servicios esenciales.</w:t>
      </w:r>
    </w:p>
    <w:p w14:paraId="03A125C7" w14:textId="7F599F2E" w:rsidR="4834EE2C" w:rsidRPr="000D2B0B" w:rsidRDefault="4834EE2C" w:rsidP="4DBCB155">
      <w:pPr>
        <w:pStyle w:val="Heading3"/>
        <w:spacing w:before="281" w:after="281"/>
        <w:jc w:val="both"/>
        <w:rPr>
          <w:rFonts w:ascii="Book Antiqua" w:eastAsia="Book Antiqua" w:hAnsi="Book Antiqua" w:cs="Book Antiqua"/>
          <w:b/>
          <w:bCs/>
          <w:color w:val="auto"/>
          <w:sz w:val="28"/>
          <w:szCs w:val="28"/>
          <w:lang w:val="es-US"/>
        </w:rPr>
      </w:pPr>
      <w:r w:rsidRPr="000D2B0B">
        <w:rPr>
          <w:rFonts w:ascii="Book Antiqua" w:eastAsia="Book Antiqua" w:hAnsi="Book Antiqua" w:cs="Book Antiqua"/>
          <w:b/>
          <w:bCs/>
          <w:color w:val="auto"/>
          <w:sz w:val="28"/>
          <w:szCs w:val="28"/>
          <w:lang w:val="es-US"/>
        </w:rPr>
        <w:t>ENMIENDAS SUGERIDAS</w:t>
      </w:r>
    </w:p>
    <w:p w14:paraId="42E27F51" w14:textId="23DC5F32" w:rsidR="4834EE2C" w:rsidRPr="000D2B0B" w:rsidRDefault="4834EE2C" w:rsidP="4DBCB155">
      <w:pPr>
        <w:spacing w:before="240" w:after="240"/>
        <w:jc w:val="both"/>
      </w:pPr>
      <w:r w:rsidRPr="000D2B0B">
        <w:rPr>
          <w:rFonts w:ascii="Book Antiqua" w:eastAsia="Book Antiqua" w:hAnsi="Book Antiqua" w:cs="Book Antiqua"/>
          <w:sz w:val="24"/>
          <w:szCs w:val="24"/>
          <w:lang w:val="es-US"/>
        </w:rPr>
        <w:t>El Departamento de la Familia no presentó objeciones de fondo a la medida, pero recomendó enmiendas técnicas y de lenguaje para armonizar el texto con la legislación y reglamentación vigente. Entre las sugerencias principales, se destacan:</w:t>
      </w:r>
    </w:p>
    <w:p w14:paraId="640AA296" w14:textId="4EDEF9DF" w:rsidR="4834EE2C" w:rsidRPr="000D2B0B" w:rsidRDefault="4834EE2C" w:rsidP="4DBCB155">
      <w:pPr>
        <w:pStyle w:val="ListParagraph"/>
        <w:numPr>
          <w:ilvl w:val="0"/>
          <w:numId w:val="2"/>
        </w:numPr>
        <w:spacing w:before="240" w:after="240"/>
        <w:jc w:val="both"/>
        <w:rPr>
          <w:rFonts w:ascii="Book Antiqua" w:eastAsia="Book Antiqua" w:hAnsi="Book Antiqua" w:cs="Book Antiqua"/>
          <w:sz w:val="24"/>
          <w:szCs w:val="24"/>
          <w:lang w:val="es-US"/>
        </w:rPr>
      </w:pPr>
      <w:r w:rsidRPr="000D2B0B">
        <w:rPr>
          <w:rFonts w:ascii="Book Antiqua" w:eastAsia="Book Antiqua" w:hAnsi="Book Antiqua" w:cs="Book Antiqua"/>
          <w:b/>
          <w:bCs/>
          <w:sz w:val="24"/>
          <w:szCs w:val="24"/>
          <w:lang w:val="es-US"/>
        </w:rPr>
        <w:t>Revisión Terminológica:</w:t>
      </w:r>
      <w:r w:rsidRPr="000D2B0B">
        <w:rPr>
          <w:lang w:val="es-PR"/>
        </w:rPr>
        <w:br/>
      </w:r>
      <w:r w:rsidRPr="000D2B0B">
        <w:rPr>
          <w:rFonts w:ascii="Book Antiqua" w:eastAsia="Book Antiqua" w:hAnsi="Book Antiqua" w:cs="Book Antiqua"/>
          <w:sz w:val="24"/>
          <w:szCs w:val="24"/>
          <w:lang w:val="es-US"/>
        </w:rPr>
        <w:t xml:space="preserve">Sustituir las referencias a </w:t>
      </w:r>
      <w:r w:rsidRPr="000D2B0B">
        <w:rPr>
          <w:rFonts w:ascii="Book Antiqua" w:eastAsia="Book Antiqua" w:hAnsi="Book Antiqua" w:cs="Book Antiqua"/>
          <w:i/>
          <w:iCs/>
          <w:sz w:val="24"/>
          <w:szCs w:val="24"/>
          <w:lang w:val="es-US"/>
        </w:rPr>
        <w:t>“hogares sustitutos y de transición”</w:t>
      </w:r>
      <w:r w:rsidRPr="000D2B0B">
        <w:rPr>
          <w:rFonts w:ascii="Book Antiqua" w:eastAsia="Book Antiqua" w:hAnsi="Book Antiqua" w:cs="Book Antiqua"/>
          <w:sz w:val="24"/>
          <w:szCs w:val="24"/>
          <w:lang w:val="es-US"/>
        </w:rPr>
        <w:t xml:space="preserve"> por los términos </w:t>
      </w:r>
      <w:r w:rsidRPr="000D2B0B">
        <w:rPr>
          <w:rFonts w:ascii="Book Antiqua" w:eastAsia="Book Antiqua" w:hAnsi="Book Antiqua" w:cs="Book Antiqua"/>
          <w:i/>
          <w:iCs/>
          <w:sz w:val="24"/>
          <w:szCs w:val="24"/>
          <w:lang w:val="es-US"/>
        </w:rPr>
        <w:t>“hogares de crianza”</w:t>
      </w:r>
      <w:r w:rsidRPr="000D2B0B">
        <w:rPr>
          <w:rFonts w:ascii="Book Antiqua" w:eastAsia="Book Antiqua" w:hAnsi="Book Antiqua" w:cs="Book Antiqua"/>
          <w:sz w:val="24"/>
          <w:szCs w:val="24"/>
          <w:lang w:val="es-US"/>
        </w:rPr>
        <w:t xml:space="preserve"> y </w:t>
      </w:r>
      <w:r w:rsidRPr="000D2B0B">
        <w:rPr>
          <w:rFonts w:ascii="Book Antiqua" w:eastAsia="Book Antiqua" w:hAnsi="Book Antiqua" w:cs="Book Antiqua"/>
          <w:i/>
          <w:iCs/>
          <w:sz w:val="24"/>
          <w:szCs w:val="24"/>
          <w:lang w:val="es-US"/>
        </w:rPr>
        <w:t>“establecimientos residenciales”</w:t>
      </w:r>
      <w:r w:rsidRPr="000D2B0B">
        <w:rPr>
          <w:rFonts w:ascii="Book Antiqua" w:eastAsia="Book Antiqua" w:hAnsi="Book Antiqua" w:cs="Book Antiqua"/>
          <w:sz w:val="24"/>
          <w:szCs w:val="24"/>
          <w:lang w:val="es-US"/>
        </w:rPr>
        <w:t xml:space="preserve">, conforme a la </w:t>
      </w:r>
      <w:r w:rsidRPr="000D2B0B">
        <w:rPr>
          <w:rFonts w:ascii="Book Antiqua" w:eastAsia="Book Antiqua" w:hAnsi="Book Antiqua" w:cs="Book Antiqua"/>
          <w:b/>
          <w:bCs/>
          <w:sz w:val="24"/>
          <w:szCs w:val="24"/>
          <w:lang w:val="es-US"/>
        </w:rPr>
        <w:t>Ley 57-2023</w:t>
      </w:r>
      <w:r w:rsidRPr="000D2B0B">
        <w:rPr>
          <w:rFonts w:ascii="Book Antiqua" w:eastAsia="Book Antiqua" w:hAnsi="Book Antiqua" w:cs="Book Antiqua"/>
          <w:sz w:val="24"/>
          <w:szCs w:val="24"/>
          <w:lang w:val="es-US"/>
        </w:rPr>
        <w:t>, a fin de mantener uniformidad legal y conceptual.</w:t>
      </w:r>
    </w:p>
    <w:p w14:paraId="3BF08763" w14:textId="588AA546" w:rsidR="4DBCB155" w:rsidRPr="000D2B0B" w:rsidRDefault="4DBCB155" w:rsidP="4DBCB155">
      <w:pPr>
        <w:pStyle w:val="ListParagraph"/>
        <w:spacing w:before="240" w:after="240"/>
        <w:jc w:val="both"/>
        <w:rPr>
          <w:rFonts w:ascii="Book Antiqua" w:eastAsia="Book Antiqua" w:hAnsi="Book Antiqua" w:cs="Book Antiqua"/>
          <w:sz w:val="24"/>
          <w:szCs w:val="24"/>
          <w:lang w:val="es-US"/>
        </w:rPr>
      </w:pPr>
    </w:p>
    <w:p w14:paraId="3577C41C" w14:textId="3F362E2A" w:rsidR="4834EE2C" w:rsidRPr="000D2B0B" w:rsidRDefault="4834EE2C" w:rsidP="4DBCB155">
      <w:pPr>
        <w:pStyle w:val="ListParagraph"/>
        <w:numPr>
          <w:ilvl w:val="0"/>
          <w:numId w:val="2"/>
        </w:numPr>
        <w:spacing w:before="240" w:after="240"/>
        <w:jc w:val="both"/>
        <w:rPr>
          <w:rFonts w:ascii="Book Antiqua" w:eastAsia="Book Antiqua" w:hAnsi="Book Antiqua" w:cs="Book Antiqua"/>
          <w:sz w:val="24"/>
          <w:szCs w:val="24"/>
          <w:lang w:val="es-US"/>
        </w:rPr>
      </w:pPr>
      <w:r w:rsidRPr="000D2B0B">
        <w:rPr>
          <w:rFonts w:ascii="Book Antiqua" w:eastAsia="Book Antiqua" w:hAnsi="Book Antiqua" w:cs="Book Antiqua"/>
          <w:b/>
          <w:bCs/>
          <w:sz w:val="24"/>
          <w:szCs w:val="24"/>
          <w:lang w:val="es-US"/>
        </w:rPr>
        <w:t>Alineación con Reglamentación Vigente:</w:t>
      </w:r>
      <w:r w:rsidRPr="000D2B0B">
        <w:rPr>
          <w:lang w:val="es-PR"/>
        </w:rPr>
        <w:br/>
      </w:r>
      <w:r w:rsidRPr="000D2B0B">
        <w:rPr>
          <w:rFonts w:ascii="Book Antiqua" w:eastAsia="Book Antiqua" w:hAnsi="Book Antiqua" w:cs="Book Antiqua"/>
          <w:sz w:val="24"/>
          <w:szCs w:val="24"/>
          <w:lang w:val="es-US"/>
        </w:rPr>
        <w:t xml:space="preserve">Incorporar una referencia expresa al </w:t>
      </w:r>
      <w:r w:rsidRPr="000D2B0B">
        <w:rPr>
          <w:rFonts w:ascii="Book Antiqua" w:eastAsia="Book Antiqua" w:hAnsi="Book Antiqua" w:cs="Book Antiqua"/>
          <w:b/>
          <w:bCs/>
          <w:sz w:val="24"/>
          <w:szCs w:val="24"/>
          <w:lang w:val="es-US"/>
        </w:rPr>
        <w:t xml:space="preserve">Reglamento Núm. 8860 del Departamento </w:t>
      </w:r>
      <w:r w:rsidRPr="000D2B0B">
        <w:rPr>
          <w:rFonts w:ascii="Book Antiqua" w:eastAsia="Book Antiqua" w:hAnsi="Book Antiqua" w:cs="Book Antiqua"/>
          <w:b/>
          <w:bCs/>
          <w:sz w:val="24"/>
          <w:szCs w:val="24"/>
          <w:lang w:val="es-US"/>
        </w:rPr>
        <w:lastRenderedPageBreak/>
        <w:t>de la Familia</w:t>
      </w:r>
      <w:r w:rsidRPr="000D2B0B">
        <w:rPr>
          <w:rFonts w:ascii="Book Antiqua" w:eastAsia="Book Antiqua" w:hAnsi="Book Antiqua" w:cs="Book Antiqua"/>
          <w:sz w:val="24"/>
          <w:szCs w:val="24"/>
          <w:lang w:val="es-US"/>
        </w:rPr>
        <w:t xml:space="preserve">, que regula la operación, licenciamiento y supervisión de los hogares de crianza, para garantizar que las obligaciones del proyecto sean compatibles con los procedimientos </w:t>
      </w:r>
      <w:proofErr w:type="gramStart"/>
      <w:r w:rsidRPr="000D2B0B">
        <w:rPr>
          <w:rFonts w:ascii="Book Antiqua" w:eastAsia="Book Antiqua" w:hAnsi="Book Antiqua" w:cs="Book Antiqua"/>
          <w:sz w:val="24"/>
          <w:szCs w:val="24"/>
          <w:lang w:val="es-US"/>
        </w:rPr>
        <w:t>actualmente en vigor</w:t>
      </w:r>
      <w:proofErr w:type="gramEnd"/>
      <w:r w:rsidRPr="000D2B0B">
        <w:rPr>
          <w:rFonts w:ascii="Book Antiqua" w:eastAsia="Book Antiqua" w:hAnsi="Book Antiqua" w:cs="Book Antiqua"/>
          <w:sz w:val="24"/>
          <w:szCs w:val="24"/>
          <w:lang w:val="es-US"/>
        </w:rPr>
        <w:t>.</w:t>
      </w:r>
    </w:p>
    <w:p w14:paraId="0D3B5F48" w14:textId="682D0983" w:rsidR="4DBCB155" w:rsidRPr="000D2B0B" w:rsidRDefault="4DBCB155" w:rsidP="4DBCB155">
      <w:pPr>
        <w:pStyle w:val="ListParagraph"/>
        <w:spacing w:before="240" w:after="240"/>
        <w:jc w:val="both"/>
        <w:rPr>
          <w:rFonts w:ascii="Book Antiqua" w:eastAsia="Book Antiqua" w:hAnsi="Book Antiqua" w:cs="Book Antiqua"/>
          <w:sz w:val="24"/>
          <w:szCs w:val="24"/>
          <w:lang w:val="es-US"/>
        </w:rPr>
      </w:pPr>
    </w:p>
    <w:p w14:paraId="57B3923D" w14:textId="1E82518D" w:rsidR="4834EE2C" w:rsidRPr="000D2B0B" w:rsidRDefault="4834EE2C" w:rsidP="4DBCB155">
      <w:pPr>
        <w:pStyle w:val="ListParagraph"/>
        <w:numPr>
          <w:ilvl w:val="0"/>
          <w:numId w:val="2"/>
        </w:numPr>
        <w:spacing w:before="240" w:after="240"/>
        <w:jc w:val="both"/>
        <w:rPr>
          <w:rFonts w:ascii="Book Antiqua" w:eastAsia="Book Antiqua" w:hAnsi="Book Antiqua" w:cs="Book Antiqua"/>
          <w:sz w:val="24"/>
          <w:szCs w:val="24"/>
          <w:lang w:val="es-US"/>
        </w:rPr>
      </w:pPr>
      <w:r w:rsidRPr="000D2B0B">
        <w:rPr>
          <w:rFonts w:ascii="Book Antiqua" w:eastAsia="Book Antiqua" w:hAnsi="Book Antiqua" w:cs="Book Antiqua"/>
          <w:b/>
          <w:bCs/>
          <w:sz w:val="24"/>
          <w:szCs w:val="24"/>
          <w:lang w:val="es-US"/>
        </w:rPr>
        <w:t xml:space="preserve">Formalización de Protocolos </w:t>
      </w:r>
      <w:proofErr w:type="spellStart"/>
      <w:r w:rsidRPr="000D2B0B">
        <w:rPr>
          <w:rFonts w:ascii="Book Antiqua" w:eastAsia="Book Antiqua" w:hAnsi="Book Antiqua" w:cs="Book Antiqua"/>
          <w:b/>
          <w:bCs/>
          <w:sz w:val="24"/>
          <w:szCs w:val="24"/>
          <w:lang w:val="es-US"/>
        </w:rPr>
        <w:t>Interagenciales</w:t>
      </w:r>
      <w:proofErr w:type="spellEnd"/>
      <w:r w:rsidRPr="000D2B0B">
        <w:rPr>
          <w:rFonts w:ascii="Book Antiqua" w:eastAsia="Book Antiqua" w:hAnsi="Book Antiqua" w:cs="Book Antiqua"/>
          <w:b/>
          <w:bCs/>
          <w:sz w:val="24"/>
          <w:szCs w:val="24"/>
          <w:lang w:val="es-US"/>
        </w:rPr>
        <w:t>:</w:t>
      </w:r>
      <w:r w:rsidRPr="000D2B0B">
        <w:rPr>
          <w:lang w:val="es-PR"/>
        </w:rPr>
        <w:br/>
      </w:r>
      <w:r w:rsidRPr="000D2B0B">
        <w:rPr>
          <w:rFonts w:ascii="Book Antiqua" w:eastAsia="Book Antiqua" w:hAnsi="Book Antiqua" w:cs="Book Antiqua"/>
          <w:sz w:val="24"/>
          <w:szCs w:val="24"/>
          <w:lang w:val="es-US"/>
        </w:rPr>
        <w:t xml:space="preserve">Requerir que el Departamento mantenga actualizada la información sobre los hogares licenciados y que, antes del inicio de cada temporada de huracanes, remita dicha data al </w:t>
      </w:r>
      <w:r w:rsidRPr="000D2B0B">
        <w:rPr>
          <w:rFonts w:ascii="Book Antiqua" w:eastAsia="Book Antiqua" w:hAnsi="Book Antiqua" w:cs="Book Antiqua"/>
          <w:b/>
          <w:bCs/>
          <w:sz w:val="24"/>
          <w:szCs w:val="24"/>
          <w:lang w:val="es-US"/>
        </w:rPr>
        <w:t>NMEAD</w:t>
      </w:r>
      <w:r w:rsidRPr="000D2B0B">
        <w:rPr>
          <w:rFonts w:ascii="Book Antiqua" w:eastAsia="Book Antiqua" w:hAnsi="Book Antiqua" w:cs="Book Antiqua"/>
          <w:sz w:val="24"/>
          <w:szCs w:val="24"/>
          <w:lang w:val="es-US"/>
        </w:rPr>
        <w:t xml:space="preserve"> y a las entidades encargadas de los servicios esenciales para su inclusión en los planes de respuesta y recuperación.</w:t>
      </w:r>
    </w:p>
    <w:p w14:paraId="686113B8" w14:textId="78D93F12" w:rsidR="4DBCB155" w:rsidRPr="000D2B0B" w:rsidRDefault="4DBCB155" w:rsidP="4DBCB155">
      <w:pPr>
        <w:pStyle w:val="ListParagraph"/>
        <w:spacing w:before="240" w:after="240"/>
        <w:jc w:val="both"/>
        <w:rPr>
          <w:rFonts w:ascii="Book Antiqua" w:eastAsia="Book Antiqua" w:hAnsi="Book Antiqua" w:cs="Book Antiqua"/>
          <w:sz w:val="24"/>
          <w:szCs w:val="24"/>
          <w:lang w:val="es-US"/>
        </w:rPr>
      </w:pPr>
    </w:p>
    <w:p w14:paraId="0B2621BF" w14:textId="1FC10E2B" w:rsidR="4834EE2C" w:rsidRPr="000D2B0B" w:rsidRDefault="4834EE2C" w:rsidP="4DBCB155">
      <w:pPr>
        <w:pStyle w:val="ListParagraph"/>
        <w:numPr>
          <w:ilvl w:val="0"/>
          <w:numId w:val="2"/>
        </w:numPr>
        <w:spacing w:before="240" w:after="240"/>
        <w:jc w:val="both"/>
        <w:rPr>
          <w:rFonts w:ascii="Book Antiqua" w:eastAsia="Book Antiqua" w:hAnsi="Book Antiqua" w:cs="Book Antiqua"/>
          <w:sz w:val="24"/>
          <w:szCs w:val="24"/>
          <w:lang w:val="es-US"/>
        </w:rPr>
      </w:pPr>
      <w:r w:rsidRPr="000D2B0B">
        <w:rPr>
          <w:rFonts w:ascii="Book Antiqua" w:eastAsia="Book Antiqua" w:hAnsi="Book Antiqua" w:cs="Book Antiqua"/>
          <w:b/>
          <w:bCs/>
          <w:sz w:val="24"/>
          <w:szCs w:val="24"/>
          <w:lang w:val="es-US"/>
        </w:rPr>
        <w:t>Enmienda de Concordancia Legal:</w:t>
      </w:r>
      <w:r w:rsidRPr="000D2B0B">
        <w:rPr>
          <w:lang w:val="es-PR"/>
        </w:rPr>
        <w:br/>
      </w:r>
      <w:r w:rsidRPr="000D2B0B">
        <w:rPr>
          <w:rFonts w:ascii="Book Antiqua" w:eastAsia="Book Antiqua" w:hAnsi="Book Antiqua" w:cs="Book Antiqua"/>
          <w:sz w:val="24"/>
          <w:szCs w:val="24"/>
          <w:lang w:val="es-US"/>
        </w:rPr>
        <w:t xml:space="preserve">Ajustar la exposición de motivos y los artículos operativos del proyecto para eliminar la referencia a la derogada </w:t>
      </w:r>
      <w:r w:rsidRPr="000D2B0B">
        <w:rPr>
          <w:rFonts w:ascii="Book Antiqua" w:eastAsia="Book Antiqua" w:hAnsi="Book Antiqua" w:cs="Book Antiqua"/>
          <w:b/>
          <w:bCs/>
          <w:sz w:val="24"/>
          <w:szCs w:val="24"/>
          <w:lang w:val="es-US"/>
        </w:rPr>
        <w:t>Ley 246-2011</w:t>
      </w:r>
      <w:r w:rsidRPr="000D2B0B">
        <w:rPr>
          <w:rFonts w:ascii="Book Antiqua" w:eastAsia="Book Antiqua" w:hAnsi="Book Antiqua" w:cs="Book Antiqua"/>
          <w:sz w:val="24"/>
          <w:szCs w:val="24"/>
          <w:lang w:val="es-US"/>
        </w:rPr>
        <w:t xml:space="preserve"> y sustituirla por la legislación vigente, con el propósito de evitar ambigüedades o conflictos interpretativos.</w:t>
      </w:r>
    </w:p>
    <w:p w14:paraId="30DD77DE" w14:textId="77777777" w:rsidR="00AB3BAE" w:rsidRPr="000D2B0B" w:rsidRDefault="00AB3BAE" w:rsidP="47B2C723">
      <w:pPr>
        <w:spacing w:after="0" w:line="240" w:lineRule="auto"/>
        <w:jc w:val="both"/>
        <w:rPr>
          <w:rFonts w:ascii="Book Antiqua" w:eastAsia="Book Antiqua" w:hAnsi="Book Antiqua" w:cs="Book Antiqua"/>
          <w:sz w:val="24"/>
          <w:szCs w:val="24"/>
          <w:lang w:val="es-US"/>
        </w:rPr>
      </w:pPr>
    </w:p>
    <w:p w14:paraId="584D4936" w14:textId="44C947F4" w:rsidR="57E29EC1" w:rsidRPr="000D2B0B" w:rsidRDefault="57E29EC1" w:rsidP="4DBCB155">
      <w:pPr>
        <w:spacing w:after="0" w:line="240" w:lineRule="auto"/>
        <w:jc w:val="center"/>
        <w:rPr>
          <w:lang w:val="es-PR"/>
        </w:rPr>
      </w:pPr>
      <w:r w:rsidRPr="000D2B0B">
        <w:rPr>
          <w:rFonts w:ascii="Book Antiqua" w:eastAsia="Book Antiqua" w:hAnsi="Book Antiqua" w:cs="Book Antiqua"/>
          <w:b/>
          <w:bCs/>
          <w:sz w:val="24"/>
          <w:szCs w:val="24"/>
          <w:lang w:val="es-US"/>
        </w:rPr>
        <w:t>Autoridad de Acueductos y Alcantarillados (AAA)</w:t>
      </w:r>
    </w:p>
    <w:p w14:paraId="07CD78FF" w14:textId="35124E43" w:rsidR="00AB3BAE" w:rsidRPr="000D2B0B" w:rsidRDefault="00AB3BAE" w:rsidP="4DBCB155">
      <w:pPr>
        <w:spacing w:after="0" w:line="240" w:lineRule="auto"/>
        <w:jc w:val="both"/>
        <w:rPr>
          <w:rFonts w:ascii="Book Antiqua" w:eastAsia="Book Antiqua" w:hAnsi="Book Antiqua" w:cs="Book Antiqua"/>
          <w:b/>
          <w:bCs/>
          <w:sz w:val="24"/>
          <w:szCs w:val="24"/>
          <w:lang w:val="es-PR"/>
        </w:rPr>
      </w:pPr>
    </w:p>
    <w:p w14:paraId="202751F6" w14:textId="332ACE21" w:rsidR="57E29EC1" w:rsidRPr="000D2B0B" w:rsidRDefault="57E29EC1" w:rsidP="4DBCB155">
      <w:pPr>
        <w:spacing w:after="0" w:line="240" w:lineRule="auto"/>
        <w:jc w:val="both"/>
        <w:rPr>
          <w:lang w:val="es-PR"/>
        </w:rPr>
      </w:pPr>
      <w:r w:rsidRPr="000D2B0B">
        <w:rPr>
          <w:rFonts w:ascii="Book Antiqua" w:eastAsia="Book Antiqua" w:hAnsi="Book Antiqua" w:cs="Book Antiqua"/>
          <w:sz w:val="24"/>
          <w:szCs w:val="24"/>
          <w:lang w:val="es-US"/>
        </w:rPr>
        <w:t xml:space="preserve">Asimismo, esta Comisión </w:t>
      </w:r>
      <w:r w:rsidRPr="000D2B0B">
        <w:rPr>
          <w:rFonts w:ascii="Book Antiqua" w:eastAsia="Book Antiqua" w:hAnsi="Book Antiqua" w:cs="Book Antiqua"/>
          <w:b/>
          <w:bCs/>
          <w:sz w:val="24"/>
          <w:szCs w:val="24"/>
          <w:lang w:val="es-US"/>
        </w:rPr>
        <w:t>citó formalmente a la Autoridad de Acueductos y Alcantarillados (AAA)</w:t>
      </w:r>
      <w:r w:rsidRPr="000D2B0B">
        <w:rPr>
          <w:rFonts w:ascii="Book Antiqua" w:eastAsia="Book Antiqua" w:hAnsi="Book Antiqua" w:cs="Book Antiqua"/>
          <w:sz w:val="24"/>
          <w:szCs w:val="24"/>
          <w:lang w:val="es-US"/>
        </w:rPr>
        <w:t xml:space="preserve"> a comparecer a la vista pública celebrada para la evaluación del Proyecto de la Cámara 834, y se le </w:t>
      </w:r>
      <w:r w:rsidRPr="000D2B0B">
        <w:rPr>
          <w:rFonts w:ascii="Book Antiqua" w:eastAsia="Book Antiqua" w:hAnsi="Book Antiqua" w:cs="Book Antiqua"/>
          <w:b/>
          <w:bCs/>
          <w:sz w:val="24"/>
          <w:szCs w:val="24"/>
          <w:lang w:val="es-US"/>
        </w:rPr>
        <w:t>requirió la presentación de un memorial explicativo</w:t>
      </w:r>
      <w:r w:rsidRPr="000D2B0B">
        <w:rPr>
          <w:rFonts w:ascii="Book Antiqua" w:eastAsia="Book Antiqua" w:hAnsi="Book Antiqua" w:cs="Book Antiqua"/>
          <w:sz w:val="24"/>
          <w:szCs w:val="24"/>
          <w:lang w:val="es-US"/>
        </w:rPr>
        <w:t xml:space="preserve"> sobre la medida. No obstante, </w:t>
      </w:r>
      <w:r w:rsidRPr="000D2B0B">
        <w:rPr>
          <w:rFonts w:ascii="Book Antiqua" w:eastAsia="Book Antiqua" w:hAnsi="Book Antiqua" w:cs="Book Antiqua"/>
          <w:b/>
          <w:bCs/>
          <w:sz w:val="24"/>
          <w:szCs w:val="24"/>
          <w:lang w:val="es-US"/>
        </w:rPr>
        <w:t>horas antes de celebrarse la vista pública</w:t>
      </w:r>
      <w:r w:rsidRPr="000D2B0B">
        <w:rPr>
          <w:rFonts w:ascii="Book Antiqua" w:eastAsia="Book Antiqua" w:hAnsi="Book Antiqua" w:cs="Book Antiqua"/>
          <w:sz w:val="24"/>
          <w:szCs w:val="24"/>
          <w:lang w:val="es-US"/>
        </w:rPr>
        <w:t xml:space="preserve">, la Autoridad </w:t>
      </w:r>
      <w:r w:rsidRPr="000D2B0B">
        <w:rPr>
          <w:rFonts w:ascii="Book Antiqua" w:eastAsia="Book Antiqua" w:hAnsi="Book Antiqua" w:cs="Book Antiqua"/>
          <w:b/>
          <w:bCs/>
          <w:sz w:val="24"/>
          <w:szCs w:val="24"/>
          <w:lang w:val="es-US"/>
        </w:rPr>
        <w:t>se excusó mediante comunicación electrónica</w:t>
      </w:r>
      <w:r w:rsidRPr="000D2B0B">
        <w:rPr>
          <w:rFonts w:ascii="Book Antiqua" w:eastAsia="Book Antiqua" w:hAnsi="Book Antiqua" w:cs="Book Antiqua"/>
          <w:sz w:val="24"/>
          <w:szCs w:val="24"/>
          <w:lang w:val="es-US"/>
        </w:rPr>
        <w:t>, sin someter ponencia escrita ni ofrecer justificación técnica o institucional sobre el alcance de la medida evaluada.</w:t>
      </w:r>
    </w:p>
    <w:p w14:paraId="3A65FDCD" w14:textId="15ADA39C" w:rsidR="4DBCB155" w:rsidRPr="000D2B0B" w:rsidRDefault="4DBCB155" w:rsidP="4DBCB155">
      <w:pPr>
        <w:spacing w:after="0" w:line="240" w:lineRule="auto"/>
        <w:jc w:val="both"/>
        <w:rPr>
          <w:rFonts w:ascii="Book Antiqua" w:eastAsia="Book Antiqua" w:hAnsi="Book Antiqua" w:cs="Book Antiqua"/>
          <w:sz w:val="24"/>
          <w:szCs w:val="24"/>
          <w:lang w:val="es-US"/>
        </w:rPr>
      </w:pPr>
    </w:p>
    <w:p w14:paraId="1BF888AA" w14:textId="07AE18AF" w:rsidR="00606461" w:rsidRPr="000D2B0B" w:rsidRDefault="00C57C4A" w:rsidP="4DBCB155">
      <w:pPr>
        <w:spacing w:after="0" w:line="240" w:lineRule="auto"/>
        <w:jc w:val="both"/>
        <w:rPr>
          <w:rFonts w:ascii="Book Antiqua" w:eastAsia="Book Antiqua" w:hAnsi="Book Antiqua" w:cs="Book Antiqua"/>
          <w:b/>
          <w:bCs/>
          <w:sz w:val="24"/>
          <w:szCs w:val="24"/>
          <w:lang w:val="es-PR"/>
        </w:rPr>
      </w:pPr>
      <w:r w:rsidRPr="000D2B0B">
        <w:rPr>
          <w:rFonts w:ascii="Book Antiqua" w:eastAsia="Book Antiqua" w:hAnsi="Book Antiqua" w:cs="Book Antiqua"/>
          <w:b/>
          <w:bCs/>
          <w:sz w:val="24"/>
          <w:szCs w:val="24"/>
          <w:lang w:val="es-PR"/>
        </w:rPr>
        <w:t>RECOMENDACIONES</w:t>
      </w:r>
      <w:r w:rsidR="003E7904" w:rsidRPr="000D2B0B">
        <w:rPr>
          <w:rFonts w:ascii="Book Antiqua" w:eastAsia="Book Antiqua" w:hAnsi="Book Antiqua" w:cs="Book Antiqua"/>
          <w:b/>
          <w:bCs/>
          <w:sz w:val="24"/>
          <w:szCs w:val="24"/>
          <w:lang w:val="es-PR"/>
        </w:rPr>
        <w:t xml:space="preserve"> Y CONCLUSIONES</w:t>
      </w:r>
    </w:p>
    <w:p w14:paraId="4D2368D1" w14:textId="51014B69" w:rsidR="165DA381" w:rsidRPr="000D2B0B" w:rsidRDefault="165DA381" w:rsidP="4DBCB155">
      <w:pPr>
        <w:spacing w:before="240" w:after="240"/>
        <w:jc w:val="both"/>
        <w:rPr>
          <w:lang w:val="es-PR"/>
        </w:rPr>
      </w:pPr>
      <w:r w:rsidRPr="000D2B0B">
        <w:rPr>
          <w:rFonts w:ascii="Book Antiqua" w:eastAsia="Book Antiqua" w:hAnsi="Book Antiqua" w:cs="Book Antiqua"/>
          <w:sz w:val="24"/>
          <w:szCs w:val="24"/>
          <w:lang w:val="es-ES"/>
        </w:rPr>
        <w:t xml:space="preserve">Luego de analizar el </w:t>
      </w:r>
      <w:r w:rsidRPr="000D2B0B">
        <w:rPr>
          <w:rFonts w:ascii="Book Antiqua" w:eastAsia="Book Antiqua" w:hAnsi="Book Antiqua" w:cs="Book Antiqua"/>
          <w:b/>
          <w:bCs/>
          <w:sz w:val="24"/>
          <w:szCs w:val="24"/>
          <w:lang w:val="es-ES"/>
        </w:rPr>
        <w:t>Proyecto de la Cámara 834</w:t>
      </w:r>
      <w:r w:rsidRPr="000D2B0B">
        <w:rPr>
          <w:rFonts w:ascii="Book Antiqua" w:eastAsia="Book Antiqua" w:hAnsi="Book Antiqua" w:cs="Book Antiqua"/>
          <w:sz w:val="24"/>
          <w:szCs w:val="24"/>
          <w:lang w:val="es-ES"/>
        </w:rPr>
        <w:t>, así como las ponencias y memoriales explicativos sometidos por las entidades comparecientes, esta Comisión concluye que la medida propuesta responde a una necesidad legítima de política pública dirigida a garantizar la protección de los menores bajo la custodia del Estado durante situaciones de emergencia o desastre. Resulta indispensable que los hogares de crianza y establecimientos residenciales sean reconocidos como facilidades prioritarias en los planes de restablecimiento de servicios esenciales, al tratarse de espacios que albergan una población vulnerable que depende enteramente del Estado para su cuidado, seguridad y bienestar.</w:t>
      </w:r>
    </w:p>
    <w:p w14:paraId="477219A8" w14:textId="1CABD87A" w:rsidR="165DA381" w:rsidRPr="000D2B0B" w:rsidRDefault="165DA381" w:rsidP="4DBCB155">
      <w:pPr>
        <w:spacing w:before="240" w:after="240"/>
        <w:jc w:val="both"/>
        <w:rPr>
          <w:lang w:val="es-PR"/>
        </w:rPr>
      </w:pPr>
      <w:r w:rsidRPr="000D2B0B">
        <w:rPr>
          <w:rFonts w:ascii="Book Antiqua" w:eastAsia="Book Antiqua" w:hAnsi="Book Antiqua" w:cs="Book Antiqua"/>
          <w:sz w:val="24"/>
          <w:szCs w:val="24"/>
          <w:lang w:val="es-ES"/>
        </w:rPr>
        <w:t>La Comisión coincide con la intención legislativa expresada en el proyecto y acoge parcialmente las recomendaciones técnicas y enmiendas sugeridas por las agencias y corporaciones públicas que comparecieron a vista pública, conforme se detalla a continuación:</w:t>
      </w:r>
    </w:p>
    <w:p w14:paraId="6EDCB5EA" w14:textId="063FB911" w:rsidR="165DA381" w:rsidRPr="000D2B0B" w:rsidRDefault="165DA381" w:rsidP="4DBCB155">
      <w:pPr>
        <w:pStyle w:val="ListParagraph"/>
        <w:numPr>
          <w:ilvl w:val="0"/>
          <w:numId w:val="1"/>
        </w:numPr>
        <w:spacing w:before="240" w:after="240"/>
        <w:jc w:val="both"/>
        <w:rPr>
          <w:rFonts w:ascii="Book Antiqua" w:eastAsia="Book Antiqua" w:hAnsi="Book Antiqua" w:cs="Book Antiqua"/>
          <w:b/>
          <w:bCs/>
          <w:sz w:val="24"/>
          <w:szCs w:val="24"/>
          <w:lang w:val="es-ES"/>
        </w:rPr>
      </w:pPr>
      <w:r w:rsidRPr="000D2B0B">
        <w:rPr>
          <w:rFonts w:ascii="Book Antiqua" w:eastAsia="Book Antiqua" w:hAnsi="Book Antiqua" w:cs="Book Antiqua"/>
          <w:b/>
          <w:bCs/>
          <w:sz w:val="24"/>
          <w:szCs w:val="24"/>
          <w:lang w:val="es-ES"/>
        </w:rPr>
        <w:t>Enmiendas Acogidas de LUMA Energy</w:t>
      </w:r>
    </w:p>
    <w:p w14:paraId="174F9169" w14:textId="7830587F" w:rsidR="165DA381" w:rsidRPr="000D2B0B" w:rsidRDefault="165DA381" w:rsidP="4DBCB155">
      <w:pPr>
        <w:pStyle w:val="ListParagraph"/>
        <w:numPr>
          <w:ilvl w:val="1"/>
          <w:numId w:val="1"/>
        </w:numPr>
        <w:spacing w:before="240" w:after="240"/>
        <w:jc w:val="both"/>
        <w:rPr>
          <w:rFonts w:ascii="Book Antiqua" w:eastAsia="Book Antiqua" w:hAnsi="Book Antiqua" w:cs="Book Antiqua"/>
          <w:sz w:val="24"/>
          <w:szCs w:val="24"/>
          <w:lang w:val="es-ES"/>
        </w:rPr>
      </w:pPr>
      <w:r w:rsidRPr="000D2B0B">
        <w:rPr>
          <w:rFonts w:ascii="Book Antiqua" w:eastAsia="Book Antiqua" w:hAnsi="Book Antiqua" w:cs="Book Antiqua"/>
          <w:b/>
          <w:bCs/>
          <w:sz w:val="24"/>
          <w:szCs w:val="24"/>
          <w:lang w:val="es-ES"/>
        </w:rPr>
        <w:lastRenderedPageBreak/>
        <w:t>Sustitución de Terminología Legal:</w:t>
      </w:r>
      <w:r w:rsidRPr="000D2B0B">
        <w:rPr>
          <w:lang w:val="es-PR"/>
        </w:rPr>
        <w:br/>
      </w:r>
      <w:r w:rsidRPr="000D2B0B">
        <w:rPr>
          <w:rFonts w:ascii="Book Antiqua" w:eastAsia="Book Antiqua" w:hAnsi="Book Antiqua" w:cs="Book Antiqua"/>
          <w:sz w:val="24"/>
          <w:szCs w:val="24"/>
          <w:lang w:val="es-ES"/>
        </w:rPr>
        <w:t xml:space="preserve">Se acoge la recomendación de sustituir los términos </w:t>
      </w:r>
      <w:r w:rsidRPr="000D2B0B">
        <w:rPr>
          <w:rFonts w:ascii="Book Antiqua" w:eastAsia="Book Antiqua" w:hAnsi="Book Antiqua" w:cs="Book Antiqua"/>
          <w:i/>
          <w:iCs/>
          <w:sz w:val="24"/>
          <w:szCs w:val="24"/>
          <w:lang w:val="es-ES"/>
        </w:rPr>
        <w:t>“hogar sustituto”</w:t>
      </w:r>
      <w:r w:rsidRPr="000D2B0B">
        <w:rPr>
          <w:rFonts w:ascii="Book Antiqua" w:eastAsia="Book Antiqua" w:hAnsi="Book Antiqua" w:cs="Book Antiqua"/>
          <w:sz w:val="24"/>
          <w:szCs w:val="24"/>
          <w:lang w:val="es-ES"/>
        </w:rPr>
        <w:t xml:space="preserve"> y </w:t>
      </w:r>
      <w:r w:rsidRPr="000D2B0B">
        <w:rPr>
          <w:rFonts w:ascii="Book Antiqua" w:eastAsia="Book Antiqua" w:hAnsi="Book Antiqua" w:cs="Book Antiqua"/>
          <w:i/>
          <w:iCs/>
          <w:sz w:val="24"/>
          <w:szCs w:val="24"/>
          <w:lang w:val="es-ES"/>
        </w:rPr>
        <w:t>“hogar de transición”</w:t>
      </w:r>
      <w:r w:rsidRPr="000D2B0B">
        <w:rPr>
          <w:rFonts w:ascii="Book Antiqua" w:eastAsia="Book Antiqua" w:hAnsi="Book Antiqua" w:cs="Book Antiqua"/>
          <w:sz w:val="24"/>
          <w:szCs w:val="24"/>
          <w:lang w:val="es-ES"/>
        </w:rPr>
        <w:t xml:space="preserve"> por </w:t>
      </w:r>
      <w:r w:rsidRPr="000D2B0B">
        <w:rPr>
          <w:rFonts w:ascii="Book Antiqua" w:eastAsia="Book Antiqua" w:hAnsi="Book Antiqua" w:cs="Book Antiqua"/>
          <w:i/>
          <w:iCs/>
          <w:sz w:val="24"/>
          <w:szCs w:val="24"/>
          <w:lang w:val="es-ES"/>
        </w:rPr>
        <w:t>“establecimiento residencial”</w:t>
      </w:r>
      <w:r w:rsidRPr="000D2B0B">
        <w:rPr>
          <w:rFonts w:ascii="Book Antiqua" w:eastAsia="Book Antiqua" w:hAnsi="Book Antiqua" w:cs="Book Antiqua"/>
          <w:sz w:val="24"/>
          <w:szCs w:val="24"/>
          <w:lang w:val="es-ES"/>
        </w:rPr>
        <w:t xml:space="preserve"> y </w:t>
      </w:r>
      <w:r w:rsidRPr="000D2B0B">
        <w:rPr>
          <w:rFonts w:ascii="Book Antiqua" w:eastAsia="Book Antiqua" w:hAnsi="Book Antiqua" w:cs="Book Antiqua"/>
          <w:i/>
          <w:iCs/>
          <w:sz w:val="24"/>
          <w:szCs w:val="24"/>
          <w:lang w:val="es-ES"/>
        </w:rPr>
        <w:t>“hogar de crianza”</w:t>
      </w:r>
      <w:r w:rsidRPr="000D2B0B">
        <w:rPr>
          <w:rFonts w:ascii="Book Antiqua" w:eastAsia="Book Antiqua" w:hAnsi="Book Antiqua" w:cs="Book Antiqua"/>
          <w:sz w:val="24"/>
          <w:szCs w:val="24"/>
          <w:lang w:val="es-ES"/>
        </w:rPr>
        <w:t xml:space="preserve">, conforme a las disposiciones de la </w:t>
      </w:r>
      <w:r w:rsidRPr="000D2B0B">
        <w:rPr>
          <w:rFonts w:ascii="Book Antiqua" w:eastAsia="Book Antiqua" w:hAnsi="Book Antiqua" w:cs="Book Antiqua"/>
          <w:b/>
          <w:bCs/>
          <w:sz w:val="24"/>
          <w:szCs w:val="24"/>
          <w:lang w:val="es-ES"/>
        </w:rPr>
        <w:t>Ley 57-2023</w:t>
      </w:r>
      <w:r w:rsidRPr="000D2B0B">
        <w:rPr>
          <w:rFonts w:ascii="Book Antiqua" w:eastAsia="Book Antiqua" w:hAnsi="Book Antiqua" w:cs="Book Antiqua"/>
          <w:sz w:val="24"/>
          <w:szCs w:val="24"/>
          <w:lang w:val="es-ES"/>
        </w:rPr>
        <w:t xml:space="preserve">, conocida como la </w:t>
      </w:r>
      <w:r w:rsidRPr="000D2B0B">
        <w:rPr>
          <w:rFonts w:ascii="Book Antiqua" w:eastAsia="Book Antiqua" w:hAnsi="Book Antiqua" w:cs="Book Antiqua"/>
          <w:i/>
          <w:iCs/>
          <w:sz w:val="24"/>
          <w:szCs w:val="24"/>
          <w:lang w:val="es-ES"/>
        </w:rPr>
        <w:t>“Ley para la Prevención del Maltrato, Preservación de la Unidad Familiar y para la Seguridad, Bienestar y Protección de los Menores”</w:t>
      </w:r>
      <w:r w:rsidRPr="000D2B0B">
        <w:rPr>
          <w:rFonts w:ascii="Book Antiqua" w:eastAsia="Book Antiqua" w:hAnsi="Book Antiqua" w:cs="Book Antiqua"/>
          <w:sz w:val="24"/>
          <w:szCs w:val="24"/>
          <w:lang w:val="es-ES"/>
        </w:rPr>
        <w:t xml:space="preserve">. Esta enmienda actualiza el lenguaje de la medida para armonizarlo con la legislación vigente y sustituir las referencias a la derogada </w:t>
      </w:r>
      <w:r w:rsidRPr="000D2B0B">
        <w:rPr>
          <w:rFonts w:ascii="Book Antiqua" w:eastAsia="Book Antiqua" w:hAnsi="Book Antiqua" w:cs="Book Antiqua"/>
          <w:b/>
          <w:bCs/>
          <w:sz w:val="24"/>
          <w:szCs w:val="24"/>
          <w:lang w:val="es-ES"/>
        </w:rPr>
        <w:t>Ley 246-2011</w:t>
      </w:r>
      <w:r w:rsidRPr="000D2B0B">
        <w:rPr>
          <w:rFonts w:ascii="Book Antiqua" w:eastAsia="Book Antiqua" w:hAnsi="Book Antiqua" w:cs="Book Antiqua"/>
          <w:sz w:val="24"/>
          <w:szCs w:val="24"/>
          <w:lang w:val="es-ES"/>
        </w:rPr>
        <w:t>.</w:t>
      </w:r>
    </w:p>
    <w:p w14:paraId="11EAC5BB" w14:textId="2D79199A" w:rsidR="165DA381" w:rsidRPr="000D2B0B" w:rsidRDefault="165DA381" w:rsidP="4DBCB155">
      <w:pPr>
        <w:pStyle w:val="ListParagraph"/>
        <w:numPr>
          <w:ilvl w:val="1"/>
          <w:numId w:val="1"/>
        </w:numPr>
        <w:spacing w:before="240" w:after="240"/>
        <w:jc w:val="both"/>
        <w:rPr>
          <w:rFonts w:ascii="Book Antiqua" w:eastAsia="Book Antiqua" w:hAnsi="Book Antiqua" w:cs="Book Antiqua"/>
          <w:sz w:val="24"/>
          <w:szCs w:val="24"/>
          <w:lang w:val="es-ES"/>
        </w:rPr>
      </w:pPr>
      <w:r w:rsidRPr="000D2B0B">
        <w:rPr>
          <w:rFonts w:ascii="Book Antiqua" w:eastAsia="Book Antiqua" w:hAnsi="Book Antiqua" w:cs="Book Antiqua"/>
          <w:b/>
          <w:bCs/>
          <w:sz w:val="24"/>
          <w:szCs w:val="24"/>
          <w:lang w:val="es-ES"/>
        </w:rPr>
        <w:t>Integración Formal al Plan Estatal de Manejo de Emergencias:</w:t>
      </w:r>
      <w:r w:rsidRPr="000D2B0B">
        <w:rPr>
          <w:lang w:val="es-PR"/>
        </w:rPr>
        <w:br/>
      </w:r>
      <w:r w:rsidRPr="000D2B0B">
        <w:rPr>
          <w:rFonts w:ascii="Book Antiqua" w:eastAsia="Book Antiqua" w:hAnsi="Book Antiqua" w:cs="Book Antiqua"/>
          <w:sz w:val="24"/>
          <w:szCs w:val="24"/>
          <w:lang w:val="es-ES"/>
        </w:rPr>
        <w:t>Se acoge, además, la recomendación de disponer que el Departamento de la Familia someta anualmente al Negociado para el Manejo de Emergencias y Administración de Desastres (NMEAD) un listado actualizado de los establecimientos residenciales y hogares de crianza licenciados, a fin de que sean incluidos dentro del Plan Estatal para el Manejo de Emergencias y priorizados a través de la ESF 6 (Cuidado Masivo), conforme al Anejo P del plan estatal.</w:t>
      </w:r>
    </w:p>
    <w:p w14:paraId="28AC6A0C" w14:textId="23B485D9" w:rsidR="4DBCB155" w:rsidRPr="000D2B0B" w:rsidRDefault="4DBCB155" w:rsidP="4DBCB155">
      <w:pPr>
        <w:pStyle w:val="ListParagraph"/>
        <w:spacing w:before="240" w:after="240"/>
        <w:ind w:left="1440"/>
        <w:jc w:val="both"/>
        <w:rPr>
          <w:rFonts w:ascii="Book Antiqua" w:eastAsia="Book Antiqua" w:hAnsi="Book Antiqua" w:cs="Book Antiqua"/>
          <w:sz w:val="24"/>
          <w:szCs w:val="24"/>
          <w:lang w:val="es-ES"/>
        </w:rPr>
      </w:pPr>
    </w:p>
    <w:p w14:paraId="62EFB53D" w14:textId="5E3C593D" w:rsidR="165DA381" w:rsidRPr="000D2B0B" w:rsidRDefault="165DA381" w:rsidP="4DBCB155">
      <w:pPr>
        <w:pStyle w:val="ListParagraph"/>
        <w:numPr>
          <w:ilvl w:val="0"/>
          <w:numId w:val="1"/>
        </w:numPr>
        <w:spacing w:before="240" w:after="240"/>
        <w:jc w:val="both"/>
        <w:rPr>
          <w:rFonts w:ascii="Book Antiqua" w:eastAsia="Book Antiqua" w:hAnsi="Book Antiqua" w:cs="Book Antiqua"/>
          <w:b/>
          <w:bCs/>
          <w:sz w:val="24"/>
          <w:szCs w:val="24"/>
          <w:lang w:val="es-ES"/>
        </w:rPr>
      </w:pPr>
      <w:r w:rsidRPr="000D2B0B">
        <w:rPr>
          <w:rFonts w:ascii="Book Antiqua" w:eastAsia="Book Antiqua" w:hAnsi="Book Antiqua" w:cs="Book Antiqua"/>
          <w:b/>
          <w:bCs/>
          <w:sz w:val="24"/>
          <w:szCs w:val="24"/>
          <w:lang w:val="es-ES"/>
        </w:rPr>
        <w:t>Enmienda Acogida Parcialmente de Claro Puerto Rico (PRTC)</w:t>
      </w:r>
    </w:p>
    <w:p w14:paraId="2B907CA1" w14:textId="1DB83243" w:rsidR="165DA381" w:rsidRPr="000D2B0B" w:rsidRDefault="165DA381" w:rsidP="4DBCB155">
      <w:pPr>
        <w:pStyle w:val="ListParagraph"/>
        <w:numPr>
          <w:ilvl w:val="1"/>
          <w:numId w:val="1"/>
        </w:numPr>
        <w:spacing w:before="240" w:after="240"/>
        <w:jc w:val="both"/>
        <w:rPr>
          <w:rFonts w:ascii="Book Antiqua" w:eastAsia="Book Antiqua" w:hAnsi="Book Antiqua" w:cs="Book Antiqua"/>
          <w:sz w:val="24"/>
          <w:szCs w:val="24"/>
          <w:lang w:val="es-ES"/>
        </w:rPr>
      </w:pPr>
      <w:r w:rsidRPr="000D2B0B">
        <w:rPr>
          <w:rFonts w:ascii="Book Antiqua" w:eastAsia="Book Antiqua" w:hAnsi="Book Antiqua" w:cs="Book Antiqua"/>
          <w:sz w:val="24"/>
          <w:szCs w:val="24"/>
          <w:lang w:val="es-ES"/>
        </w:rPr>
        <w:t xml:space="preserve">La Comisión toma </w:t>
      </w:r>
      <w:r w:rsidRPr="000D2B0B">
        <w:rPr>
          <w:rFonts w:ascii="Book Antiqua" w:eastAsia="Book Antiqua" w:hAnsi="Book Antiqua" w:cs="Book Antiqua"/>
          <w:b/>
          <w:bCs/>
          <w:sz w:val="24"/>
          <w:szCs w:val="24"/>
          <w:lang w:val="es-ES"/>
        </w:rPr>
        <w:t>conocimiento de la explicación técnica sometida</w:t>
      </w:r>
      <w:r w:rsidRPr="000D2B0B">
        <w:rPr>
          <w:rFonts w:ascii="Book Antiqua" w:eastAsia="Book Antiqua" w:hAnsi="Book Antiqua" w:cs="Book Antiqua"/>
          <w:sz w:val="24"/>
          <w:szCs w:val="24"/>
          <w:lang w:val="es-ES"/>
        </w:rPr>
        <w:t xml:space="preserve"> por la empresa de telecomunicaciones </w:t>
      </w:r>
      <w:r w:rsidRPr="000D2B0B">
        <w:rPr>
          <w:rFonts w:ascii="Book Antiqua" w:eastAsia="Book Antiqua" w:hAnsi="Book Antiqua" w:cs="Book Antiqua"/>
          <w:b/>
          <w:bCs/>
          <w:sz w:val="24"/>
          <w:szCs w:val="24"/>
          <w:lang w:val="es-ES"/>
        </w:rPr>
        <w:t>Claro</w:t>
      </w:r>
      <w:r w:rsidRPr="000D2B0B">
        <w:rPr>
          <w:rFonts w:ascii="Book Antiqua" w:eastAsia="Book Antiqua" w:hAnsi="Book Antiqua" w:cs="Book Antiqua"/>
          <w:sz w:val="24"/>
          <w:szCs w:val="24"/>
          <w:lang w:val="es-ES"/>
        </w:rPr>
        <w:t xml:space="preserve">, en la que expresó su oposición a la inclusión de las telecomunicaciones como un servicio sujeto a priorización dentro del marco propuesto, por considerarlo incompatible con la reglamentación federal vigente y con el programa </w:t>
      </w:r>
      <w:proofErr w:type="spellStart"/>
      <w:r w:rsidRPr="000D2B0B">
        <w:rPr>
          <w:rFonts w:ascii="Book Antiqua" w:eastAsia="Book Antiqua" w:hAnsi="Book Antiqua" w:cs="Book Antiqua"/>
          <w:sz w:val="24"/>
          <w:szCs w:val="24"/>
          <w:lang w:val="es-ES"/>
        </w:rPr>
        <w:t>Telecommunications</w:t>
      </w:r>
      <w:proofErr w:type="spellEnd"/>
      <w:r w:rsidRPr="000D2B0B">
        <w:rPr>
          <w:rFonts w:ascii="Book Antiqua" w:eastAsia="Book Antiqua" w:hAnsi="Book Antiqua" w:cs="Book Antiqua"/>
          <w:sz w:val="24"/>
          <w:szCs w:val="24"/>
          <w:lang w:val="es-ES"/>
        </w:rPr>
        <w:t xml:space="preserve"> </w:t>
      </w:r>
      <w:proofErr w:type="spellStart"/>
      <w:r w:rsidRPr="000D2B0B">
        <w:rPr>
          <w:rFonts w:ascii="Book Antiqua" w:eastAsia="Book Antiqua" w:hAnsi="Book Antiqua" w:cs="Book Antiqua"/>
          <w:sz w:val="24"/>
          <w:szCs w:val="24"/>
          <w:lang w:val="es-ES"/>
        </w:rPr>
        <w:t>Service</w:t>
      </w:r>
      <w:proofErr w:type="spellEnd"/>
      <w:r w:rsidRPr="000D2B0B">
        <w:rPr>
          <w:rFonts w:ascii="Book Antiqua" w:eastAsia="Book Antiqua" w:hAnsi="Book Antiqua" w:cs="Book Antiqua"/>
          <w:sz w:val="24"/>
          <w:szCs w:val="24"/>
          <w:lang w:val="es-ES"/>
        </w:rPr>
        <w:t xml:space="preserve"> </w:t>
      </w:r>
      <w:proofErr w:type="spellStart"/>
      <w:r w:rsidRPr="000D2B0B">
        <w:rPr>
          <w:rFonts w:ascii="Book Antiqua" w:eastAsia="Book Antiqua" w:hAnsi="Book Antiqua" w:cs="Book Antiqua"/>
          <w:sz w:val="24"/>
          <w:szCs w:val="24"/>
          <w:lang w:val="es-ES"/>
        </w:rPr>
        <w:t>Priority</w:t>
      </w:r>
      <w:proofErr w:type="spellEnd"/>
      <w:r w:rsidRPr="000D2B0B">
        <w:rPr>
          <w:rFonts w:ascii="Book Antiqua" w:eastAsia="Book Antiqua" w:hAnsi="Book Antiqua" w:cs="Book Antiqua"/>
          <w:sz w:val="24"/>
          <w:szCs w:val="24"/>
          <w:lang w:val="es-ES"/>
        </w:rPr>
        <w:t xml:space="preserve"> (TSP) de la FCC y el Departamento de Seguridad Nacional (DHS).</w:t>
      </w:r>
      <w:r w:rsidRPr="000D2B0B">
        <w:rPr>
          <w:lang w:val="es-PR"/>
        </w:rPr>
        <w:br/>
      </w:r>
    </w:p>
    <w:p w14:paraId="3CB88315" w14:textId="17501651" w:rsidR="165DA381" w:rsidRPr="000D2B0B" w:rsidRDefault="165DA381" w:rsidP="4DBCB155">
      <w:pPr>
        <w:spacing w:before="240" w:after="240"/>
        <w:ind w:left="720"/>
        <w:jc w:val="both"/>
        <w:rPr>
          <w:rFonts w:ascii="Book Antiqua" w:eastAsia="Book Antiqua" w:hAnsi="Book Antiqua" w:cs="Book Antiqua"/>
          <w:sz w:val="24"/>
          <w:szCs w:val="24"/>
          <w:lang w:val="es-ES"/>
        </w:rPr>
      </w:pPr>
      <w:r w:rsidRPr="000D2B0B">
        <w:rPr>
          <w:rFonts w:ascii="Book Antiqua" w:eastAsia="Book Antiqua" w:hAnsi="Book Antiqua" w:cs="Book Antiqua"/>
          <w:sz w:val="24"/>
          <w:szCs w:val="24"/>
          <w:lang w:val="es-ES"/>
        </w:rPr>
        <w:t>En atención a dichas consideraciones, se elimina la referencia a las telecomunicaciones dentro de la medida, limitando la aplicación de la ley a los servicios esenciales de energía eléctrica y agua potable, conforme a la explicación técnica y la realidad operativa expuesta ante la Comisión.</w:t>
      </w:r>
    </w:p>
    <w:p w14:paraId="609F0666" w14:textId="63689F4A" w:rsidR="4DBCB155" w:rsidRPr="000D2B0B" w:rsidRDefault="4DBCB155" w:rsidP="4DBCB155">
      <w:pPr>
        <w:pStyle w:val="ListParagraph"/>
        <w:spacing w:before="240" w:after="240"/>
        <w:ind w:left="1440"/>
        <w:jc w:val="both"/>
        <w:rPr>
          <w:rFonts w:ascii="Book Antiqua" w:eastAsia="Book Antiqua" w:hAnsi="Book Antiqua" w:cs="Book Antiqua"/>
          <w:sz w:val="24"/>
          <w:szCs w:val="24"/>
          <w:lang w:val="es-ES"/>
        </w:rPr>
      </w:pPr>
    </w:p>
    <w:p w14:paraId="4EDD96B2" w14:textId="19B8C01C" w:rsidR="165DA381" w:rsidRPr="000D2B0B" w:rsidRDefault="165DA381" w:rsidP="4DBCB155">
      <w:pPr>
        <w:pStyle w:val="ListParagraph"/>
        <w:numPr>
          <w:ilvl w:val="0"/>
          <w:numId w:val="1"/>
        </w:numPr>
        <w:spacing w:before="240" w:after="240"/>
        <w:jc w:val="both"/>
        <w:rPr>
          <w:rFonts w:ascii="Book Antiqua" w:eastAsia="Book Antiqua" w:hAnsi="Book Antiqua" w:cs="Book Antiqua"/>
          <w:b/>
          <w:bCs/>
          <w:sz w:val="24"/>
          <w:szCs w:val="24"/>
          <w:lang w:val="es-ES"/>
        </w:rPr>
      </w:pPr>
      <w:r w:rsidRPr="000D2B0B">
        <w:rPr>
          <w:rFonts w:ascii="Book Antiqua" w:eastAsia="Book Antiqua" w:hAnsi="Book Antiqua" w:cs="Book Antiqua"/>
          <w:b/>
          <w:bCs/>
          <w:sz w:val="24"/>
          <w:szCs w:val="24"/>
          <w:lang w:val="es-ES"/>
        </w:rPr>
        <w:t>Enmiendas Acogidas del Departamento de la Familia</w:t>
      </w:r>
    </w:p>
    <w:p w14:paraId="3913B9F2" w14:textId="116EDAAD" w:rsidR="165DA381" w:rsidRPr="000D2B0B" w:rsidRDefault="165DA381" w:rsidP="4DBCB155">
      <w:pPr>
        <w:pStyle w:val="ListParagraph"/>
        <w:numPr>
          <w:ilvl w:val="1"/>
          <w:numId w:val="1"/>
        </w:numPr>
        <w:spacing w:before="240" w:after="240"/>
        <w:jc w:val="both"/>
        <w:rPr>
          <w:rFonts w:ascii="Book Antiqua" w:eastAsia="Book Antiqua" w:hAnsi="Book Antiqua" w:cs="Book Antiqua"/>
          <w:sz w:val="24"/>
          <w:szCs w:val="24"/>
          <w:lang w:val="es-ES"/>
        </w:rPr>
      </w:pPr>
      <w:r w:rsidRPr="000D2B0B">
        <w:rPr>
          <w:rFonts w:ascii="Book Antiqua" w:eastAsia="Book Antiqua" w:hAnsi="Book Antiqua" w:cs="Book Antiqua"/>
          <w:b/>
          <w:bCs/>
          <w:sz w:val="24"/>
          <w:szCs w:val="24"/>
          <w:lang w:val="es-ES"/>
        </w:rPr>
        <w:t>Revisión Terminológica:</w:t>
      </w:r>
      <w:r w:rsidRPr="000D2B0B">
        <w:rPr>
          <w:lang w:val="es-PR"/>
        </w:rPr>
        <w:br/>
      </w:r>
      <w:r w:rsidRPr="000D2B0B">
        <w:rPr>
          <w:rFonts w:ascii="Book Antiqua" w:eastAsia="Book Antiqua" w:hAnsi="Book Antiqua" w:cs="Book Antiqua"/>
          <w:sz w:val="24"/>
          <w:szCs w:val="24"/>
          <w:lang w:val="es-ES"/>
        </w:rPr>
        <w:t xml:space="preserve">Se reitera la sustitución de los términos </w:t>
      </w:r>
      <w:r w:rsidRPr="000D2B0B">
        <w:rPr>
          <w:rFonts w:ascii="Book Antiqua" w:eastAsia="Book Antiqua" w:hAnsi="Book Antiqua" w:cs="Book Antiqua"/>
          <w:i/>
          <w:iCs/>
          <w:sz w:val="24"/>
          <w:szCs w:val="24"/>
          <w:lang w:val="es-ES"/>
        </w:rPr>
        <w:t>“hogares sustitutos y de transición”</w:t>
      </w:r>
      <w:r w:rsidRPr="000D2B0B">
        <w:rPr>
          <w:rFonts w:ascii="Book Antiqua" w:eastAsia="Book Antiqua" w:hAnsi="Book Antiqua" w:cs="Book Antiqua"/>
          <w:sz w:val="24"/>
          <w:szCs w:val="24"/>
          <w:lang w:val="es-ES"/>
        </w:rPr>
        <w:t xml:space="preserve"> por </w:t>
      </w:r>
      <w:r w:rsidRPr="000D2B0B">
        <w:rPr>
          <w:rFonts w:ascii="Book Antiqua" w:eastAsia="Book Antiqua" w:hAnsi="Book Antiqua" w:cs="Book Antiqua"/>
          <w:i/>
          <w:iCs/>
          <w:sz w:val="24"/>
          <w:szCs w:val="24"/>
          <w:lang w:val="es-ES"/>
        </w:rPr>
        <w:t>“hogares de crianza”</w:t>
      </w:r>
      <w:r w:rsidRPr="000D2B0B">
        <w:rPr>
          <w:rFonts w:ascii="Book Antiqua" w:eastAsia="Book Antiqua" w:hAnsi="Book Antiqua" w:cs="Book Antiqua"/>
          <w:sz w:val="24"/>
          <w:szCs w:val="24"/>
          <w:lang w:val="es-ES"/>
        </w:rPr>
        <w:t xml:space="preserve"> y </w:t>
      </w:r>
      <w:r w:rsidRPr="000D2B0B">
        <w:rPr>
          <w:rFonts w:ascii="Book Antiqua" w:eastAsia="Book Antiqua" w:hAnsi="Book Antiqua" w:cs="Book Antiqua"/>
          <w:i/>
          <w:iCs/>
          <w:sz w:val="24"/>
          <w:szCs w:val="24"/>
          <w:lang w:val="es-ES"/>
        </w:rPr>
        <w:t>“establecimientos residenciales”</w:t>
      </w:r>
      <w:r w:rsidRPr="000D2B0B">
        <w:rPr>
          <w:rFonts w:ascii="Book Antiqua" w:eastAsia="Book Antiqua" w:hAnsi="Book Antiqua" w:cs="Book Antiqua"/>
          <w:sz w:val="24"/>
          <w:szCs w:val="24"/>
          <w:lang w:val="es-ES"/>
        </w:rPr>
        <w:t xml:space="preserve">, conforme a la </w:t>
      </w:r>
      <w:r w:rsidRPr="000D2B0B">
        <w:rPr>
          <w:rFonts w:ascii="Book Antiqua" w:eastAsia="Book Antiqua" w:hAnsi="Book Antiqua" w:cs="Book Antiqua"/>
          <w:b/>
          <w:bCs/>
          <w:sz w:val="24"/>
          <w:szCs w:val="24"/>
          <w:lang w:val="es-ES"/>
        </w:rPr>
        <w:t>Ley 57-2023</w:t>
      </w:r>
      <w:r w:rsidRPr="000D2B0B">
        <w:rPr>
          <w:rFonts w:ascii="Book Antiqua" w:eastAsia="Book Antiqua" w:hAnsi="Book Antiqua" w:cs="Book Antiqua"/>
          <w:sz w:val="24"/>
          <w:szCs w:val="24"/>
          <w:lang w:val="es-ES"/>
        </w:rPr>
        <w:t>, para garantizar uniformidad legal y conceptual.</w:t>
      </w:r>
    </w:p>
    <w:p w14:paraId="32D6379A" w14:textId="6A0A943D" w:rsidR="165DA381" w:rsidRPr="000D2B0B" w:rsidRDefault="165DA381" w:rsidP="4DBCB155">
      <w:pPr>
        <w:pStyle w:val="ListParagraph"/>
        <w:numPr>
          <w:ilvl w:val="1"/>
          <w:numId w:val="1"/>
        </w:numPr>
        <w:spacing w:before="240" w:after="240"/>
        <w:jc w:val="both"/>
        <w:rPr>
          <w:rFonts w:ascii="Book Antiqua" w:eastAsia="Book Antiqua" w:hAnsi="Book Antiqua" w:cs="Book Antiqua"/>
          <w:sz w:val="24"/>
          <w:szCs w:val="24"/>
          <w:lang w:val="es-ES"/>
        </w:rPr>
      </w:pPr>
      <w:r w:rsidRPr="000D2B0B">
        <w:rPr>
          <w:rFonts w:ascii="Book Antiqua" w:eastAsia="Book Antiqua" w:hAnsi="Book Antiqua" w:cs="Book Antiqua"/>
          <w:b/>
          <w:bCs/>
          <w:sz w:val="24"/>
          <w:szCs w:val="24"/>
          <w:lang w:val="es-ES"/>
        </w:rPr>
        <w:t>Alineación con Reglamentación Vigente:</w:t>
      </w:r>
      <w:r w:rsidRPr="000D2B0B">
        <w:rPr>
          <w:lang w:val="es-PR"/>
        </w:rPr>
        <w:br/>
      </w:r>
      <w:r w:rsidRPr="000D2B0B">
        <w:rPr>
          <w:rFonts w:ascii="Book Antiqua" w:eastAsia="Book Antiqua" w:hAnsi="Book Antiqua" w:cs="Book Antiqua"/>
          <w:sz w:val="24"/>
          <w:szCs w:val="24"/>
          <w:lang w:val="es-ES"/>
        </w:rPr>
        <w:t xml:space="preserve">Se dispone la inclusión de una referencia expresa al Reglamento Núm. 8860 del Departamento de la Familia, que regula la operación, licenciamiento y </w:t>
      </w:r>
      <w:r w:rsidRPr="000D2B0B">
        <w:rPr>
          <w:rFonts w:ascii="Book Antiqua" w:eastAsia="Book Antiqua" w:hAnsi="Book Antiqua" w:cs="Book Antiqua"/>
          <w:sz w:val="24"/>
          <w:szCs w:val="24"/>
          <w:lang w:val="es-ES"/>
        </w:rPr>
        <w:lastRenderedPageBreak/>
        <w:t>supervisión de los hogares de crianza, asegurando que las obligaciones del proyecto sean compatibles con las disposiciones reglamentarias en vigor.</w:t>
      </w:r>
    </w:p>
    <w:p w14:paraId="0976BF42" w14:textId="795D4B78" w:rsidR="165DA381" w:rsidRPr="000D2B0B" w:rsidRDefault="165DA381" w:rsidP="4DBCB155">
      <w:pPr>
        <w:pStyle w:val="ListParagraph"/>
        <w:numPr>
          <w:ilvl w:val="1"/>
          <w:numId w:val="1"/>
        </w:numPr>
        <w:spacing w:before="240" w:after="240"/>
        <w:jc w:val="both"/>
        <w:rPr>
          <w:rFonts w:ascii="Book Antiqua" w:eastAsia="Book Antiqua" w:hAnsi="Book Antiqua" w:cs="Book Antiqua"/>
          <w:sz w:val="24"/>
          <w:szCs w:val="24"/>
          <w:lang w:val="es-ES"/>
        </w:rPr>
      </w:pPr>
      <w:r w:rsidRPr="000D2B0B">
        <w:rPr>
          <w:rFonts w:ascii="Book Antiqua" w:eastAsia="Book Antiqua" w:hAnsi="Book Antiqua" w:cs="Book Antiqua"/>
          <w:b/>
          <w:bCs/>
          <w:sz w:val="24"/>
          <w:szCs w:val="24"/>
          <w:lang w:val="es-ES"/>
        </w:rPr>
        <w:t xml:space="preserve">Formalización de Protocolos </w:t>
      </w:r>
      <w:proofErr w:type="spellStart"/>
      <w:r w:rsidRPr="000D2B0B">
        <w:rPr>
          <w:rFonts w:ascii="Book Antiqua" w:eastAsia="Book Antiqua" w:hAnsi="Book Antiqua" w:cs="Book Antiqua"/>
          <w:b/>
          <w:bCs/>
          <w:sz w:val="24"/>
          <w:szCs w:val="24"/>
          <w:lang w:val="es-ES"/>
        </w:rPr>
        <w:t>Interagenciales</w:t>
      </w:r>
      <w:proofErr w:type="spellEnd"/>
      <w:r w:rsidRPr="000D2B0B">
        <w:rPr>
          <w:rFonts w:ascii="Book Antiqua" w:eastAsia="Book Antiqua" w:hAnsi="Book Antiqua" w:cs="Book Antiqua"/>
          <w:b/>
          <w:bCs/>
          <w:sz w:val="24"/>
          <w:szCs w:val="24"/>
          <w:lang w:val="es-ES"/>
        </w:rPr>
        <w:t>:</w:t>
      </w:r>
      <w:r w:rsidRPr="000D2B0B">
        <w:rPr>
          <w:lang w:val="es-PR"/>
        </w:rPr>
        <w:br/>
      </w:r>
      <w:r w:rsidRPr="000D2B0B">
        <w:rPr>
          <w:rFonts w:ascii="Book Antiqua" w:eastAsia="Book Antiqua" w:hAnsi="Book Antiqua" w:cs="Book Antiqua"/>
          <w:sz w:val="24"/>
          <w:szCs w:val="24"/>
          <w:lang w:val="es-ES"/>
        </w:rPr>
        <w:t>Se acoge la recomendación de requerir que el Departamento mantenga actualizada la información sobre los hogares licenciados y que, antes del inicio de cada temporada de huracanes, remita dicha data al NMEAD y a las entidades encargadas de los servicios esenciales para su incorporación en los planes de respuesta y recuperación.</w:t>
      </w:r>
    </w:p>
    <w:p w14:paraId="11430A53" w14:textId="29D02BB5" w:rsidR="165DA381" w:rsidRPr="000D2B0B" w:rsidRDefault="165DA381" w:rsidP="4DBCB155">
      <w:pPr>
        <w:pStyle w:val="ListParagraph"/>
        <w:numPr>
          <w:ilvl w:val="1"/>
          <w:numId w:val="1"/>
        </w:numPr>
        <w:spacing w:before="240" w:after="240"/>
        <w:jc w:val="both"/>
        <w:rPr>
          <w:rFonts w:ascii="Book Antiqua" w:eastAsia="Book Antiqua" w:hAnsi="Book Antiqua" w:cs="Book Antiqua"/>
          <w:sz w:val="24"/>
          <w:szCs w:val="24"/>
          <w:lang w:val="es-ES"/>
        </w:rPr>
      </w:pPr>
      <w:r w:rsidRPr="000D2B0B">
        <w:rPr>
          <w:rFonts w:ascii="Book Antiqua" w:eastAsia="Book Antiqua" w:hAnsi="Book Antiqua" w:cs="Book Antiqua"/>
          <w:b/>
          <w:bCs/>
          <w:sz w:val="24"/>
          <w:szCs w:val="24"/>
          <w:lang w:val="es-ES"/>
        </w:rPr>
        <w:t>Enmienda de Concordancia Legal:</w:t>
      </w:r>
      <w:r w:rsidRPr="000D2B0B">
        <w:rPr>
          <w:lang w:val="es-PR"/>
        </w:rPr>
        <w:br/>
      </w:r>
      <w:r w:rsidRPr="000D2B0B">
        <w:rPr>
          <w:rFonts w:ascii="Book Antiqua" w:eastAsia="Book Antiqua" w:hAnsi="Book Antiqua" w:cs="Book Antiqua"/>
          <w:sz w:val="24"/>
          <w:szCs w:val="24"/>
          <w:lang w:val="es-ES"/>
        </w:rPr>
        <w:t xml:space="preserve">Se </w:t>
      </w:r>
      <w:proofErr w:type="gramStart"/>
      <w:r w:rsidRPr="000D2B0B">
        <w:rPr>
          <w:rFonts w:ascii="Book Antiqua" w:eastAsia="Book Antiqua" w:hAnsi="Book Antiqua" w:cs="Book Antiqua"/>
          <w:sz w:val="24"/>
          <w:szCs w:val="24"/>
          <w:lang w:val="es-ES"/>
        </w:rPr>
        <w:t>dispone</w:t>
      </w:r>
      <w:proofErr w:type="gramEnd"/>
      <w:r w:rsidRPr="000D2B0B">
        <w:rPr>
          <w:rFonts w:ascii="Book Antiqua" w:eastAsia="Book Antiqua" w:hAnsi="Book Antiqua" w:cs="Book Antiqua"/>
          <w:sz w:val="24"/>
          <w:szCs w:val="24"/>
          <w:lang w:val="es-ES"/>
        </w:rPr>
        <w:t xml:space="preserve"> ajustar la exposición de motivos y los artículos operativos de la medida para eliminar toda referencia a la derogada Ley 246-2011, sustituyéndola por la legislación vigente, a fin de evitar ambigüedades o conflictos interpretativos.</w:t>
      </w:r>
    </w:p>
    <w:p w14:paraId="3D32A4C1" w14:textId="5FB28C9A" w:rsidR="165DA381" w:rsidRPr="000D2B0B" w:rsidRDefault="165DA381" w:rsidP="4DBCB155">
      <w:pPr>
        <w:spacing w:before="240" w:after="240"/>
        <w:jc w:val="both"/>
        <w:rPr>
          <w:lang w:val="es-PR"/>
        </w:rPr>
      </w:pPr>
      <w:r w:rsidRPr="000D2B0B">
        <w:rPr>
          <w:rFonts w:ascii="Book Antiqua" w:eastAsia="Book Antiqua" w:hAnsi="Book Antiqua" w:cs="Book Antiqua"/>
          <w:sz w:val="24"/>
          <w:szCs w:val="24"/>
          <w:lang w:val="es-ES"/>
        </w:rPr>
        <w:t xml:space="preserve">En virtud de lo anterior, esta Comisión </w:t>
      </w:r>
      <w:r w:rsidRPr="000D2B0B">
        <w:rPr>
          <w:rFonts w:ascii="Book Antiqua" w:eastAsia="Book Antiqua" w:hAnsi="Book Antiqua" w:cs="Book Antiqua"/>
          <w:b/>
          <w:bCs/>
          <w:sz w:val="24"/>
          <w:szCs w:val="24"/>
          <w:lang w:val="es-ES"/>
        </w:rPr>
        <w:t>recomienda la aprobación del Proyecto de la Cámara 834 con enmiendas</w:t>
      </w:r>
      <w:r w:rsidRPr="000D2B0B">
        <w:rPr>
          <w:rFonts w:ascii="Book Antiqua" w:eastAsia="Book Antiqua" w:hAnsi="Book Antiqua" w:cs="Book Antiqua"/>
          <w:sz w:val="24"/>
          <w:szCs w:val="24"/>
          <w:lang w:val="es-ES"/>
        </w:rPr>
        <w:t xml:space="preserve">, conforme a las modificaciones aquí descritas, entendiendo que las mismas fortalecen el marco </w:t>
      </w:r>
      <w:proofErr w:type="spellStart"/>
      <w:r w:rsidRPr="000D2B0B">
        <w:rPr>
          <w:rFonts w:ascii="Book Antiqua" w:eastAsia="Book Antiqua" w:hAnsi="Book Antiqua" w:cs="Book Antiqua"/>
          <w:sz w:val="24"/>
          <w:szCs w:val="24"/>
          <w:lang w:val="es-ES"/>
        </w:rPr>
        <w:t>interagencial</w:t>
      </w:r>
      <w:proofErr w:type="spellEnd"/>
      <w:r w:rsidRPr="000D2B0B">
        <w:rPr>
          <w:rFonts w:ascii="Book Antiqua" w:eastAsia="Book Antiqua" w:hAnsi="Book Antiqua" w:cs="Book Antiqua"/>
          <w:sz w:val="24"/>
          <w:szCs w:val="24"/>
          <w:lang w:val="es-ES"/>
        </w:rPr>
        <w:t xml:space="preserve"> de respuesta ante emergencias, promueven la protección efectiva de los menores bajo custodia estatal y armonizan el texto legislativo con la normativa vigente.</w:t>
      </w:r>
    </w:p>
    <w:p w14:paraId="0E5BE46F" w14:textId="134023FD" w:rsidR="4DBCB155" w:rsidRPr="000D2B0B" w:rsidRDefault="4DBCB155" w:rsidP="4DBCB155">
      <w:pPr>
        <w:spacing w:after="0" w:line="240" w:lineRule="auto"/>
        <w:jc w:val="both"/>
        <w:rPr>
          <w:rFonts w:ascii="Book Antiqua" w:eastAsia="Book Antiqua" w:hAnsi="Book Antiqua" w:cs="Book Antiqua"/>
          <w:b/>
          <w:bCs/>
          <w:color w:val="000000" w:themeColor="text1"/>
          <w:sz w:val="24"/>
          <w:szCs w:val="24"/>
          <w:lang w:val="es-ES"/>
        </w:rPr>
      </w:pPr>
    </w:p>
    <w:p w14:paraId="25EC8531" w14:textId="6741752C" w:rsidR="5AA65BF5" w:rsidRPr="000D2B0B" w:rsidRDefault="5AA65BF5" w:rsidP="4DBCB155">
      <w:pPr>
        <w:spacing w:after="0" w:line="240" w:lineRule="auto"/>
        <w:jc w:val="both"/>
        <w:rPr>
          <w:rFonts w:ascii="Book Antiqua" w:eastAsia="Book Antiqua" w:hAnsi="Book Antiqua" w:cs="Book Antiqua"/>
          <w:sz w:val="24"/>
          <w:szCs w:val="24"/>
          <w:lang w:val="es-PR"/>
        </w:rPr>
      </w:pPr>
      <w:r w:rsidRPr="000D2B0B">
        <w:rPr>
          <w:rFonts w:ascii="Book Antiqua" w:eastAsia="Book Antiqua" w:hAnsi="Book Antiqua" w:cs="Book Antiqua"/>
          <w:b/>
          <w:bCs/>
          <w:color w:val="000000" w:themeColor="text1"/>
          <w:sz w:val="24"/>
          <w:szCs w:val="24"/>
          <w:lang w:val="es-ES"/>
        </w:rPr>
        <w:t>POR TODO LO ANTES EXPUESTO</w:t>
      </w:r>
      <w:r w:rsidRPr="000D2B0B">
        <w:rPr>
          <w:rFonts w:ascii="Book Antiqua" w:eastAsia="Book Antiqua" w:hAnsi="Book Antiqua" w:cs="Book Antiqua"/>
          <w:color w:val="000000" w:themeColor="text1"/>
          <w:sz w:val="24"/>
          <w:szCs w:val="24"/>
          <w:lang w:val="es-ES"/>
        </w:rPr>
        <w:t>, l</w:t>
      </w:r>
      <w:r w:rsidRPr="000D2B0B">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000D2B0B">
        <w:rPr>
          <w:rFonts w:ascii="Book Antiqua" w:eastAsia="Book Antiqua" w:hAnsi="Book Antiqua" w:cs="Book Antiqua"/>
          <w:color w:val="000000" w:themeColor="text1"/>
          <w:sz w:val="24"/>
          <w:szCs w:val="24"/>
          <w:lang w:val="es-ES"/>
        </w:rPr>
        <w:t>, previo estudio y consideración, recomienda la aprobación del P. de</w:t>
      </w:r>
      <w:r w:rsidR="75B35BEB" w:rsidRPr="000D2B0B">
        <w:rPr>
          <w:rFonts w:ascii="Book Antiqua" w:eastAsia="Book Antiqua" w:hAnsi="Book Antiqua" w:cs="Book Antiqua"/>
          <w:color w:val="000000" w:themeColor="text1"/>
          <w:sz w:val="24"/>
          <w:szCs w:val="24"/>
          <w:lang w:val="es-ES"/>
        </w:rPr>
        <w:t xml:space="preserve"> </w:t>
      </w:r>
      <w:r w:rsidR="00217E5B" w:rsidRPr="000D2B0B">
        <w:rPr>
          <w:rFonts w:ascii="Book Antiqua" w:eastAsia="Book Antiqua" w:hAnsi="Book Antiqua" w:cs="Book Antiqua"/>
          <w:color w:val="000000" w:themeColor="text1"/>
          <w:sz w:val="24"/>
          <w:szCs w:val="24"/>
          <w:lang w:val="es-ES"/>
        </w:rPr>
        <w:t>l</w:t>
      </w:r>
      <w:r w:rsidR="75B35BEB" w:rsidRPr="000D2B0B">
        <w:rPr>
          <w:rFonts w:ascii="Book Antiqua" w:eastAsia="Book Antiqua" w:hAnsi="Book Antiqua" w:cs="Book Antiqua"/>
          <w:color w:val="000000" w:themeColor="text1"/>
          <w:sz w:val="24"/>
          <w:szCs w:val="24"/>
          <w:lang w:val="es-ES"/>
        </w:rPr>
        <w:t>a</w:t>
      </w:r>
      <w:r w:rsidR="00217E5B" w:rsidRPr="000D2B0B">
        <w:rPr>
          <w:rFonts w:ascii="Book Antiqua" w:eastAsia="Book Antiqua" w:hAnsi="Book Antiqua" w:cs="Book Antiqua"/>
          <w:color w:val="000000" w:themeColor="text1"/>
          <w:sz w:val="24"/>
          <w:szCs w:val="24"/>
          <w:lang w:val="es-ES"/>
        </w:rPr>
        <w:t xml:space="preserve"> </w:t>
      </w:r>
      <w:r w:rsidR="1F6F6C17" w:rsidRPr="000D2B0B">
        <w:rPr>
          <w:rFonts w:ascii="Book Antiqua" w:eastAsia="Book Antiqua" w:hAnsi="Book Antiqua" w:cs="Book Antiqua"/>
          <w:color w:val="000000" w:themeColor="text1"/>
          <w:sz w:val="24"/>
          <w:szCs w:val="24"/>
          <w:lang w:val="es-ES"/>
        </w:rPr>
        <w:t>C</w:t>
      </w:r>
      <w:r w:rsidRPr="000D2B0B">
        <w:rPr>
          <w:rFonts w:ascii="Book Antiqua" w:eastAsia="Book Antiqua" w:hAnsi="Book Antiqua" w:cs="Book Antiqua"/>
          <w:color w:val="000000" w:themeColor="text1"/>
          <w:sz w:val="24"/>
          <w:szCs w:val="24"/>
          <w:lang w:val="es-ES"/>
        </w:rPr>
        <w:t xml:space="preserve">. </w:t>
      </w:r>
      <w:r w:rsidR="762F13EC" w:rsidRPr="000D2B0B">
        <w:rPr>
          <w:rFonts w:ascii="Book Antiqua" w:eastAsia="Book Antiqua" w:hAnsi="Book Antiqua" w:cs="Book Antiqua"/>
          <w:color w:val="000000" w:themeColor="text1"/>
          <w:sz w:val="24"/>
          <w:szCs w:val="24"/>
          <w:lang w:val="es-ES"/>
        </w:rPr>
        <w:t>834</w:t>
      </w:r>
      <w:r w:rsidRPr="000D2B0B">
        <w:rPr>
          <w:rFonts w:ascii="Book Antiqua" w:eastAsia="Book Antiqua" w:hAnsi="Book Antiqua" w:cs="Book Antiqua"/>
          <w:color w:val="000000" w:themeColor="text1"/>
          <w:sz w:val="24"/>
          <w:szCs w:val="24"/>
          <w:lang w:val="es-ES"/>
        </w:rPr>
        <w:t xml:space="preserve">, </w:t>
      </w:r>
      <w:r w:rsidR="73036EFF" w:rsidRPr="000D2B0B">
        <w:rPr>
          <w:rFonts w:ascii="Book Antiqua" w:eastAsia="Book Antiqua" w:hAnsi="Book Antiqua" w:cs="Book Antiqua"/>
          <w:color w:val="000000" w:themeColor="text1"/>
          <w:sz w:val="24"/>
          <w:szCs w:val="24"/>
          <w:lang w:val="es-ES"/>
        </w:rPr>
        <w:t xml:space="preserve">con enmiendas en el </w:t>
      </w:r>
      <w:proofErr w:type="spellStart"/>
      <w:r w:rsidR="73036EFF" w:rsidRPr="000D2B0B">
        <w:rPr>
          <w:rFonts w:ascii="Book Antiqua" w:eastAsia="Book Antiqua" w:hAnsi="Book Antiqua" w:cs="Book Antiqua"/>
          <w:color w:val="000000" w:themeColor="text1"/>
          <w:sz w:val="24"/>
          <w:szCs w:val="24"/>
          <w:lang w:val="es-ES"/>
        </w:rPr>
        <w:t>entirillado</w:t>
      </w:r>
      <w:proofErr w:type="spellEnd"/>
      <w:r w:rsidR="73036EFF" w:rsidRPr="000D2B0B">
        <w:rPr>
          <w:rFonts w:ascii="Book Antiqua" w:eastAsia="Book Antiqua" w:hAnsi="Book Antiqua" w:cs="Book Antiqua"/>
          <w:color w:val="000000" w:themeColor="text1"/>
          <w:sz w:val="24"/>
          <w:szCs w:val="24"/>
          <w:lang w:val="es-ES"/>
        </w:rPr>
        <w:t xml:space="preserve"> electrónico que se acompaña.</w:t>
      </w:r>
    </w:p>
    <w:p w14:paraId="5A157BEC" w14:textId="20CD9E54" w:rsidR="6FF13472" w:rsidRPr="000D2B0B"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Pr="000D2B0B" w:rsidRDefault="5AA65BF5" w:rsidP="3C3F330B">
      <w:pPr>
        <w:spacing w:after="0" w:line="240" w:lineRule="auto"/>
        <w:contextualSpacing/>
        <w:rPr>
          <w:rFonts w:ascii="Book Antiqua" w:eastAsia="Book Antiqua" w:hAnsi="Book Antiqua" w:cs="Book Antiqua"/>
          <w:color w:val="000000" w:themeColor="text1"/>
          <w:sz w:val="24"/>
          <w:szCs w:val="24"/>
          <w:lang w:val="es-PR"/>
        </w:rPr>
      </w:pPr>
      <w:r w:rsidRPr="000D2B0B">
        <w:rPr>
          <w:rFonts w:ascii="Book Antiqua" w:eastAsia="Book Antiqua" w:hAnsi="Book Antiqua" w:cs="Book Antiqua"/>
          <w:b/>
          <w:bCs/>
          <w:color w:val="000000" w:themeColor="text1"/>
          <w:sz w:val="24"/>
          <w:szCs w:val="24"/>
          <w:lang w:val="es-ES"/>
        </w:rPr>
        <w:t>RESPETUOSAMENTE SOMETIDO,</w:t>
      </w:r>
    </w:p>
    <w:p w14:paraId="6D4B771E" w14:textId="31C04C4C" w:rsidR="6FF13472" w:rsidRPr="000D2B0B"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11C9760E" w:rsidR="6FF13472" w:rsidRPr="000D2B0B"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Pr="000D2B0B"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Pr="000D2B0B"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proofErr w:type="spellStart"/>
      <w:r w:rsidRPr="000D2B0B">
        <w:rPr>
          <w:rFonts w:ascii="Book Antiqua" w:eastAsia="Book Antiqua" w:hAnsi="Book Antiqua" w:cs="Book Antiqua"/>
          <w:b/>
          <w:bCs/>
          <w:color w:val="000000" w:themeColor="text1"/>
          <w:sz w:val="24"/>
          <w:szCs w:val="24"/>
          <w:lang w:val="es-ES"/>
        </w:rPr>
        <w:t>Hon</w:t>
      </w:r>
      <w:proofErr w:type="spellEnd"/>
      <w:r w:rsidRPr="000D2B0B">
        <w:rPr>
          <w:rFonts w:ascii="Book Antiqua" w:eastAsia="Book Antiqua" w:hAnsi="Book Antiqua" w:cs="Book Antiqua"/>
          <w:b/>
          <w:bCs/>
          <w:color w:val="000000" w:themeColor="text1"/>
          <w:sz w:val="24"/>
          <w:szCs w:val="24"/>
          <w:lang w:val="es-ES"/>
        </w:rPr>
        <w:t>. Ricardo R. Ocasio Ramos</w:t>
      </w:r>
    </w:p>
    <w:p w14:paraId="692E31E5" w14:textId="3802E574" w:rsidR="5AA65BF5" w:rsidRPr="000D2B0B"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000D2B0B">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000D2B0B">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FF13472">
      <w:pPr>
        <w:spacing w:after="0" w:line="240" w:lineRule="auto"/>
        <w:rPr>
          <w:sz w:val="24"/>
          <w:szCs w:val="24"/>
          <w:lang w:val="es-PR"/>
        </w:rPr>
      </w:pP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91D15" w14:textId="77777777" w:rsidR="007B122F" w:rsidRDefault="007B122F" w:rsidP="002217BA">
      <w:pPr>
        <w:spacing w:after="0" w:line="240" w:lineRule="auto"/>
      </w:pPr>
      <w:r>
        <w:separator/>
      </w:r>
    </w:p>
  </w:endnote>
  <w:endnote w:type="continuationSeparator" w:id="0">
    <w:p w14:paraId="6901B9EB" w14:textId="77777777" w:rsidR="007B122F" w:rsidRDefault="007B122F"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2F300EEE" w:rsidR="002217BA" w:rsidRPr="002217BA" w:rsidRDefault="4DBCB155" w:rsidP="4DBCB155">
    <w:pPr>
      <w:pStyle w:val="Footer"/>
      <w:pBdr>
        <w:top w:val="single" w:sz="4" w:space="1" w:color="000000"/>
        <w:bottom w:val="single" w:sz="4" w:space="1" w:color="000000"/>
      </w:pBdr>
      <w:jc w:val="center"/>
      <w:rPr>
        <w:rFonts w:ascii="Book Antiqua" w:hAnsi="Book Antiqua"/>
        <w:smallCaps/>
        <w:sz w:val="16"/>
        <w:szCs w:val="16"/>
        <w:lang w:val="es-PR"/>
      </w:rPr>
    </w:pPr>
    <w:r w:rsidRPr="4DBCB155">
      <w:rPr>
        <w:rFonts w:ascii="Book Antiqua" w:hAnsi="Book Antiqua"/>
        <w:smallCaps/>
        <w:sz w:val="16"/>
        <w:szCs w:val="16"/>
        <w:lang w:val="es-PR" w:eastAsia="es-PR"/>
      </w:rPr>
      <w:t xml:space="preserve">Informe Positivo P. de la C. 834 | Comisión de Adultos Mayores y Bienestar Social|  </w:t>
    </w:r>
    <w:r w:rsidR="3C3F330B" w:rsidRPr="4DBCB155">
      <w:rPr>
        <w:rFonts w:ascii="Book Antiqua" w:hAnsi="Book Antiqua"/>
        <w:smallCaps/>
        <w:sz w:val="16"/>
        <w:szCs w:val="16"/>
        <w:lang w:val="es-PR"/>
      </w:rPr>
      <w:fldChar w:fldCharType="begin"/>
    </w:r>
    <w:r w:rsidR="3C3F330B" w:rsidRPr="4DBCB155">
      <w:rPr>
        <w:rFonts w:ascii="Book Antiqua" w:hAnsi="Book Antiqua"/>
        <w:smallCaps/>
        <w:sz w:val="16"/>
        <w:szCs w:val="16"/>
        <w:lang w:val="es-PR"/>
      </w:rPr>
      <w:instrText xml:space="preserve"> PAGE   \* MERGEFORMAT </w:instrText>
    </w:r>
    <w:r w:rsidR="3C3F330B" w:rsidRPr="4DBCB155">
      <w:rPr>
        <w:rFonts w:ascii="Book Antiqua" w:hAnsi="Book Antiqua"/>
        <w:smallCaps/>
        <w:sz w:val="16"/>
        <w:szCs w:val="16"/>
      </w:rPr>
      <w:fldChar w:fldCharType="separate"/>
    </w:r>
    <w:r w:rsidRPr="4DBCB155">
      <w:rPr>
        <w:rFonts w:ascii="Book Antiqua" w:hAnsi="Book Antiqua"/>
        <w:smallCaps/>
        <w:sz w:val="16"/>
        <w:szCs w:val="16"/>
        <w:lang w:val="es-PR"/>
      </w:rPr>
      <w:t>3</w:t>
    </w:r>
    <w:r w:rsidR="3C3F330B" w:rsidRPr="4DBCB155">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9F9E3" w14:textId="77777777" w:rsidR="007B122F" w:rsidRDefault="007B122F" w:rsidP="002217BA">
      <w:pPr>
        <w:spacing w:after="0" w:line="240" w:lineRule="auto"/>
      </w:pPr>
      <w:r>
        <w:separator/>
      </w:r>
    </w:p>
  </w:footnote>
  <w:footnote w:type="continuationSeparator" w:id="0">
    <w:p w14:paraId="4E81C703" w14:textId="77777777" w:rsidR="007B122F" w:rsidRDefault="007B122F"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1"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2"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3"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5"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1910C7"/>
    <w:multiLevelType w:val="hybridMultilevel"/>
    <w:tmpl w:val="A1E437FE"/>
    <w:lvl w:ilvl="0" w:tplc="8DDA7018">
      <w:start w:val="1"/>
      <w:numFmt w:val="decimal"/>
      <w:lvlText w:val="%1."/>
      <w:lvlJc w:val="left"/>
      <w:pPr>
        <w:ind w:left="720" w:hanging="360"/>
      </w:pPr>
    </w:lvl>
    <w:lvl w:ilvl="1" w:tplc="CE92484C">
      <w:start w:val="1"/>
      <w:numFmt w:val="lowerLetter"/>
      <w:lvlText w:val="%2."/>
      <w:lvlJc w:val="left"/>
      <w:pPr>
        <w:ind w:left="1440" w:hanging="360"/>
      </w:pPr>
    </w:lvl>
    <w:lvl w:ilvl="2" w:tplc="E64CB7A8">
      <w:start w:val="1"/>
      <w:numFmt w:val="lowerRoman"/>
      <w:lvlText w:val="%3."/>
      <w:lvlJc w:val="right"/>
      <w:pPr>
        <w:ind w:left="2160" w:hanging="180"/>
      </w:pPr>
    </w:lvl>
    <w:lvl w:ilvl="3" w:tplc="3766BE88">
      <w:start w:val="1"/>
      <w:numFmt w:val="decimal"/>
      <w:lvlText w:val="%4."/>
      <w:lvlJc w:val="left"/>
      <w:pPr>
        <w:ind w:left="2880" w:hanging="360"/>
      </w:pPr>
    </w:lvl>
    <w:lvl w:ilvl="4" w:tplc="F20EB9AC">
      <w:start w:val="1"/>
      <w:numFmt w:val="lowerLetter"/>
      <w:lvlText w:val="%5."/>
      <w:lvlJc w:val="left"/>
      <w:pPr>
        <w:ind w:left="3600" w:hanging="360"/>
      </w:pPr>
    </w:lvl>
    <w:lvl w:ilvl="5" w:tplc="7E64352A">
      <w:start w:val="1"/>
      <w:numFmt w:val="lowerRoman"/>
      <w:lvlText w:val="%6."/>
      <w:lvlJc w:val="right"/>
      <w:pPr>
        <w:ind w:left="4320" w:hanging="180"/>
      </w:pPr>
    </w:lvl>
    <w:lvl w:ilvl="6" w:tplc="E7B0CE8E">
      <w:start w:val="1"/>
      <w:numFmt w:val="decimal"/>
      <w:lvlText w:val="%7."/>
      <w:lvlJc w:val="left"/>
      <w:pPr>
        <w:ind w:left="5040" w:hanging="360"/>
      </w:pPr>
    </w:lvl>
    <w:lvl w:ilvl="7" w:tplc="B872683A">
      <w:start w:val="1"/>
      <w:numFmt w:val="lowerLetter"/>
      <w:lvlText w:val="%8."/>
      <w:lvlJc w:val="left"/>
      <w:pPr>
        <w:ind w:left="5760" w:hanging="360"/>
      </w:pPr>
    </w:lvl>
    <w:lvl w:ilvl="8" w:tplc="F4A29796">
      <w:start w:val="1"/>
      <w:numFmt w:val="lowerRoman"/>
      <w:lvlText w:val="%9."/>
      <w:lvlJc w:val="right"/>
      <w:pPr>
        <w:ind w:left="6480" w:hanging="180"/>
      </w:pPr>
    </w:lvl>
  </w:abstractNum>
  <w:abstractNum w:abstractNumId="7"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9"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2"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3" w15:restartNumberingAfterBreak="0">
    <w:nsid w:val="5B2A8B35"/>
    <w:multiLevelType w:val="hybridMultilevel"/>
    <w:tmpl w:val="0BF4133E"/>
    <w:lvl w:ilvl="0" w:tplc="87F66280">
      <w:start w:val="1"/>
      <w:numFmt w:val="decimal"/>
      <w:lvlText w:val="%1."/>
      <w:lvlJc w:val="left"/>
      <w:pPr>
        <w:ind w:left="720" w:hanging="360"/>
      </w:pPr>
    </w:lvl>
    <w:lvl w:ilvl="1" w:tplc="59B87B9A">
      <w:start w:val="1"/>
      <w:numFmt w:val="lowerLetter"/>
      <w:lvlText w:val="%2."/>
      <w:lvlJc w:val="left"/>
      <w:pPr>
        <w:ind w:left="1440" w:hanging="360"/>
      </w:pPr>
    </w:lvl>
    <w:lvl w:ilvl="2" w:tplc="43A80CCC">
      <w:start w:val="1"/>
      <w:numFmt w:val="lowerRoman"/>
      <w:lvlText w:val="%3."/>
      <w:lvlJc w:val="right"/>
      <w:pPr>
        <w:ind w:left="2160" w:hanging="180"/>
      </w:pPr>
    </w:lvl>
    <w:lvl w:ilvl="3" w:tplc="70C4A5E8">
      <w:start w:val="1"/>
      <w:numFmt w:val="decimal"/>
      <w:lvlText w:val="%4."/>
      <w:lvlJc w:val="left"/>
      <w:pPr>
        <w:ind w:left="2880" w:hanging="360"/>
      </w:pPr>
    </w:lvl>
    <w:lvl w:ilvl="4" w:tplc="1E24A0EE">
      <w:start w:val="1"/>
      <w:numFmt w:val="lowerLetter"/>
      <w:lvlText w:val="%5."/>
      <w:lvlJc w:val="left"/>
      <w:pPr>
        <w:ind w:left="3600" w:hanging="360"/>
      </w:pPr>
    </w:lvl>
    <w:lvl w:ilvl="5" w:tplc="557CEFD8">
      <w:start w:val="1"/>
      <w:numFmt w:val="lowerRoman"/>
      <w:lvlText w:val="%6."/>
      <w:lvlJc w:val="right"/>
      <w:pPr>
        <w:ind w:left="4320" w:hanging="180"/>
      </w:pPr>
    </w:lvl>
    <w:lvl w:ilvl="6" w:tplc="C910F118">
      <w:start w:val="1"/>
      <w:numFmt w:val="decimal"/>
      <w:lvlText w:val="%7."/>
      <w:lvlJc w:val="left"/>
      <w:pPr>
        <w:ind w:left="5040" w:hanging="360"/>
      </w:pPr>
    </w:lvl>
    <w:lvl w:ilvl="7" w:tplc="D7A0932C">
      <w:start w:val="1"/>
      <w:numFmt w:val="lowerLetter"/>
      <w:lvlText w:val="%8."/>
      <w:lvlJc w:val="left"/>
      <w:pPr>
        <w:ind w:left="5760" w:hanging="360"/>
      </w:pPr>
    </w:lvl>
    <w:lvl w:ilvl="8" w:tplc="7052837C">
      <w:start w:val="1"/>
      <w:numFmt w:val="lowerRoman"/>
      <w:lvlText w:val="%9."/>
      <w:lvlJc w:val="right"/>
      <w:pPr>
        <w:ind w:left="6480" w:hanging="180"/>
      </w:pPr>
    </w:lvl>
  </w:abstractNum>
  <w:abstractNum w:abstractNumId="14"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18" w15:restartNumberingAfterBreak="0">
    <w:nsid w:val="79F53468"/>
    <w:multiLevelType w:val="hybridMultilevel"/>
    <w:tmpl w:val="A3BA8E34"/>
    <w:lvl w:ilvl="0" w:tplc="F4C27146">
      <w:start w:val="1"/>
      <w:numFmt w:val="decimal"/>
      <w:lvlText w:val="%1."/>
      <w:lvlJc w:val="left"/>
      <w:pPr>
        <w:ind w:left="720" w:hanging="360"/>
      </w:pPr>
    </w:lvl>
    <w:lvl w:ilvl="1" w:tplc="1F0A4BBC">
      <w:start w:val="1"/>
      <w:numFmt w:val="lowerLetter"/>
      <w:lvlText w:val="%2."/>
      <w:lvlJc w:val="left"/>
      <w:pPr>
        <w:ind w:left="1440" w:hanging="360"/>
      </w:pPr>
    </w:lvl>
    <w:lvl w:ilvl="2" w:tplc="E4EE1408">
      <w:start w:val="1"/>
      <w:numFmt w:val="lowerRoman"/>
      <w:lvlText w:val="%3."/>
      <w:lvlJc w:val="right"/>
      <w:pPr>
        <w:ind w:left="2160" w:hanging="180"/>
      </w:pPr>
    </w:lvl>
    <w:lvl w:ilvl="3" w:tplc="BD3E999C">
      <w:start w:val="1"/>
      <w:numFmt w:val="decimal"/>
      <w:lvlText w:val="%4."/>
      <w:lvlJc w:val="left"/>
      <w:pPr>
        <w:ind w:left="2880" w:hanging="360"/>
      </w:pPr>
    </w:lvl>
    <w:lvl w:ilvl="4" w:tplc="9CF4D48A">
      <w:start w:val="1"/>
      <w:numFmt w:val="lowerLetter"/>
      <w:lvlText w:val="%5."/>
      <w:lvlJc w:val="left"/>
      <w:pPr>
        <w:ind w:left="3600" w:hanging="360"/>
      </w:pPr>
    </w:lvl>
    <w:lvl w:ilvl="5" w:tplc="683E9CEC">
      <w:start w:val="1"/>
      <w:numFmt w:val="lowerRoman"/>
      <w:lvlText w:val="%6."/>
      <w:lvlJc w:val="right"/>
      <w:pPr>
        <w:ind w:left="4320" w:hanging="180"/>
      </w:pPr>
    </w:lvl>
    <w:lvl w:ilvl="6" w:tplc="7BEC87A0">
      <w:start w:val="1"/>
      <w:numFmt w:val="decimal"/>
      <w:lvlText w:val="%7."/>
      <w:lvlJc w:val="left"/>
      <w:pPr>
        <w:ind w:left="5040" w:hanging="360"/>
      </w:pPr>
    </w:lvl>
    <w:lvl w:ilvl="7" w:tplc="6FCEAE3A">
      <w:start w:val="1"/>
      <w:numFmt w:val="lowerLetter"/>
      <w:lvlText w:val="%8."/>
      <w:lvlJc w:val="left"/>
      <w:pPr>
        <w:ind w:left="5760" w:hanging="360"/>
      </w:pPr>
    </w:lvl>
    <w:lvl w:ilvl="8" w:tplc="704443F8">
      <w:start w:val="1"/>
      <w:numFmt w:val="lowerRoman"/>
      <w:lvlText w:val="%9."/>
      <w:lvlJc w:val="right"/>
      <w:pPr>
        <w:ind w:left="6480" w:hanging="180"/>
      </w:pPr>
    </w:lvl>
  </w:abstractNum>
  <w:abstractNum w:abstractNumId="19"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abstractNum w:abstractNumId="21" w15:restartNumberingAfterBreak="0">
    <w:nsid w:val="7DB352F3"/>
    <w:multiLevelType w:val="hybridMultilevel"/>
    <w:tmpl w:val="E6AACAE2"/>
    <w:lvl w:ilvl="0" w:tplc="EF36732C">
      <w:start w:val="1"/>
      <w:numFmt w:val="decimal"/>
      <w:lvlText w:val="%1."/>
      <w:lvlJc w:val="left"/>
      <w:pPr>
        <w:ind w:left="720" w:hanging="360"/>
      </w:pPr>
    </w:lvl>
    <w:lvl w:ilvl="1" w:tplc="D3B8F06C">
      <w:start w:val="1"/>
      <w:numFmt w:val="lowerLetter"/>
      <w:lvlText w:val="%2."/>
      <w:lvlJc w:val="left"/>
      <w:pPr>
        <w:ind w:left="1440" w:hanging="360"/>
      </w:pPr>
    </w:lvl>
    <w:lvl w:ilvl="2" w:tplc="287EC134">
      <w:start w:val="1"/>
      <w:numFmt w:val="lowerRoman"/>
      <w:lvlText w:val="%3."/>
      <w:lvlJc w:val="right"/>
      <w:pPr>
        <w:ind w:left="2160" w:hanging="180"/>
      </w:pPr>
    </w:lvl>
    <w:lvl w:ilvl="3" w:tplc="7F14AB6E">
      <w:start w:val="1"/>
      <w:numFmt w:val="decimal"/>
      <w:lvlText w:val="%4."/>
      <w:lvlJc w:val="left"/>
      <w:pPr>
        <w:ind w:left="2880" w:hanging="360"/>
      </w:pPr>
    </w:lvl>
    <w:lvl w:ilvl="4" w:tplc="2B3E36CA">
      <w:start w:val="1"/>
      <w:numFmt w:val="lowerLetter"/>
      <w:lvlText w:val="%5."/>
      <w:lvlJc w:val="left"/>
      <w:pPr>
        <w:ind w:left="3600" w:hanging="360"/>
      </w:pPr>
    </w:lvl>
    <w:lvl w:ilvl="5" w:tplc="6A407364">
      <w:start w:val="1"/>
      <w:numFmt w:val="lowerRoman"/>
      <w:lvlText w:val="%6."/>
      <w:lvlJc w:val="right"/>
      <w:pPr>
        <w:ind w:left="4320" w:hanging="180"/>
      </w:pPr>
    </w:lvl>
    <w:lvl w:ilvl="6" w:tplc="6008ABD6">
      <w:start w:val="1"/>
      <w:numFmt w:val="decimal"/>
      <w:lvlText w:val="%7."/>
      <w:lvlJc w:val="left"/>
      <w:pPr>
        <w:ind w:left="5040" w:hanging="360"/>
      </w:pPr>
    </w:lvl>
    <w:lvl w:ilvl="7" w:tplc="DB4EBAA6">
      <w:start w:val="1"/>
      <w:numFmt w:val="lowerLetter"/>
      <w:lvlText w:val="%8."/>
      <w:lvlJc w:val="left"/>
      <w:pPr>
        <w:ind w:left="5760" w:hanging="360"/>
      </w:pPr>
    </w:lvl>
    <w:lvl w:ilvl="8" w:tplc="F68C1632">
      <w:start w:val="1"/>
      <w:numFmt w:val="lowerRoman"/>
      <w:lvlText w:val="%9."/>
      <w:lvlJc w:val="right"/>
      <w:pPr>
        <w:ind w:left="6480" w:hanging="180"/>
      </w:pPr>
    </w:lvl>
  </w:abstractNum>
  <w:num w:numId="1" w16cid:durableId="83693111">
    <w:abstractNumId w:val="6"/>
  </w:num>
  <w:num w:numId="2" w16cid:durableId="1754350693">
    <w:abstractNumId w:val="13"/>
  </w:num>
  <w:num w:numId="3" w16cid:durableId="175770818">
    <w:abstractNumId w:val="21"/>
  </w:num>
  <w:num w:numId="4" w16cid:durableId="56784505">
    <w:abstractNumId w:val="18"/>
  </w:num>
  <w:num w:numId="5" w16cid:durableId="1883901063">
    <w:abstractNumId w:val="20"/>
  </w:num>
  <w:num w:numId="6" w16cid:durableId="37828396">
    <w:abstractNumId w:val="12"/>
  </w:num>
  <w:num w:numId="7" w16cid:durableId="1079641635">
    <w:abstractNumId w:val="17"/>
  </w:num>
  <w:num w:numId="8" w16cid:durableId="553732606">
    <w:abstractNumId w:val="2"/>
  </w:num>
  <w:num w:numId="9" w16cid:durableId="578715436">
    <w:abstractNumId w:val="0"/>
  </w:num>
  <w:num w:numId="10" w16cid:durableId="1615363827">
    <w:abstractNumId w:val="4"/>
  </w:num>
  <w:num w:numId="11" w16cid:durableId="252666089">
    <w:abstractNumId w:val="1"/>
  </w:num>
  <w:num w:numId="12" w16cid:durableId="1765228413">
    <w:abstractNumId w:val="8"/>
  </w:num>
  <w:num w:numId="13" w16cid:durableId="1017661359">
    <w:abstractNumId w:val="11"/>
  </w:num>
  <w:num w:numId="14" w16cid:durableId="2035307679">
    <w:abstractNumId w:val="14"/>
  </w:num>
  <w:num w:numId="15" w16cid:durableId="1614704334">
    <w:abstractNumId w:val="10"/>
  </w:num>
  <w:num w:numId="16" w16cid:durableId="693963319">
    <w:abstractNumId w:val="7"/>
  </w:num>
  <w:num w:numId="17" w16cid:durableId="1360815836">
    <w:abstractNumId w:val="15"/>
  </w:num>
  <w:num w:numId="18" w16cid:durableId="1066226203">
    <w:abstractNumId w:val="3"/>
  </w:num>
  <w:num w:numId="19" w16cid:durableId="445470389">
    <w:abstractNumId w:val="9"/>
  </w:num>
  <w:num w:numId="20" w16cid:durableId="1265772866">
    <w:abstractNumId w:val="16"/>
  </w:num>
  <w:num w:numId="21" w16cid:durableId="2077429261">
    <w:abstractNumId w:val="5"/>
  </w:num>
  <w:num w:numId="22" w16cid:durableId="182442085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4154"/>
    <w:rsid w:val="0002041D"/>
    <w:rsid w:val="00020CFB"/>
    <w:rsid w:val="00032641"/>
    <w:rsid w:val="00032997"/>
    <w:rsid w:val="00032F5D"/>
    <w:rsid w:val="000417FE"/>
    <w:rsid w:val="00050D4E"/>
    <w:rsid w:val="00055BE5"/>
    <w:rsid w:val="0006747A"/>
    <w:rsid w:val="0007484E"/>
    <w:rsid w:val="000817D5"/>
    <w:rsid w:val="000A28D4"/>
    <w:rsid w:val="000A7F9D"/>
    <w:rsid w:val="000B150A"/>
    <w:rsid w:val="000B22F5"/>
    <w:rsid w:val="000B7AD7"/>
    <w:rsid w:val="000D2B0B"/>
    <w:rsid w:val="00105432"/>
    <w:rsid w:val="00106A99"/>
    <w:rsid w:val="0012207B"/>
    <w:rsid w:val="00130CB1"/>
    <w:rsid w:val="00132EA1"/>
    <w:rsid w:val="001475A0"/>
    <w:rsid w:val="001570ED"/>
    <w:rsid w:val="001579C5"/>
    <w:rsid w:val="00173B14"/>
    <w:rsid w:val="001C139B"/>
    <w:rsid w:val="001D1F1B"/>
    <w:rsid w:val="001E558A"/>
    <w:rsid w:val="001E56E2"/>
    <w:rsid w:val="00200967"/>
    <w:rsid w:val="00217E5B"/>
    <w:rsid w:val="002217BA"/>
    <w:rsid w:val="002262C6"/>
    <w:rsid w:val="00242247"/>
    <w:rsid w:val="002438BA"/>
    <w:rsid w:val="002705BE"/>
    <w:rsid w:val="00271F8E"/>
    <w:rsid w:val="00274F27"/>
    <w:rsid w:val="002A2861"/>
    <w:rsid w:val="002A3090"/>
    <w:rsid w:val="003178E1"/>
    <w:rsid w:val="00365275"/>
    <w:rsid w:val="003801CC"/>
    <w:rsid w:val="0038433A"/>
    <w:rsid w:val="003A132E"/>
    <w:rsid w:val="003A6E5C"/>
    <w:rsid w:val="003C49E6"/>
    <w:rsid w:val="003C682D"/>
    <w:rsid w:val="003E7904"/>
    <w:rsid w:val="003F1EFE"/>
    <w:rsid w:val="003F4784"/>
    <w:rsid w:val="004327CB"/>
    <w:rsid w:val="004419C5"/>
    <w:rsid w:val="00441FB3"/>
    <w:rsid w:val="004643E2"/>
    <w:rsid w:val="004714D3"/>
    <w:rsid w:val="0048155A"/>
    <w:rsid w:val="00487B0E"/>
    <w:rsid w:val="004B262F"/>
    <w:rsid w:val="004C61E3"/>
    <w:rsid w:val="004D057E"/>
    <w:rsid w:val="004E05EF"/>
    <w:rsid w:val="00504555"/>
    <w:rsid w:val="00504E74"/>
    <w:rsid w:val="00520124"/>
    <w:rsid w:val="00537342"/>
    <w:rsid w:val="005404B7"/>
    <w:rsid w:val="00582260"/>
    <w:rsid w:val="00593B10"/>
    <w:rsid w:val="005B351C"/>
    <w:rsid w:val="005C0E43"/>
    <w:rsid w:val="005C7810"/>
    <w:rsid w:val="005E0030"/>
    <w:rsid w:val="005E3474"/>
    <w:rsid w:val="005F59A3"/>
    <w:rsid w:val="005F59FE"/>
    <w:rsid w:val="00600D0B"/>
    <w:rsid w:val="00606461"/>
    <w:rsid w:val="00610533"/>
    <w:rsid w:val="006345BB"/>
    <w:rsid w:val="0063670F"/>
    <w:rsid w:val="00652E98"/>
    <w:rsid w:val="00657B19"/>
    <w:rsid w:val="006748E5"/>
    <w:rsid w:val="00681739"/>
    <w:rsid w:val="00681843"/>
    <w:rsid w:val="006A3FAA"/>
    <w:rsid w:val="006A4536"/>
    <w:rsid w:val="006A5414"/>
    <w:rsid w:val="006A701D"/>
    <w:rsid w:val="006A7F2F"/>
    <w:rsid w:val="006B54BB"/>
    <w:rsid w:val="006C1EF8"/>
    <w:rsid w:val="00700385"/>
    <w:rsid w:val="0070345F"/>
    <w:rsid w:val="00706556"/>
    <w:rsid w:val="0071049F"/>
    <w:rsid w:val="00753238"/>
    <w:rsid w:val="007728D9"/>
    <w:rsid w:val="00777779"/>
    <w:rsid w:val="00785D10"/>
    <w:rsid w:val="007939DD"/>
    <w:rsid w:val="00794FA8"/>
    <w:rsid w:val="007B122F"/>
    <w:rsid w:val="007C79D7"/>
    <w:rsid w:val="007F2465"/>
    <w:rsid w:val="00801D42"/>
    <w:rsid w:val="00806783"/>
    <w:rsid w:val="008074E9"/>
    <w:rsid w:val="008510F9"/>
    <w:rsid w:val="00862A62"/>
    <w:rsid w:val="00863309"/>
    <w:rsid w:val="0089026A"/>
    <w:rsid w:val="008A03CB"/>
    <w:rsid w:val="008A1065"/>
    <w:rsid w:val="008C7B3E"/>
    <w:rsid w:val="008D3BA4"/>
    <w:rsid w:val="008F42A0"/>
    <w:rsid w:val="0090555F"/>
    <w:rsid w:val="0091207F"/>
    <w:rsid w:val="00945C08"/>
    <w:rsid w:val="0095525D"/>
    <w:rsid w:val="00955E39"/>
    <w:rsid w:val="00971ACE"/>
    <w:rsid w:val="0098522B"/>
    <w:rsid w:val="009C5CC2"/>
    <w:rsid w:val="009C5F59"/>
    <w:rsid w:val="009D00CC"/>
    <w:rsid w:val="009D5D8E"/>
    <w:rsid w:val="00A06458"/>
    <w:rsid w:val="00A06866"/>
    <w:rsid w:val="00A16B6A"/>
    <w:rsid w:val="00A32497"/>
    <w:rsid w:val="00A47859"/>
    <w:rsid w:val="00A52CC7"/>
    <w:rsid w:val="00A71AD7"/>
    <w:rsid w:val="00A77700"/>
    <w:rsid w:val="00A86C5B"/>
    <w:rsid w:val="00AB3BAE"/>
    <w:rsid w:val="00AB748A"/>
    <w:rsid w:val="00AB7F65"/>
    <w:rsid w:val="00ABE48F"/>
    <w:rsid w:val="00AC34BC"/>
    <w:rsid w:val="00AC76B8"/>
    <w:rsid w:val="00AD1E96"/>
    <w:rsid w:val="00AD28A5"/>
    <w:rsid w:val="00AD79DC"/>
    <w:rsid w:val="00AF1A22"/>
    <w:rsid w:val="00AF76D3"/>
    <w:rsid w:val="00B4056F"/>
    <w:rsid w:val="00B55C7F"/>
    <w:rsid w:val="00B56938"/>
    <w:rsid w:val="00B60AAF"/>
    <w:rsid w:val="00B706A3"/>
    <w:rsid w:val="00B745E1"/>
    <w:rsid w:val="00B75911"/>
    <w:rsid w:val="00B83661"/>
    <w:rsid w:val="00B84008"/>
    <w:rsid w:val="00B950C6"/>
    <w:rsid w:val="00BA7F2B"/>
    <w:rsid w:val="00BB187C"/>
    <w:rsid w:val="00BC6271"/>
    <w:rsid w:val="00BD012D"/>
    <w:rsid w:val="00BD3710"/>
    <w:rsid w:val="00BE40E8"/>
    <w:rsid w:val="00BE74E5"/>
    <w:rsid w:val="00C00424"/>
    <w:rsid w:val="00C04A4D"/>
    <w:rsid w:val="00C06313"/>
    <w:rsid w:val="00C33CD5"/>
    <w:rsid w:val="00C3725D"/>
    <w:rsid w:val="00C57C4A"/>
    <w:rsid w:val="00CA4D71"/>
    <w:rsid w:val="00CD1DE7"/>
    <w:rsid w:val="00CD5E6B"/>
    <w:rsid w:val="00CF22AB"/>
    <w:rsid w:val="00D01CA9"/>
    <w:rsid w:val="00D05709"/>
    <w:rsid w:val="00D21F6F"/>
    <w:rsid w:val="00D23D7F"/>
    <w:rsid w:val="00D34EC5"/>
    <w:rsid w:val="00D448D6"/>
    <w:rsid w:val="00D55328"/>
    <w:rsid w:val="00D55FC3"/>
    <w:rsid w:val="00D85E2D"/>
    <w:rsid w:val="00D86239"/>
    <w:rsid w:val="00D94E98"/>
    <w:rsid w:val="00DA25B5"/>
    <w:rsid w:val="00DA424A"/>
    <w:rsid w:val="00DC178C"/>
    <w:rsid w:val="00DD0955"/>
    <w:rsid w:val="00DE1560"/>
    <w:rsid w:val="00E00B9B"/>
    <w:rsid w:val="00E17D03"/>
    <w:rsid w:val="00E27F0C"/>
    <w:rsid w:val="00E42B4E"/>
    <w:rsid w:val="00E45B78"/>
    <w:rsid w:val="00E51B91"/>
    <w:rsid w:val="00E52FF8"/>
    <w:rsid w:val="00E55046"/>
    <w:rsid w:val="00EA6DB2"/>
    <w:rsid w:val="00EB4F70"/>
    <w:rsid w:val="00EE2D33"/>
    <w:rsid w:val="00EE46B9"/>
    <w:rsid w:val="00EF004F"/>
    <w:rsid w:val="00F03BAD"/>
    <w:rsid w:val="00F06EE1"/>
    <w:rsid w:val="00F10A10"/>
    <w:rsid w:val="00F14796"/>
    <w:rsid w:val="00F14B46"/>
    <w:rsid w:val="00F372C5"/>
    <w:rsid w:val="00F448AE"/>
    <w:rsid w:val="00F8041B"/>
    <w:rsid w:val="00F80692"/>
    <w:rsid w:val="00F853E4"/>
    <w:rsid w:val="00F912AF"/>
    <w:rsid w:val="00FE6FE0"/>
    <w:rsid w:val="011BAA97"/>
    <w:rsid w:val="013CE001"/>
    <w:rsid w:val="015856E3"/>
    <w:rsid w:val="01EDBCF3"/>
    <w:rsid w:val="02447600"/>
    <w:rsid w:val="02DA9554"/>
    <w:rsid w:val="034CFDC5"/>
    <w:rsid w:val="03C4B0AD"/>
    <w:rsid w:val="03C5A055"/>
    <w:rsid w:val="03D38864"/>
    <w:rsid w:val="03EA0897"/>
    <w:rsid w:val="03FECE83"/>
    <w:rsid w:val="042AE4BA"/>
    <w:rsid w:val="044F7F01"/>
    <w:rsid w:val="04E3D826"/>
    <w:rsid w:val="04F5EC38"/>
    <w:rsid w:val="05A5364E"/>
    <w:rsid w:val="05EABFEA"/>
    <w:rsid w:val="05ED91D3"/>
    <w:rsid w:val="060A1E06"/>
    <w:rsid w:val="061FD498"/>
    <w:rsid w:val="062FB5AC"/>
    <w:rsid w:val="063CA91E"/>
    <w:rsid w:val="06411C17"/>
    <w:rsid w:val="0671A48F"/>
    <w:rsid w:val="0672D996"/>
    <w:rsid w:val="0691FEDA"/>
    <w:rsid w:val="06D07F15"/>
    <w:rsid w:val="06D0E459"/>
    <w:rsid w:val="074B15C0"/>
    <w:rsid w:val="07624F7D"/>
    <w:rsid w:val="0776C92B"/>
    <w:rsid w:val="0777153A"/>
    <w:rsid w:val="077F54AD"/>
    <w:rsid w:val="07806F4A"/>
    <w:rsid w:val="07A9945F"/>
    <w:rsid w:val="07BE686E"/>
    <w:rsid w:val="07DE6D87"/>
    <w:rsid w:val="084CE6B2"/>
    <w:rsid w:val="08A5DB2A"/>
    <w:rsid w:val="08BF34E8"/>
    <w:rsid w:val="091CC5D4"/>
    <w:rsid w:val="091FF7DD"/>
    <w:rsid w:val="09948D01"/>
    <w:rsid w:val="09CBEC03"/>
    <w:rsid w:val="09FACF9C"/>
    <w:rsid w:val="0A09550D"/>
    <w:rsid w:val="0A42B947"/>
    <w:rsid w:val="0AC7D194"/>
    <w:rsid w:val="0B0D6C07"/>
    <w:rsid w:val="0B3CC48B"/>
    <w:rsid w:val="0B9F6E07"/>
    <w:rsid w:val="0BBD6916"/>
    <w:rsid w:val="0C628C0D"/>
    <w:rsid w:val="0C7D1743"/>
    <w:rsid w:val="0CA06FE1"/>
    <w:rsid w:val="0CC9A28D"/>
    <w:rsid w:val="0CFF0C09"/>
    <w:rsid w:val="0D1B5A63"/>
    <w:rsid w:val="0D5E0153"/>
    <w:rsid w:val="0D9DC30D"/>
    <w:rsid w:val="0DFDCF95"/>
    <w:rsid w:val="0E3196A5"/>
    <w:rsid w:val="0E4637C4"/>
    <w:rsid w:val="0E6916B6"/>
    <w:rsid w:val="0E877F1C"/>
    <w:rsid w:val="0E8F6B7E"/>
    <w:rsid w:val="0EFC7200"/>
    <w:rsid w:val="0F03218A"/>
    <w:rsid w:val="0F1C4C2C"/>
    <w:rsid w:val="0FBD6745"/>
    <w:rsid w:val="0FD65BE4"/>
    <w:rsid w:val="10265151"/>
    <w:rsid w:val="106DBDCD"/>
    <w:rsid w:val="107185C0"/>
    <w:rsid w:val="10AADCF3"/>
    <w:rsid w:val="10B71E55"/>
    <w:rsid w:val="10E90D00"/>
    <w:rsid w:val="110DA5D7"/>
    <w:rsid w:val="11130542"/>
    <w:rsid w:val="1127C5A7"/>
    <w:rsid w:val="11D93D39"/>
    <w:rsid w:val="11DFB4A5"/>
    <w:rsid w:val="11E7B8C8"/>
    <w:rsid w:val="11EE0371"/>
    <w:rsid w:val="11F62930"/>
    <w:rsid w:val="11F83E7A"/>
    <w:rsid w:val="11FCBD3B"/>
    <w:rsid w:val="12160960"/>
    <w:rsid w:val="1226C29A"/>
    <w:rsid w:val="125B66D3"/>
    <w:rsid w:val="12A6ADAD"/>
    <w:rsid w:val="12B76EDD"/>
    <w:rsid w:val="13A6079A"/>
    <w:rsid w:val="13C7DE0E"/>
    <w:rsid w:val="13D839A9"/>
    <w:rsid w:val="141D8EDF"/>
    <w:rsid w:val="14397E65"/>
    <w:rsid w:val="14671FCB"/>
    <w:rsid w:val="14B4F5B5"/>
    <w:rsid w:val="1563AD1E"/>
    <w:rsid w:val="157CA0FA"/>
    <w:rsid w:val="15E38817"/>
    <w:rsid w:val="15E49EB4"/>
    <w:rsid w:val="15F2DD9F"/>
    <w:rsid w:val="165DA381"/>
    <w:rsid w:val="166B93A3"/>
    <w:rsid w:val="169EE01C"/>
    <w:rsid w:val="170EFBB6"/>
    <w:rsid w:val="172BA8AE"/>
    <w:rsid w:val="173DF914"/>
    <w:rsid w:val="175F4735"/>
    <w:rsid w:val="177BEC83"/>
    <w:rsid w:val="17848876"/>
    <w:rsid w:val="18020E63"/>
    <w:rsid w:val="1869C106"/>
    <w:rsid w:val="1876E338"/>
    <w:rsid w:val="18971674"/>
    <w:rsid w:val="18AA7AD0"/>
    <w:rsid w:val="193A64A3"/>
    <w:rsid w:val="19A14AD0"/>
    <w:rsid w:val="19A9B7C0"/>
    <w:rsid w:val="19B227B9"/>
    <w:rsid w:val="19BF234B"/>
    <w:rsid w:val="19DD5534"/>
    <w:rsid w:val="19DFAC51"/>
    <w:rsid w:val="19FFA72C"/>
    <w:rsid w:val="1A10848D"/>
    <w:rsid w:val="1A22E7B1"/>
    <w:rsid w:val="1A31ABA2"/>
    <w:rsid w:val="1A6811C5"/>
    <w:rsid w:val="1AA2C4B1"/>
    <w:rsid w:val="1ACE7E75"/>
    <w:rsid w:val="1AD8E106"/>
    <w:rsid w:val="1B456265"/>
    <w:rsid w:val="1B53D550"/>
    <w:rsid w:val="1BA2B19B"/>
    <w:rsid w:val="1BA903C0"/>
    <w:rsid w:val="1BC0F9E4"/>
    <w:rsid w:val="1BFEDCE9"/>
    <w:rsid w:val="1C13D7CF"/>
    <w:rsid w:val="1C51706B"/>
    <w:rsid w:val="1CF9E3AC"/>
    <w:rsid w:val="1D1FB8DE"/>
    <w:rsid w:val="1D34ED6B"/>
    <w:rsid w:val="1D3B4D96"/>
    <w:rsid w:val="1D557D0D"/>
    <w:rsid w:val="1DB13139"/>
    <w:rsid w:val="1E2ED4F7"/>
    <w:rsid w:val="1E7F7AC1"/>
    <w:rsid w:val="1EDACF18"/>
    <w:rsid w:val="1F1079A7"/>
    <w:rsid w:val="1F2C255B"/>
    <w:rsid w:val="1F4C1321"/>
    <w:rsid w:val="1F6F6C17"/>
    <w:rsid w:val="1F80883D"/>
    <w:rsid w:val="1F860F1D"/>
    <w:rsid w:val="1F92D6DE"/>
    <w:rsid w:val="1FDCBF5D"/>
    <w:rsid w:val="20535257"/>
    <w:rsid w:val="20658D74"/>
    <w:rsid w:val="208D29ED"/>
    <w:rsid w:val="208F9C49"/>
    <w:rsid w:val="208FF705"/>
    <w:rsid w:val="20AAC15E"/>
    <w:rsid w:val="20F9CC0D"/>
    <w:rsid w:val="212389CC"/>
    <w:rsid w:val="212B04FA"/>
    <w:rsid w:val="2142556C"/>
    <w:rsid w:val="21444478"/>
    <w:rsid w:val="2165C785"/>
    <w:rsid w:val="218CF4EE"/>
    <w:rsid w:val="219868F6"/>
    <w:rsid w:val="21C69DAD"/>
    <w:rsid w:val="226F9D00"/>
    <w:rsid w:val="22908C98"/>
    <w:rsid w:val="22A6DFBC"/>
    <w:rsid w:val="22CAFFF4"/>
    <w:rsid w:val="231443D0"/>
    <w:rsid w:val="2352B3A1"/>
    <w:rsid w:val="235409E1"/>
    <w:rsid w:val="2366A448"/>
    <w:rsid w:val="23C20DB0"/>
    <w:rsid w:val="23DE8884"/>
    <w:rsid w:val="245F9E07"/>
    <w:rsid w:val="251B7F9B"/>
    <w:rsid w:val="254B6096"/>
    <w:rsid w:val="2568663B"/>
    <w:rsid w:val="257FD5A3"/>
    <w:rsid w:val="25B578F3"/>
    <w:rsid w:val="25CDACF7"/>
    <w:rsid w:val="25E2FE34"/>
    <w:rsid w:val="25E93340"/>
    <w:rsid w:val="25F5F83C"/>
    <w:rsid w:val="260E2F1A"/>
    <w:rsid w:val="2616C2F7"/>
    <w:rsid w:val="268212CC"/>
    <w:rsid w:val="268EF85E"/>
    <w:rsid w:val="26A5FD3D"/>
    <w:rsid w:val="26B69D89"/>
    <w:rsid w:val="26F9C957"/>
    <w:rsid w:val="270858E6"/>
    <w:rsid w:val="2732C53E"/>
    <w:rsid w:val="27429B21"/>
    <w:rsid w:val="2744AB3B"/>
    <w:rsid w:val="27576F6A"/>
    <w:rsid w:val="2769189C"/>
    <w:rsid w:val="288328D8"/>
    <w:rsid w:val="28867886"/>
    <w:rsid w:val="28B1CCFD"/>
    <w:rsid w:val="28B4DA70"/>
    <w:rsid w:val="28CF4036"/>
    <w:rsid w:val="28E08713"/>
    <w:rsid w:val="290EBA55"/>
    <w:rsid w:val="29176A65"/>
    <w:rsid w:val="29B6FF06"/>
    <w:rsid w:val="29C397B9"/>
    <w:rsid w:val="2A6BDEDE"/>
    <w:rsid w:val="2AA8CB9C"/>
    <w:rsid w:val="2AC544D1"/>
    <w:rsid w:val="2AEFDE95"/>
    <w:rsid w:val="2B1FED60"/>
    <w:rsid w:val="2B22C27D"/>
    <w:rsid w:val="2B3A0338"/>
    <w:rsid w:val="2B5E7B28"/>
    <w:rsid w:val="2B6B17F8"/>
    <w:rsid w:val="2BAC9545"/>
    <w:rsid w:val="2BCEA953"/>
    <w:rsid w:val="2BD65175"/>
    <w:rsid w:val="2BDFCBF7"/>
    <w:rsid w:val="2C0C28DE"/>
    <w:rsid w:val="2C187E11"/>
    <w:rsid w:val="2C5AE9CE"/>
    <w:rsid w:val="2C6C7CF9"/>
    <w:rsid w:val="2CDE5807"/>
    <w:rsid w:val="2CE0BACF"/>
    <w:rsid w:val="2CF2A690"/>
    <w:rsid w:val="2D0DB5C2"/>
    <w:rsid w:val="2D40D935"/>
    <w:rsid w:val="2D4EC098"/>
    <w:rsid w:val="2D7FF832"/>
    <w:rsid w:val="2DA53E1F"/>
    <w:rsid w:val="2DC1D6A8"/>
    <w:rsid w:val="2DDEBE7B"/>
    <w:rsid w:val="2E16434C"/>
    <w:rsid w:val="2E399AEC"/>
    <w:rsid w:val="2E93BED0"/>
    <w:rsid w:val="2EAAD08C"/>
    <w:rsid w:val="2F060C24"/>
    <w:rsid w:val="2F3AE852"/>
    <w:rsid w:val="2F629732"/>
    <w:rsid w:val="2F7C3246"/>
    <w:rsid w:val="2FD466BE"/>
    <w:rsid w:val="2FEA878D"/>
    <w:rsid w:val="301EAE11"/>
    <w:rsid w:val="30625ABF"/>
    <w:rsid w:val="30748036"/>
    <w:rsid w:val="309486B1"/>
    <w:rsid w:val="30CDCC27"/>
    <w:rsid w:val="30F9FB32"/>
    <w:rsid w:val="317125E1"/>
    <w:rsid w:val="317CC9EF"/>
    <w:rsid w:val="318677B8"/>
    <w:rsid w:val="31A6838E"/>
    <w:rsid w:val="31AAEABD"/>
    <w:rsid w:val="31CE0BF7"/>
    <w:rsid w:val="31E3C424"/>
    <w:rsid w:val="31F1164F"/>
    <w:rsid w:val="322C54F1"/>
    <w:rsid w:val="3243BBA7"/>
    <w:rsid w:val="324A5AF2"/>
    <w:rsid w:val="324DB745"/>
    <w:rsid w:val="32657676"/>
    <w:rsid w:val="326BDE6A"/>
    <w:rsid w:val="32B3CA81"/>
    <w:rsid w:val="32DEC23E"/>
    <w:rsid w:val="3301B15F"/>
    <w:rsid w:val="33187FD0"/>
    <w:rsid w:val="335FA477"/>
    <w:rsid w:val="344ADC5E"/>
    <w:rsid w:val="34B6CE03"/>
    <w:rsid w:val="35276A8D"/>
    <w:rsid w:val="3562A206"/>
    <w:rsid w:val="35D2DC07"/>
    <w:rsid w:val="35FA587B"/>
    <w:rsid w:val="35FC53BE"/>
    <w:rsid w:val="364AF922"/>
    <w:rsid w:val="3655634D"/>
    <w:rsid w:val="366CCEB2"/>
    <w:rsid w:val="3709B360"/>
    <w:rsid w:val="373DB0FF"/>
    <w:rsid w:val="374C6860"/>
    <w:rsid w:val="375981B8"/>
    <w:rsid w:val="37CC2D4E"/>
    <w:rsid w:val="38435342"/>
    <w:rsid w:val="3852720D"/>
    <w:rsid w:val="38CE8F6B"/>
    <w:rsid w:val="38F5590F"/>
    <w:rsid w:val="38F75B28"/>
    <w:rsid w:val="393593EE"/>
    <w:rsid w:val="3986375A"/>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92588B"/>
    <w:rsid w:val="3CA2967A"/>
    <w:rsid w:val="3CC4BA39"/>
    <w:rsid w:val="3CEA80EE"/>
    <w:rsid w:val="3D481CB7"/>
    <w:rsid w:val="3D549577"/>
    <w:rsid w:val="3DAAAAD4"/>
    <w:rsid w:val="3DE0F1B1"/>
    <w:rsid w:val="3DF71E26"/>
    <w:rsid w:val="3DFC61B2"/>
    <w:rsid w:val="3E1082A8"/>
    <w:rsid w:val="3E89A1F8"/>
    <w:rsid w:val="3EB1960B"/>
    <w:rsid w:val="3EF47092"/>
    <w:rsid w:val="3EF77D54"/>
    <w:rsid w:val="3F311607"/>
    <w:rsid w:val="3F45AD49"/>
    <w:rsid w:val="3FD3750A"/>
    <w:rsid w:val="3FD3C005"/>
    <w:rsid w:val="3FD54383"/>
    <w:rsid w:val="3FDB8723"/>
    <w:rsid w:val="3FDF74A5"/>
    <w:rsid w:val="3FE59A2E"/>
    <w:rsid w:val="400BEE9C"/>
    <w:rsid w:val="402484DA"/>
    <w:rsid w:val="40721190"/>
    <w:rsid w:val="410CBC40"/>
    <w:rsid w:val="415340F6"/>
    <w:rsid w:val="41A669DB"/>
    <w:rsid w:val="42241DF8"/>
    <w:rsid w:val="422B48E3"/>
    <w:rsid w:val="423A3A65"/>
    <w:rsid w:val="42704D99"/>
    <w:rsid w:val="42CC4036"/>
    <w:rsid w:val="42FD330A"/>
    <w:rsid w:val="430DF873"/>
    <w:rsid w:val="4363F2C2"/>
    <w:rsid w:val="436FBBC7"/>
    <w:rsid w:val="43851A30"/>
    <w:rsid w:val="450929BA"/>
    <w:rsid w:val="4514BBCD"/>
    <w:rsid w:val="4581F709"/>
    <w:rsid w:val="45FEC7A1"/>
    <w:rsid w:val="45FF30C2"/>
    <w:rsid w:val="46017C86"/>
    <w:rsid w:val="4608A30B"/>
    <w:rsid w:val="465C2352"/>
    <w:rsid w:val="469A3787"/>
    <w:rsid w:val="46F665C6"/>
    <w:rsid w:val="472BEC80"/>
    <w:rsid w:val="473B2049"/>
    <w:rsid w:val="4798FCF3"/>
    <w:rsid w:val="47B2C723"/>
    <w:rsid w:val="47CAA443"/>
    <w:rsid w:val="47DE214B"/>
    <w:rsid w:val="4834EE2C"/>
    <w:rsid w:val="484368B1"/>
    <w:rsid w:val="487D87F1"/>
    <w:rsid w:val="488C7342"/>
    <w:rsid w:val="4891C8A8"/>
    <w:rsid w:val="489BEC5D"/>
    <w:rsid w:val="48F0A47A"/>
    <w:rsid w:val="4904BF08"/>
    <w:rsid w:val="495E8B23"/>
    <w:rsid w:val="4A2B8946"/>
    <w:rsid w:val="4A72C771"/>
    <w:rsid w:val="4AB3B5D8"/>
    <w:rsid w:val="4AE00000"/>
    <w:rsid w:val="4B189145"/>
    <w:rsid w:val="4B5A2694"/>
    <w:rsid w:val="4B638507"/>
    <w:rsid w:val="4B7102D6"/>
    <w:rsid w:val="4B8327FA"/>
    <w:rsid w:val="4C5BA3F5"/>
    <w:rsid w:val="4CB0DD1C"/>
    <w:rsid w:val="4D65BD8D"/>
    <w:rsid w:val="4D69A417"/>
    <w:rsid w:val="4D8425BB"/>
    <w:rsid w:val="4D8EE8AA"/>
    <w:rsid w:val="4D914873"/>
    <w:rsid w:val="4D9EBFCD"/>
    <w:rsid w:val="4D9F2866"/>
    <w:rsid w:val="4DA00F8A"/>
    <w:rsid w:val="4DACC506"/>
    <w:rsid w:val="4DBCB155"/>
    <w:rsid w:val="4DEC1779"/>
    <w:rsid w:val="4E1C9E11"/>
    <w:rsid w:val="4E866279"/>
    <w:rsid w:val="4EFC05C2"/>
    <w:rsid w:val="4F134215"/>
    <w:rsid w:val="4F1C02A0"/>
    <w:rsid w:val="4F570235"/>
    <w:rsid w:val="4F9952FD"/>
    <w:rsid w:val="4FC3534C"/>
    <w:rsid w:val="5008AA88"/>
    <w:rsid w:val="50A81DC3"/>
    <w:rsid w:val="50B97493"/>
    <w:rsid w:val="51498ACB"/>
    <w:rsid w:val="51883FA2"/>
    <w:rsid w:val="51950401"/>
    <w:rsid w:val="51A79CFD"/>
    <w:rsid w:val="51BE87F7"/>
    <w:rsid w:val="51FF9C9D"/>
    <w:rsid w:val="5201CF97"/>
    <w:rsid w:val="5215195A"/>
    <w:rsid w:val="521DA05B"/>
    <w:rsid w:val="525C522A"/>
    <w:rsid w:val="52D23866"/>
    <w:rsid w:val="530FD531"/>
    <w:rsid w:val="531AD7DC"/>
    <w:rsid w:val="5323A7C8"/>
    <w:rsid w:val="533236B5"/>
    <w:rsid w:val="5332FCF9"/>
    <w:rsid w:val="5342AFCD"/>
    <w:rsid w:val="53461B49"/>
    <w:rsid w:val="5349914D"/>
    <w:rsid w:val="537A4F85"/>
    <w:rsid w:val="53D0D8FB"/>
    <w:rsid w:val="53DC35DE"/>
    <w:rsid w:val="5431A0DE"/>
    <w:rsid w:val="544B8713"/>
    <w:rsid w:val="544D024E"/>
    <w:rsid w:val="547FF2E8"/>
    <w:rsid w:val="54AC41BB"/>
    <w:rsid w:val="54C17038"/>
    <w:rsid w:val="5505C0C9"/>
    <w:rsid w:val="550A5971"/>
    <w:rsid w:val="5515EAA7"/>
    <w:rsid w:val="55170ABD"/>
    <w:rsid w:val="5533C632"/>
    <w:rsid w:val="554AF5FD"/>
    <w:rsid w:val="5554416D"/>
    <w:rsid w:val="5555064C"/>
    <w:rsid w:val="555C7DA0"/>
    <w:rsid w:val="55C13273"/>
    <w:rsid w:val="55C50F65"/>
    <w:rsid w:val="55D935A8"/>
    <w:rsid w:val="568C7F9A"/>
    <w:rsid w:val="568E8BA5"/>
    <w:rsid w:val="56AD813B"/>
    <w:rsid w:val="56F82E87"/>
    <w:rsid w:val="5703F8CD"/>
    <w:rsid w:val="576F88F2"/>
    <w:rsid w:val="57769543"/>
    <w:rsid w:val="577C05C7"/>
    <w:rsid w:val="57E29EC1"/>
    <w:rsid w:val="57F5604C"/>
    <w:rsid w:val="58A8938E"/>
    <w:rsid w:val="58BD3924"/>
    <w:rsid w:val="58CEFABF"/>
    <w:rsid w:val="58D16C49"/>
    <w:rsid w:val="59642F1D"/>
    <w:rsid w:val="59BDF066"/>
    <w:rsid w:val="5A19665C"/>
    <w:rsid w:val="5AA65BF5"/>
    <w:rsid w:val="5AE15010"/>
    <w:rsid w:val="5B0FF988"/>
    <w:rsid w:val="5B30958F"/>
    <w:rsid w:val="5B75A7E7"/>
    <w:rsid w:val="5BCAAFFD"/>
    <w:rsid w:val="5C064D0D"/>
    <w:rsid w:val="5C10F2F3"/>
    <w:rsid w:val="5CA4E5D6"/>
    <w:rsid w:val="5CBF37F3"/>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99115"/>
    <w:rsid w:val="5EDC41F8"/>
    <w:rsid w:val="5EF8E719"/>
    <w:rsid w:val="5F59D0A0"/>
    <w:rsid w:val="5F950882"/>
    <w:rsid w:val="5FB5B905"/>
    <w:rsid w:val="5FBA6EDE"/>
    <w:rsid w:val="60235716"/>
    <w:rsid w:val="603EFD50"/>
    <w:rsid w:val="606E08B8"/>
    <w:rsid w:val="607709E0"/>
    <w:rsid w:val="607FF08A"/>
    <w:rsid w:val="60E08BD1"/>
    <w:rsid w:val="612D53D5"/>
    <w:rsid w:val="614BDB29"/>
    <w:rsid w:val="61F27890"/>
    <w:rsid w:val="61F81E59"/>
    <w:rsid w:val="62243A20"/>
    <w:rsid w:val="6245C5E8"/>
    <w:rsid w:val="629E0A11"/>
    <w:rsid w:val="62BA876E"/>
    <w:rsid w:val="62CFDC95"/>
    <w:rsid w:val="6303C9CA"/>
    <w:rsid w:val="6376C0DC"/>
    <w:rsid w:val="6384FF44"/>
    <w:rsid w:val="63F60D48"/>
    <w:rsid w:val="64211C30"/>
    <w:rsid w:val="64347793"/>
    <w:rsid w:val="64723E72"/>
    <w:rsid w:val="648800F8"/>
    <w:rsid w:val="649371A3"/>
    <w:rsid w:val="64A3CA24"/>
    <w:rsid w:val="64E1C8A7"/>
    <w:rsid w:val="64E6D5D3"/>
    <w:rsid w:val="64FDA80F"/>
    <w:rsid w:val="652FB1DD"/>
    <w:rsid w:val="65435439"/>
    <w:rsid w:val="662CECD3"/>
    <w:rsid w:val="66BC3BCA"/>
    <w:rsid w:val="66F676C0"/>
    <w:rsid w:val="6738E4B1"/>
    <w:rsid w:val="679C725F"/>
    <w:rsid w:val="67A97ED7"/>
    <w:rsid w:val="68158FD0"/>
    <w:rsid w:val="682FB0CC"/>
    <w:rsid w:val="688FA620"/>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A8D72E"/>
    <w:rsid w:val="6BD74930"/>
    <w:rsid w:val="6C0E5F36"/>
    <w:rsid w:val="6C64A149"/>
    <w:rsid w:val="6CB73689"/>
    <w:rsid w:val="6CD24CC6"/>
    <w:rsid w:val="6CE0DB60"/>
    <w:rsid w:val="6DA764A9"/>
    <w:rsid w:val="6DD714CD"/>
    <w:rsid w:val="6DD99E28"/>
    <w:rsid w:val="6E213C25"/>
    <w:rsid w:val="6E33A8A6"/>
    <w:rsid w:val="6E5150D3"/>
    <w:rsid w:val="6E61B8DB"/>
    <w:rsid w:val="6E6689F2"/>
    <w:rsid w:val="6E6B73DB"/>
    <w:rsid w:val="6EE2A9E9"/>
    <w:rsid w:val="6F17072D"/>
    <w:rsid w:val="6F9BA1DF"/>
    <w:rsid w:val="6FAB7B09"/>
    <w:rsid w:val="6FABB1A0"/>
    <w:rsid w:val="6FDF9101"/>
    <w:rsid w:val="6FE1C3A2"/>
    <w:rsid w:val="6FE376EA"/>
    <w:rsid w:val="6FF13472"/>
    <w:rsid w:val="702BF66E"/>
    <w:rsid w:val="7092434D"/>
    <w:rsid w:val="70F3B0B6"/>
    <w:rsid w:val="717779C3"/>
    <w:rsid w:val="717A5565"/>
    <w:rsid w:val="71A8DD5A"/>
    <w:rsid w:val="71AA601B"/>
    <w:rsid w:val="71B5276D"/>
    <w:rsid w:val="72394CB3"/>
    <w:rsid w:val="7295948B"/>
    <w:rsid w:val="72CA3FD2"/>
    <w:rsid w:val="72F22D11"/>
    <w:rsid w:val="72FE1BEE"/>
    <w:rsid w:val="73036EFF"/>
    <w:rsid w:val="73134CA4"/>
    <w:rsid w:val="731D2ABB"/>
    <w:rsid w:val="733E28D8"/>
    <w:rsid w:val="73CF573C"/>
    <w:rsid w:val="7448C91B"/>
    <w:rsid w:val="745B688B"/>
    <w:rsid w:val="749C79CF"/>
    <w:rsid w:val="74C9229F"/>
    <w:rsid w:val="74CC793A"/>
    <w:rsid w:val="750350EE"/>
    <w:rsid w:val="7517D545"/>
    <w:rsid w:val="75392017"/>
    <w:rsid w:val="755D07C8"/>
    <w:rsid w:val="75A0F80B"/>
    <w:rsid w:val="75B35BEB"/>
    <w:rsid w:val="75C1BDD8"/>
    <w:rsid w:val="75DB0C08"/>
    <w:rsid w:val="7619B1C9"/>
    <w:rsid w:val="762F13EC"/>
    <w:rsid w:val="7640C84E"/>
    <w:rsid w:val="7651DCE7"/>
    <w:rsid w:val="7678A8D1"/>
    <w:rsid w:val="7689438F"/>
    <w:rsid w:val="7719A1A1"/>
    <w:rsid w:val="77A499DA"/>
    <w:rsid w:val="78607F8A"/>
    <w:rsid w:val="7864D960"/>
    <w:rsid w:val="78906E4D"/>
    <w:rsid w:val="78DB36EE"/>
    <w:rsid w:val="795D2D7D"/>
    <w:rsid w:val="79643C45"/>
    <w:rsid w:val="79A6D230"/>
    <w:rsid w:val="7A1006A3"/>
    <w:rsid w:val="7A148951"/>
    <w:rsid w:val="7A3FFF29"/>
    <w:rsid w:val="7A45F714"/>
    <w:rsid w:val="7A68AC07"/>
    <w:rsid w:val="7AB10192"/>
    <w:rsid w:val="7AEDBD43"/>
    <w:rsid w:val="7AF562E3"/>
    <w:rsid w:val="7B5282F5"/>
    <w:rsid w:val="7B8326C2"/>
    <w:rsid w:val="7B9757E5"/>
    <w:rsid w:val="7BAEB786"/>
    <w:rsid w:val="7BB23823"/>
    <w:rsid w:val="7BB7B4B7"/>
    <w:rsid w:val="7BCC939D"/>
    <w:rsid w:val="7CB2320C"/>
    <w:rsid w:val="7CC7DA7A"/>
    <w:rsid w:val="7D59C3EE"/>
    <w:rsid w:val="7D6B7978"/>
    <w:rsid w:val="7D728C48"/>
    <w:rsid w:val="7D8826DD"/>
    <w:rsid w:val="7DF146AA"/>
    <w:rsid w:val="7E254174"/>
    <w:rsid w:val="7E6376DF"/>
    <w:rsid w:val="7E76212F"/>
    <w:rsid w:val="7E817974"/>
    <w:rsid w:val="7E862D56"/>
    <w:rsid w:val="7EB42200"/>
    <w:rsid w:val="7F0F9E0A"/>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B3B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AB3BAE"/>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005">
      <w:bodyDiv w:val="1"/>
      <w:marLeft w:val="0"/>
      <w:marRight w:val="0"/>
      <w:marTop w:val="0"/>
      <w:marBottom w:val="0"/>
      <w:divBdr>
        <w:top w:val="none" w:sz="0" w:space="0" w:color="auto"/>
        <w:left w:val="none" w:sz="0" w:space="0" w:color="auto"/>
        <w:bottom w:val="none" w:sz="0" w:space="0" w:color="auto"/>
        <w:right w:val="none" w:sz="0" w:space="0" w:color="auto"/>
      </w:divBdr>
    </w:div>
    <w:div w:id="110517928">
      <w:bodyDiv w:val="1"/>
      <w:marLeft w:val="0"/>
      <w:marRight w:val="0"/>
      <w:marTop w:val="0"/>
      <w:marBottom w:val="0"/>
      <w:divBdr>
        <w:top w:val="none" w:sz="0" w:space="0" w:color="auto"/>
        <w:left w:val="none" w:sz="0" w:space="0" w:color="auto"/>
        <w:bottom w:val="none" w:sz="0" w:space="0" w:color="auto"/>
        <w:right w:val="none" w:sz="0" w:space="0" w:color="auto"/>
      </w:divBdr>
      <w:divsChild>
        <w:div w:id="1299144914">
          <w:marLeft w:val="0"/>
          <w:marRight w:val="0"/>
          <w:marTop w:val="0"/>
          <w:marBottom w:val="0"/>
          <w:divBdr>
            <w:top w:val="none" w:sz="0" w:space="0" w:color="auto"/>
            <w:left w:val="none" w:sz="0" w:space="0" w:color="auto"/>
            <w:bottom w:val="none" w:sz="0" w:space="0" w:color="auto"/>
            <w:right w:val="none" w:sz="0" w:space="0" w:color="auto"/>
          </w:divBdr>
          <w:divsChild>
            <w:div w:id="2091804501">
              <w:marLeft w:val="0"/>
              <w:marRight w:val="0"/>
              <w:marTop w:val="0"/>
              <w:marBottom w:val="0"/>
              <w:divBdr>
                <w:top w:val="none" w:sz="0" w:space="0" w:color="auto"/>
                <w:left w:val="none" w:sz="0" w:space="0" w:color="auto"/>
                <w:bottom w:val="none" w:sz="0" w:space="0" w:color="auto"/>
                <w:right w:val="none" w:sz="0" w:space="0" w:color="auto"/>
              </w:divBdr>
              <w:divsChild>
                <w:div w:id="1181774409">
                  <w:marLeft w:val="0"/>
                  <w:marRight w:val="0"/>
                  <w:marTop w:val="0"/>
                  <w:marBottom w:val="0"/>
                  <w:divBdr>
                    <w:top w:val="none" w:sz="0" w:space="0" w:color="auto"/>
                    <w:left w:val="none" w:sz="0" w:space="0" w:color="auto"/>
                    <w:bottom w:val="none" w:sz="0" w:space="0" w:color="auto"/>
                    <w:right w:val="none" w:sz="0" w:space="0" w:color="auto"/>
                  </w:divBdr>
                  <w:divsChild>
                    <w:div w:id="933972835">
                      <w:marLeft w:val="0"/>
                      <w:marRight w:val="0"/>
                      <w:marTop w:val="0"/>
                      <w:marBottom w:val="0"/>
                      <w:divBdr>
                        <w:top w:val="none" w:sz="0" w:space="0" w:color="auto"/>
                        <w:left w:val="none" w:sz="0" w:space="0" w:color="auto"/>
                        <w:bottom w:val="none" w:sz="0" w:space="0" w:color="auto"/>
                        <w:right w:val="none" w:sz="0" w:space="0" w:color="auto"/>
                      </w:divBdr>
                      <w:divsChild>
                        <w:div w:id="1462961400">
                          <w:marLeft w:val="0"/>
                          <w:marRight w:val="0"/>
                          <w:marTop w:val="0"/>
                          <w:marBottom w:val="0"/>
                          <w:divBdr>
                            <w:top w:val="none" w:sz="0" w:space="0" w:color="auto"/>
                            <w:left w:val="none" w:sz="0" w:space="0" w:color="auto"/>
                            <w:bottom w:val="none" w:sz="0" w:space="0" w:color="auto"/>
                            <w:right w:val="none" w:sz="0" w:space="0" w:color="auto"/>
                          </w:divBdr>
                          <w:divsChild>
                            <w:div w:id="6516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5800">
      <w:bodyDiv w:val="1"/>
      <w:marLeft w:val="0"/>
      <w:marRight w:val="0"/>
      <w:marTop w:val="0"/>
      <w:marBottom w:val="0"/>
      <w:divBdr>
        <w:top w:val="none" w:sz="0" w:space="0" w:color="auto"/>
        <w:left w:val="none" w:sz="0" w:space="0" w:color="auto"/>
        <w:bottom w:val="none" w:sz="0" w:space="0" w:color="auto"/>
        <w:right w:val="none" w:sz="0" w:space="0" w:color="auto"/>
      </w:divBdr>
      <w:divsChild>
        <w:div w:id="1119757828">
          <w:marLeft w:val="0"/>
          <w:marRight w:val="0"/>
          <w:marTop w:val="0"/>
          <w:marBottom w:val="0"/>
          <w:divBdr>
            <w:top w:val="none" w:sz="0" w:space="0" w:color="auto"/>
            <w:left w:val="none" w:sz="0" w:space="0" w:color="auto"/>
            <w:bottom w:val="none" w:sz="0" w:space="0" w:color="auto"/>
            <w:right w:val="none" w:sz="0" w:space="0" w:color="auto"/>
          </w:divBdr>
          <w:divsChild>
            <w:div w:id="146898581">
              <w:marLeft w:val="0"/>
              <w:marRight w:val="0"/>
              <w:marTop w:val="0"/>
              <w:marBottom w:val="0"/>
              <w:divBdr>
                <w:top w:val="none" w:sz="0" w:space="0" w:color="auto"/>
                <w:left w:val="none" w:sz="0" w:space="0" w:color="auto"/>
                <w:bottom w:val="none" w:sz="0" w:space="0" w:color="auto"/>
                <w:right w:val="none" w:sz="0" w:space="0" w:color="auto"/>
              </w:divBdr>
              <w:divsChild>
                <w:div w:id="557858293">
                  <w:marLeft w:val="0"/>
                  <w:marRight w:val="0"/>
                  <w:marTop w:val="0"/>
                  <w:marBottom w:val="0"/>
                  <w:divBdr>
                    <w:top w:val="none" w:sz="0" w:space="0" w:color="auto"/>
                    <w:left w:val="none" w:sz="0" w:space="0" w:color="auto"/>
                    <w:bottom w:val="none" w:sz="0" w:space="0" w:color="auto"/>
                    <w:right w:val="none" w:sz="0" w:space="0" w:color="auto"/>
                  </w:divBdr>
                  <w:divsChild>
                    <w:div w:id="1422721568">
                      <w:marLeft w:val="0"/>
                      <w:marRight w:val="0"/>
                      <w:marTop w:val="0"/>
                      <w:marBottom w:val="0"/>
                      <w:divBdr>
                        <w:top w:val="none" w:sz="0" w:space="0" w:color="auto"/>
                        <w:left w:val="none" w:sz="0" w:space="0" w:color="auto"/>
                        <w:bottom w:val="none" w:sz="0" w:space="0" w:color="auto"/>
                        <w:right w:val="none" w:sz="0" w:space="0" w:color="auto"/>
                      </w:divBdr>
                      <w:divsChild>
                        <w:div w:id="773401308">
                          <w:marLeft w:val="0"/>
                          <w:marRight w:val="0"/>
                          <w:marTop w:val="0"/>
                          <w:marBottom w:val="0"/>
                          <w:divBdr>
                            <w:top w:val="none" w:sz="0" w:space="0" w:color="auto"/>
                            <w:left w:val="none" w:sz="0" w:space="0" w:color="auto"/>
                            <w:bottom w:val="none" w:sz="0" w:space="0" w:color="auto"/>
                            <w:right w:val="none" w:sz="0" w:space="0" w:color="auto"/>
                          </w:divBdr>
                          <w:divsChild>
                            <w:div w:id="4704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499898">
      <w:bodyDiv w:val="1"/>
      <w:marLeft w:val="0"/>
      <w:marRight w:val="0"/>
      <w:marTop w:val="0"/>
      <w:marBottom w:val="0"/>
      <w:divBdr>
        <w:top w:val="none" w:sz="0" w:space="0" w:color="auto"/>
        <w:left w:val="none" w:sz="0" w:space="0" w:color="auto"/>
        <w:bottom w:val="none" w:sz="0" w:space="0" w:color="auto"/>
        <w:right w:val="none" w:sz="0" w:space="0" w:color="auto"/>
      </w:divBdr>
    </w:div>
    <w:div w:id="400299545">
      <w:bodyDiv w:val="1"/>
      <w:marLeft w:val="0"/>
      <w:marRight w:val="0"/>
      <w:marTop w:val="0"/>
      <w:marBottom w:val="0"/>
      <w:divBdr>
        <w:top w:val="none" w:sz="0" w:space="0" w:color="auto"/>
        <w:left w:val="none" w:sz="0" w:space="0" w:color="auto"/>
        <w:bottom w:val="none" w:sz="0" w:space="0" w:color="auto"/>
        <w:right w:val="none" w:sz="0" w:space="0" w:color="auto"/>
      </w:divBdr>
    </w:div>
    <w:div w:id="485781536">
      <w:bodyDiv w:val="1"/>
      <w:marLeft w:val="0"/>
      <w:marRight w:val="0"/>
      <w:marTop w:val="0"/>
      <w:marBottom w:val="0"/>
      <w:divBdr>
        <w:top w:val="none" w:sz="0" w:space="0" w:color="auto"/>
        <w:left w:val="none" w:sz="0" w:space="0" w:color="auto"/>
        <w:bottom w:val="none" w:sz="0" w:space="0" w:color="auto"/>
        <w:right w:val="none" w:sz="0" w:space="0" w:color="auto"/>
      </w:divBdr>
    </w:div>
    <w:div w:id="640186065">
      <w:bodyDiv w:val="1"/>
      <w:marLeft w:val="0"/>
      <w:marRight w:val="0"/>
      <w:marTop w:val="0"/>
      <w:marBottom w:val="0"/>
      <w:divBdr>
        <w:top w:val="none" w:sz="0" w:space="0" w:color="auto"/>
        <w:left w:val="none" w:sz="0" w:space="0" w:color="auto"/>
        <w:bottom w:val="none" w:sz="0" w:space="0" w:color="auto"/>
        <w:right w:val="none" w:sz="0" w:space="0" w:color="auto"/>
      </w:divBdr>
    </w:div>
    <w:div w:id="809176911">
      <w:bodyDiv w:val="1"/>
      <w:marLeft w:val="0"/>
      <w:marRight w:val="0"/>
      <w:marTop w:val="0"/>
      <w:marBottom w:val="0"/>
      <w:divBdr>
        <w:top w:val="none" w:sz="0" w:space="0" w:color="auto"/>
        <w:left w:val="none" w:sz="0" w:space="0" w:color="auto"/>
        <w:bottom w:val="none" w:sz="0" w:space="0" w:color="auto"/>
        <w:right w:val="none" w:sz="0" w:space="0" w:color="auto"/>
      </w:divBdr>
    </w:div>
    <w:div w:id="922762649">
      <w:bodyDiv w:val="1"/>
      <w:marLeft w:val="0"/>
      <w:marRight w:val="0"/>
      <w:marTop w:val="0"/>
      <w:marBottom w:val="0"/>
      <w:divBdr>
        <w:top w:val="none" w:sz="0" w:space="0" w:color="auto"/>
        <w:left w:val="none" w:sz="0" w:space="0" w:color="auto"/>
        <w:bottom w:val="none" w:sz="0" w:space="0" w:color="auto"/>
        <w:right w:val="none" w:sz="0" w:space="0" w:color="auto"/>
      </w:divBdr>
    </w:div>
    <w:div w:id="1033772742">
      <w:bodyDiv w:val="1"/>
      <w:marLeft w:val="0"/>
      <w:marRight w:val="0"/>
      <w:marTop w:val="0"/>
      <w:marBottom w:val="0"/>
      <w:divBdr>
        <w:top w:val="none" w:sz="0" w:space="0" w:color="auto"/>
        <w:left w:val="none" w:sz="0" w:space="0" w:color="auto"/>
        <w:bottom w:val="none" w:sz="0" w:space="0" w:color="auto"/>
        <w:right w:val="none" w:sz="0" w:space="0" w:color="auto"/>
      </w:divBdr>
    </w:div>
    <w:div w:id="1194730437">
      <w:bodyDiv w:val="1"/>
      <w:marLeft w:val="0"/>
      <w:marRight w:val="0"/>
      <w:marTop w:val="0"/>
      <w:marBottom w:val="0"/>
      <w:divBdr>
        <w:top w:val="none" w:sz="0" w:space="0" w:color="auto"/>
        <w:left w:val="none" w:sz="0" w:space="0" w:color="auto"/>
        <w:bottom w:val="none" w:sz="0" w:space="0" w:color="auto"/>
        <w:right w:val="none" w:sz="0" w:space="0" w:color="auto"/>
      </w:divBdr>
    </w:div>
    <w:div w:id="1237857765">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168548">
      <w:bodyDiv w:val="1"/>
      <w:marLeft w:val="0"/>
      <w:marRight w:val="0"/>
      <w:marTop w:val="0"/>
      <w:marBottom w:val="0"/>
      <w:divBdr>
        <w:top w:val="none" w:sz="0" w:space="0" w:color="auto"/>
        <w:left w:val="none" w:sz="0" w:space="0" w:color="auto"/>
        <w:bottom w:val="none" w:sz="0" w:space="0" w:color="auto"/>
        <w:right w:val="none" w:sz="0" w:space="0" w:color="auto"/>
      </w:divBdr>
    </w:div>
    <w:div w:id="1714227974">
      <w:bodyDiv w:val="1"/>
      <w:marLeft w:val="0"/>
      <w:marRight w:val="0"/>
      <w:marTop w:val="0"/>
      <w:marBottom w:val="0"/>
      <w:divBdr>
        <w:top w:val="none" w:sz="0" w:space="0" w:color="auto"/>
        <w:left w:val="none" w:sz="0" w:space="0" w:color="auto"/>
        <w:bottom w:val="none" w:sz="0" w:space="0" w:color="auto"/>
        <w:right w:val="none" w:sz="0" w:space="0" w:color="auto"/>
      </w:divBdr>
    </w:div>
    <w:div w:id="1896618345">
      <w:bodyDiv w:val="1"/>
      <w:marLeft w:val="0"/>
      <w:marRight w:val="0"/>
      <w:marTop w:val="0"/>
      <w:marBottom w:val="0"/>
      <w:divBdr>
        <w:top w:val="none" w:sz="0" w:space="0" w:color="auto"/>
        <w:left w:val="none" w:sz="0" w:space="0" w:color="auto"/>
        <w:bottom w:val="none" w:sz="0" w:space="0" w:color="auto"/>
        <w:right w:val="none" w:sz="0" w:space="0" w:color="auto"/>
      </w:divBdr>
    </w:div>
    <w:div w:id="192545540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3522</Words>
  <Characters>20076</Characters>
  <Application>Microsoft Office Word</Application>
  <DocSecurity>4</DocSecurity>
  <Lines>167</Lines>
  <Paragraphs>47</Paragraphs>
  <ScaleCrop>false</ScaleCrop>
  <Company/>
  <LinksUpToDate>false</LinksUpToDate>
  <CharactersWithSpaces>23551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2023-09-05T14:52:00Z</cp:lastPrinted>
  <dcterms:created xsi:type="dcterms:W3CDTF">2025-10-28T18:27:00Z</dcterms:created>
  <dcterms:modified xsi:type="dcterms:W3CDTF">2025-10-28T18:27:00Z</dcterms:modified>
</cp:coreProperties>
</file>