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8611A" w14:textId="77777777" w:rsidR="00E77265" w:rsidRPr="0064564B" w:rsidRDefault="00E77265" w:rsidP="00E77265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0B22068E" w14:textId="77777777" w:rsidR="00E77265" w:rsidRPr="0064564B" w:rsidRDefault="00E77265" w:rsidP="00E77265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33621C7A" w14:textId="1A7559FD" w:rsidR="00E77265" w:rsidRPr="0064564B" w:rsidRDefault="00E77265" w:rsidP="00E77265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20ma. Asamblea</w:t>
      </w:r>
      <w:r>
        <w:rPr>
          <w:rFonts w:ascii="Book Antiqua" w:hAnsi="Book Antiqua"/>
          <w:szCs w:val="24"/>
          <w:lang w:val="es-ES_tradnl"/>
        </w:rPr>
        <w:tab/>
        <w:t xml:space="preserve">             </w:t>
      </w:r>
      <w:r w:rsidR="006F04CA">
        <w:rPr>
          <w:rFonts w:ascii="Book Antiqua" w:hAnsi="Book Antiqua"/>
          <w:szCs w:val="24"/>
          <w:lang w:val="es-ES_tradnl"/>
        </w:rPr>
        <w:t>4t</w:t>
      </w:r>
      <w:r>
        <w:rPr>
          <w:rFonts w:ascii="Book Antiqua" w:hAnsi="Book Antiqua"/>
          <w:szCs w:val="24"/>
          <w:lang w:val="es-ES_tradnl"/>
        </w:rPr>
        <w:t>a. Sesión</w:t>
      </w:r>
    </w:p>
    <w:p w14:paraId="55EB3236" w14:textId="59E8680F" w:rsidR="00E77265" w:rsidRPr="0064564B" w:rsidRDefault="00E77265" w:rsidP="00E77265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</w:r>
      <w:r w:rsidR="004815E0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>Legislativa</w:t>
      </w:r>
      <w:r>
        <w:rPr>
          <w:rFonts w:ascii="Book Antiqua" w:hAnsi="Book Antiqua"/>
          <w:szCs w:val="24"/>
          <w:lang w:val="es-ES_tradnl"/>
        </w:rPr>
        <w:tab/>
        <w:t xml:space="preserve">            </w:t>
      </w:r>
      <w:r w:rsidR="004815E0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>Ordinaria</w:t>
      </w:r>
    </w:p>
    <w:p w14:paraId="3AF21CCE" w14:textId="77777777" w:rsidR="00E77265" w:rsidRPr="0064564B" w:rsidRDefault="00E77265" w:rsidP="00E77265">
      <w:pPr>
        <w:rPr>
          <w:rFonts w:ascii="Book Antiqua" w:hAnsi="Book Antiqua"/>
          <w:lang w:val="es-ES_tradnl"/>
        </w:rPr>
      </w:pPr>
    </w:p>
    <w:p w14:paraId="7547E6D8" w14:textId="77777777" w:rsidR="00E77265" w:rsidRPr="0064564B" w:rsidRDefault="00E77265" w:rsidP="00E77265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626FEEC4" w14:textId="77777777" w:rsidR="00E77265" w:rsidRPr="0064564B" w:rsidRDefault="00E77265" w:rsidP="00E77265">
      <w:pPr>
        <w:jc w:val="center"/>
        <w:rPr>
          <w:rFonts w:ascii="Book Antiqua" w:hAnsi="Book Antiqua" w:cs="Tahoma"/>
          <w:b/>
          <w:lang w:val="es-ES_tradnl"/>
        </w:rPr>
      </w:pPr>
    </w:p>
    <w:p w14:paraId="7B27D09B" w14:textId="2309EDE5" w:rsidR="00E77265" w:rsidRPr="0064564B" w:rsidRDefault="006F04CA" w:rsidP="006F04CA">
      <w:pPr>
        <w:tabs>
          <w:tab w:val="left" w:pos="7704"/>
        </w:tabs>
        <w:rPr>
          <w:rFonts w:ascii="Book Antiqua" w:hAnsi="Book Antiqua" w:cs="Tahoma"/>
          <w:b/>
          <w:lang w:val="es-ES_tradnl"/>
        </w:rPr>
      </w:pPr>
      <w:r>
        <w:rPr>
          <w:rFonts w:ascii="Book Antiqua" w:hAnsi="Book Antiqua" w:cs="Tahoma"/>
          <w:b/>
          <w:lang w:val="es-ES_tradnl"/>
        </w:rPr>
        <w:tab/>
      </w:r>
    </w:p>
    <w:p w14:paraId="417AD0BB" w14:textId="2C3D5622" w:rsidR="00E77265" w:rsidRPr="0064564B" w:rsidRDefault="00E77265" w:rsidP="00E77265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87806">
        <w:rPr>
          <w:rFonts w:ascii="Book Antiqua" w:hAnsi="Book Antiqua" w:cs="Tahoma"/>
          <w:b/>
          <w:sz w:val="52"/>
          <w:szCs w:val="52"/>
          <w:lang w:val="es-ES_tradnl"/>
        </w:rPr>
        <w:t>421</w:t>
      </w:r>
    </w:p>
    <w:p w14:paraId="1FA66AAE" w14:textId="77777777" w:rsidR="00C73BF9" w:rsidRPr="00E77265" w:rsidRDefault="00C73BF9">
      <w:pPr>
        <w:rPr>
          <w:lang w:val="es-ES"/>
        </w:rPr>
      </w:pPr>
    </w:p>
    <w:p w14:paraId="4E575965" w14:textId="77777777" w:rsidR="00C73BF9" w:rsidRDefault="004815E0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b/>
          <w:bCs/>
          <w:sz w:val="28"/>
          <w:szCs w:val="28"/>
          <w:lang w:val="es-ES"/>
        </w:rPr>
        <w:t>INFORME POSITIVO</w:t>
      </w:r>
    </w:p>
    <w:p w14:paraId="080D5CC6" w14:textId="77777777" w:rsidR="00E77265" w:rsidRPr="00E77265" w:rsidRDefault="00E77265">
      <w:pPr>
        <w:jc w:val="center"/>
        <w:rPr>
          <w:lang w:val="es-ES"/>
        </w:rPr>
      </w:pPr>
    </w:p>
    <w:p w14:paraId="03ACCCAF" w14:textId="77777777" w:rsidR="00C73BF9" w:rsidRPr="00E77265" w:rsidRDefault="00C73BF9">
      <w:pPr>
        <w:rPr>
          <w:lang w:val="es-ES"/>
        </w:rPr>
      </w:pPr>
    </w:p>
    <w:p w14:paraId="17350442" w14:textId="3E735A61" w:rsidR="00C73BF9" w:rsidRPr="00E77265" w:rsidRDefault="00387806" w:rsidP="00E77265">
      <w:pPr>
        <w:spacing w:after="200"/>
        <w:jc w:val="center"/>
        <w:rPr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t>1</w:t>
      </w:r>
      <w:r w:rsidR="008C0253">
        <w:rPr>
          <w:rFonts w:ascii="Book Antiqua" w:eastAsia="Book Antiqua" w:hAnsi="Book Antiqua" w:cs="Book Antiqua"/>
          <w:sz w:val="24"/>
          <w:szCs w:val="24"/>
          <w:lang w:val="es-ES"/>
        </w:rPr>
        <w:t xml:space="preserve">3 </w:t>
      </w:r>
      <w:r w:rsidR="004815E0">
        <w:rPr>
          <w:rFonts w:ascii="Book Antiqua" w:eastAsia="Book Antiqua" w:hAnsi="Book Antiqua" w:cs="Book Antiqua"/>
          <w:sz w:val="24"/>
          <w:szCs w:val="24"/>
          <w:lang w:val="es-ES"/>
        </w:rPr>
        <w:t>de julio de 2026</w:t>
      </w:r>
    </w:p>
    <w:p w14:paraId="67F111AB" w14:textId="77777777" w:rsidR="00C73BF9" w:rsidRPr="00E77265" w:rsidRDefault="00C73BF9">
      <w:pPr>
        <w:rPr>
          <w:lang w:val="es-ES"/>
        </w:rPr>
      </w:pPr>
    </w:p>
    <w:p w14:paraId="263FC815" w14:textId="77777777" w:rsidR="00C73BF9" w:rsidRPr="00E77265" w:rsidRDefault="004815E0">
      <w:pPr>
        <w:rPr>
          <w:lang w:val="es-ES"/>
        </w:rPr>
      </w:pPr>
      <w:r>
        <w:rPr>
          <w:rFonts w:ascii="Book Antiqua" w:eastAsia="Book Antiqua" w:hAnsi="Book Antiqua" w:cs="Book Antiqua"/>
          <w:b/>
          <w:bCs/>
          <w:sz w:val="24"/>
          <w:szCs w:val="24"/>
          <w:lang w:val="es-ES"/>
        </w:rPr>
        <w:t>A LA CÁMARA DE REPRESENTANTES DE PUERTO RICO:</w:t>
      </w:r>
    </w:p>
    <w:p w14:paraId="77EB83E0" w14:textId="77777777" w:rsidR="00C73BF9" w:rsidRPr="00E77265" w:rsidRDefault="00C73BF9">
      <w:pPr>
        <w:rPr>
          <w:lang w:val="es-ES"/>
        </w:rPr>
      </w:pPr>
    </w:p>
    <w:p w14:paraId="212F15B3" w14:textId="497C15DA" w:rsidR="00C73BF9" w:rsidRPr="00E77265" w:rsidRDefault="004815E0">
      <w:pPr>
        <w:ind w:firstLine="720"/>
        <w:jc w:val="both"/>
        <w:rPr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t xml:space="preserve">La Comisión de Asuntos Internos de la Cámara de Representantes, previo estudio y consideración de la R. de la C. </w:t>
      </w:r>
      <w:r w:rsidR="00387806">
        <w:rPr>
          <w:rFonts w:ascii="Book Antiqua" w:eastAsia="Book Antiqua" w:hAnsi="Book Antiqua" w:cs="Book Antiqua"/>
          <w:sz w:val="24"/>
          <w:szCs w:val="24"/>
          <w:lang w:val="es-ES"/>
        </w:rPr>
        <w:t>421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, tiene a bien someter su informe recomendando la aprobación de la medida con las enmiendas contenidas en el entirillado electrónico que acompaña este informe, cuyo título lee:</w:t>
      </w:r>
    </w:p>
    <w:p w14:paraId="2660281B" w14:textId="77777777" w:rsidR="00C73BF9" w:rsidRPr="00E77265" w:rsidRDefault="00C73BF9">
      <w:pPr>
        <w:rPr>
          <w:lang w:val="es-ES"/>
        </w:rPr>
      </w:pPr>
    </w:p>
    <w:p w14:paraId="51EF5080" w14:textId="7C69936C" w:rsidR="00C73BF9" w:rsidRPr="00B74154" w:rsidRDefault="004815E0">
      <w:pPr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 w:rsidRPr="00B74154">
        <w:rPr>
          <w:rFonts w:ascii="Book Antiqua" w:eastAsia="Book Antiqua" w:hAnsi="Book Antiqua" w:cs="Book Antiqua"/>
          <w:sz w:val="24"/>
          <w:szCs w:val="24"/>
          <w:lang w:val="es-ES"/>
        </w:rPr>
        <w:t xml:space="preserve">“Para </w:t>
      </w:r>
      <w:r w:rsidR="000D2C30" w:rsidRPr="00F41455">
        <w:rPr>
          <w:rFonts w:ascii="Book Antiqua" w:hAnsi="Book Antiqua"/>
          <w:sz w:val="24"/>
          <w:szCs w:val="24"/>
        </w:rPr>
        <w:t xml:space="preserve">ordenar a la Comisión de </w:t>
      </w:r>
      <w:r w:rsidR="000D2C30">
        <w:rPr>
          <w:rFonts w:ascii="Book Antiqua" w:hAnsi="Book Antiqua"/>
          <w:sz w:val="24"/>
          <w:szCs w:val="24"/>
        </w:rPr>
        <w:t>Vivienda y Desarrollo Urbano</w:t>
      </w:r>
      <w:r w:rsidR="000D2C30" w:rsidRPr="00F41455">
        <w:rPr>
          <w:rFonts w:ascii="Book Antiqua" w:hAnsi="Book Antiqua"/>
          <w:sz w:val="24"/>
          <w:szCs w:val="24"/>
        </w:rPr>
        <w:t xml:space="preserve"> </w:t>
      </w:r>
      <w:r w:rsidR="000D2C30">
        <w:rPr>
          <w:rFonts w:ascii="Book Antiqua" w:hAnsi="Book Antiqua"/>
          <w:sz w:val="24"/>
          <w:szCs w:val="24"/>
        </w:rPr>
        <w:t>de la Cámara de Representantes de Puerto Rico</w:t>
      </w:r>
      <w:r w:rsidR="000D2C30" w:rsidRPr="00F41455">
        <w:rPr>
          <w:rFonts w:ascii="Book Antiqua" w:hAnsi="Book Antiqua"/>
          <w:sz w:val="24"/>
          <w:szCs w:val="24"/>
        </w:rPr>
        <w:t xml:space="preserve"> </w:t>
      </w:r>
      <w:bookmarkStart w:id="0" w:name="_Hlk207033808"/>
      <w:r w:rsidR="000D2C30">
        <w:rPr>
          <w:rFonts w:ascii="Book Antiqua" w:hAnsi="Book Antiqua"/>
          <w:sz w:val="24"/>
          <w:szCs w:val="24"/>
        </w:rPr>
        <w:t>realizar una investigación sobre el estado de la demolición del residencial público Los Cedros ubicado en Trujillo Alto</w:t>
      </w:r>
      <w:bookmarkEnd w:id="0"/>
      <w:r w:rsidR="000D2C30" w:rsidRPr="000D2C30">
        <w:rPr>
          <w:rFonts w:ascii="Book Antiqua" w:hAnsi="Book Antiqua"/>
          <w:sz w:val="24"/>
          <w:szCs w:val="24"/>
        </w:rPr>
        <w:t>;</w:t>
      </w:r>
      <w:r w:rsidR="000D2C30">
        <w:rPr>
          <w:rFonts w:ascii="Book Antiqua" w:hAnsi="Book Antiqua"/>
          <w:sz w:val="24"/>
          <w:szCs w:val="24"/>
        </w:rPr>
        <w:t xml:space="preserve"> y para otros fines relacionados</w:t>
      </w:r>
      <w:r w:rsidRPr="00B74154">
        <w:rPr>
          <w:rFonts w:ascii="Book Antiqua" w:eastAsia="Book Antiqua" w:hAnsi="Book Antiqua" w:cs="Book Antiqua"/>
          <w:sz w:val="24"/>
          <w:szCs w:val="24"/>
          <w:lang w:val="es-ES"/>
        </w:rPr>
        <w:t>.”</w:t>
      </w:r>
    </w:p>
    <w:p w14:paraId="64F01D48" w14:textId="77777777" w:rsidR="00C73BF9" w:rsidRPr="00E77265" w:rsidRDefault="00C73BF9">
      <w:pPr>
        <w:rPr>
          <w:lang w:val="es-ES"/>
        </w:rPr>
      </w:pPr>
    </w:p>
    <w:p w14:paraId="6AA04ABD" w14:textId="77777777" w:rsidR="00C73BF9" w:rsidRPr="00E77265" w:rsidRDefault="004815E0" w:rsidP="00F73A8A">
      <w:pPr>
        <w:jc w:val="center"/>
        <w:rPr>
          <w:lang w:val="es-ES"/>
        </w:rPr>
      </w:pPr>
      <w:r>
        <w:rPr>
          <w:rFonts w:ascii="Book Antiqua" w:eastAsia="Book Antiqua" w:hAnsi="Book Antiqua" w:cs="Book Antiqua"/>
          <w:b/>
          <w:bCs/>
          <w:sz w:val="24"/>
          <w:szCs w:val="24"/>
          <w:lang w:val="es-ES"/>
        </w:rPr>
        <w:t>ALCANCE Y ANÁLISIS DE LA MEDIDA</w:t>
      </w:r>
    </w:p>
    <w:p w14:paraId="226030F8" w14:textId="77777777" w:rsidR="00C73BF9" w:rsidRPr="00E77265" w:rsidRDefault="00C73BF9">
      <w:pPr>
        <w:rPr>
          <w:lang w:val="es-ES"/>
        </w:rPr>
      </w:pPr>
    </w:p>
    <w:p w14:paraId="5F435AAE" w14:textId="40D3CA49" w:rsidR="00C73BF9" w:rsidRDefault="004815E0">
      <w:pPr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t xml:space="preserve">La Resolución de la Cámara Núm. </w:t>
      </w:r>
      <w:r w:rsidR="00387806">
        <w:rPr>
          <w:rFonts w:ascii="Book Antiqua" w:eastAsia="Book Antiqua" w:hAnsi="Book Antiqua" w:cs="Book Antiqua"/>
          <w:sz w:val="24"/>
          <w:szCs w:val="24"/>
          <w:lang w:val="es-ES"/>
        </w:rPr>
        <w:t>421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 xml:space="preserve"> persigue </w:t>
      </w:r>
      <w:r w:rsidR="000D2C30" w:rsidRPr="00F41455">
        <w:rPr>
          <w:rFonts w:ascii="Book Antiqua" w:hAnsi="Book Antiqua"/>
          <w:sz w:val="24"/>
          <w:szCs w:val="24"/>
        </w:rPr>
        <w:t xml:space="preserve">ordenar a la Comisión de </w:t>
      </w:r>
      <w:r w:rsidR="000D2C30">
        <w:rPr>
          <w:rFonts w:ascii="Book Antiqua" w:hAnsi="Book Antiqua"/>
          <w:sz w:val="24"/>
          <w:szCs w:val="24"/>
        </w:rPr>
        <w:t>Vivienda y Desarrollo Urbano</w:t>
      </w:r>
      <w:r w:rsidR="000D2C30" w:rsidRPr="00F41455">
        <w:rPr>
          <w:rFonts w:ascii="Book Antiqua" w:hAnsi="Book Antiqua"/>
          <w:sz w:val="24"/>
          <w:szCs w:val="24"/>
        </w:rPr>
        <w:t xml:space="preserve"> </w:t>
      </w:r>
      <w:r w:rsidR="000D2C30">
        <w:rPr>
          <w:rFonts w:ascii="Book Antiqua" w:hAnsi="Book Antiqua"/>
          <w:sz w:val="24"/>
          <w:szCs w:val="24"/>
        </w:rPr>
        <w:t>de la Cámara de Representantes de Puerto Rico</w:t>
      </w:r>
      <w:r w:rsidR="000D2C30" w:rsidRPr="00F41455">
        <w:rPr>
          <w:rFonts w:ascii="Book Antiqua" w:hAnsi="Book Antiqua"/>
          <w:sz w:val="24"/>
          <w:szCs w:val="24"/>
        </w:rPr>
        <w:t xml:space="preserve"> </w:t>
      </w:r>
      <w:r w:rsidR="000D2C30">
        <w:rPr>
          <w:rFonts w:ascii="Book Antiqua" w:hAnsi="Book Antiqua"/>
          <w:sz w:val="24"/>
          <w:szCs w:val="24"/>
        </w:rPr>
        <w:t>realizar una investigación sobre el estado de la demolición del residencial público Los Cedros ubicado en Trujillo Alto</w:t>
      </w:r>
      <w:r w:rsidR="000D2C30" w:rsidRPr="000D2C30">
        <w:rPr>
          <w:rFonts w:ascii="Book Antiqua" w:hAnsi="Book Antiqua"/>
          <w:sz w:val="24"/>
          <w:szCs w:val="24"/>
        </w:rPr>
        <w:t>;</w:t>
      </w:r>
      <w:r w:rsidR="000D2C30">
        <w:rPr>
          <w:rFonts w:ascii="Book Antiqua" w:hAnsi="Book Antiqua"/>
          <w:sz w:val="24"/>
          <w:szCs w:val="24"/>
        </w:rPr>
        <w:t xml:space="preserve"> y para otros fines relacionados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.</w:t>
      </w:r>
    </w:p>
    <w:p w14:paraId="2DE55203" w14:textId="77777777" w:rsidR="006B015B" w:rsidRDefault="006B015B">
      <w:pPr>
        <w:ind w:firstLine="720"/>
        <w:jc w:val="both"/>
        <w:rPr>
          <w:rFonts w:ascii="Book Antiqua" w:eastAsia="Book Antiqua" w:hAnsi="Book Antiqua" w:cs="Book Antiqua"/>
          <w:sz w:val="24"/>
          <w:szCs w:val="24"/>
          <w:lang w:val="es-ES"/>
        </w:rPr>
      </w:pPr>
    </w:p>
    <w:p w14:paraId="7F4A2D6F" w14:textId="77777777" w:rsidR="00521FAC" w:rsidRDefault="00521FAC" w:rsidP="00521FAC">
      <w:pPr>
        <w:ind w:firstLine="720"/>
        <w:jc w:val="both"/>
        <w:rPr>
          <w:rFonts w:ascii="Book Antiqua" w:hAnsi="Book Antiqua"/>
          <w:sz w:val="24"/>
          <w:szCs w:val="24"/>
        </w:rPr>
      </w:pPr>
      <w:r w:rsidRPr="0088498A">
        <w:rPr>
          <w:rFonts w:ascii="Book Antiqua" w:hAnsi="Book Antiqua"/>
          <w:sz w:val="24"/>
          <w:szCs w:val="24"/>
        </w:rPr>
        <w:t>El mandato de la medida persigue esclarecer las razones administrativas, técnicas o contractuales que han paralizado o retrasado la ejecución del proyecto, así como fiscalizar las medidas cautelares y de seguridad que se implementarán para mitigar riesgos ambientales y proteger el bienestar de las comunidades circundantes durante el proceso de demolición.</w:t>
      </w:r>
    </w:p>
    <w:p w14:paraId="006751AC" w14:textId="77777777" w:rsidR="002A4359" w:rsidRPr="0088498A" w:rsidRDefault="002A4359" w:rsidP="00521FAC">
      <w:pPr>
        <w:ind w:firstLine="720"/>
        <w:jc w:val="both"/>
        <w:rPr>
          <w:rFonts w:ascii="Book Antiqua" w:hAnsi="Book Antiqua"/>
          <w:sz w:val="24"/>
          <w:szCs w:val="24"/>
        </w:rPr>
      </w:pPr>
    </w:p>
    <w:p w14:paraId="6E01A15F" w14:textId="7158CC62" w:rsidR="00C73BF9" w:rsidRPr="00A949CF" w:rsidRDefault="00521FAC" w:rsidP="00A949CF">
      <w:pPr>
        <w:ind w:firstLine="720"/>
        <w:jc w:val="both"/>
        <w:rPr>
          <w:rFonts w:ascii="Book Antiqua" w:hAnsi="Book Antiqua"/>
          <w:sz w:val="24"/>
          <w:szCs w:val="24"/>
        </w:rPr>
      </w:pPr>
      <w:r w:rsidRPr="0088498A">
        <w:rPr>
          <w:rFonts w:ascii="Book Antiqua" w:hAnsi="Book Antiqua"/>
          <w:sz w:val="24"/>
          <w:szCs w:val="24"/>
        </w:rPr>
        <w:t xml:space="preserve">El análisis del trasfondo histórico resalta que el residencial público Los Cedros constaba de una estructura masiva de dieciocho pisos y trescientas veinticuatro unidades de vivienda que albergaban a miles de personas, la cual ya fue desalojada por </w:t>
      </w:r>
      <w:r w:rsidRPr="0088498A">
        <w:rPr>
          <w:rFonts w:ascii="Book Antiqua" w:hAnsi="Book Antiqua"/>
          <w:sz w:val="24"/>
          <w:szCs w:val="24"/>
        </w:rPr>
        <w:lastRenderedPageBreak/>
        <w:t>motivos de deterioro estructural. A pesar de que el Departamento de la Vivienda de Puerto Rico anunció su demolición y formalizó una contratación con la firma Alpha Demolitions por la cantidad de 9.233 millones de dólares, fondos avalados por el Departamento de V</w:t>
      </w:r>
      <w:r w:rsidR="002A4359">
        <w:rPr>
          <w:rFonts w:ascii="Book Antiqua" w:hAnsi="Book Antiqua"/>
          <w:sz w:val="24"/>
          <w:szCs w:val="24"/>
        </w:rPr>
        <w:t>ivienda</w:t>
      </w:r>
      <w:r w:rsidRPr="0088498A">
        <w:rPr>
          <w:rFonts w:ascii="Book Antiqua" w:hAnsi="Book Antiqua"/>
          <w:sz w:val="24"/>
          <w:szCs w:val="24"/>
        </w:rPr>
        <w:t xml:space="preserve"> de los Estados Unidos que cubren la disposición de escombros y el manejo de materiales de alto peligro como el asbesto, los trabajos continúan paralizados al día de hoy sin que se conozcan los motivos oficiales de este retraso.</w:t>
      </w:r>
      <w:r w:rsidR="00A949CF">
        <w:rPr>
          <w:rFonts w:ascii="Book Antiqua" w:hAnsi="Book Antiqua"/>
          <w:sz w:val="24"/>
          <w:szCs w:val="24"/>
        </w:rPr>
        <w:t xml:space="preserve"> </w:t>
      </w:r>
      <w:r w:rsidR="00D51835">
        <w:rPr>
          <w:rFonts w:ascii="Book Antiqua" w:hAnsi="Book Antiqua"/>
          <w:sz w:val="24"/>
          <w:szCs w:val="24"/>
        </w:rPr>
        <w:t>Todo ello, dejando</w:t>
      </w:r>
      <w:r w:rsidRPr="0088498A">
        <w:rPr>
          <w:rFonts w:ascii="Book Antiqua" w:hAnsi="Book Antiqua"/>
          <w:sz w:val="24"/>
          <w:szCs w:val="24"/>
        </w:rPr>
        <w:t xml:space="preserve"> un foco de peligrosidad estructural y ambiental que afecta de forma directa la calidad de vida y el entorno seguro de las familias de Trujillo Alto. </w:t>
      </w:r>
    </w:p>
    <w:p w14:paraId="4F98A2EF" w14:textId="77777777" w:rsidR="00C73BF9" w:rsidRPr="00E77265" w:rsidRDefault="00C73BF9">
      <w:pPr>
        <w:rPr>
          <w:lang w:val="es-ES"/>
        </w:rPr>
      </w:pPr>
    </w:p>
    <w:p w14:paraId="6D691E20" w14:textId="77777777" w:rsidR="00C73BF9" w:rsidRPr="00E77265" w:rsidRDefault="00C73BF9">
      <w:pPr>
        <w:rPr>
          <w:lang w:val="es-ES"/>
        </w:rPr>
      </w:pPr>
    </w:p>
    <w:p w14:paraId="74B5AB3B" w14:textId="77777777" w:rsidR="00C73BF9" w:rsidRPr="00E77265" w:rsidRDefault="004815E0" w:rsidP="00F73A8A">
      <w:pPr>
        <w:jc w:val="center"/>
        <w:rPr>
          <w:lang w:val="es-ES"/>
        </w:rPr>
      </w:pPr>
      <w:r>
        <w:rPr>
          <w:rFonts w:ascii="Book Antiqua" w:eastAsia="Book Antiqua" w:hAnsi="Book Antiqua" w:cs="Book Antiqua"/>
          <w:b/>
          <w:bCs/>
          <w:sz w:val="24"/>
          <w:szCs w:val="24"/>
          <w:lang w:val="es-ES"/>
        </w:rPr>
        <w:t>CONCLUSIÓN Y RECOMENDACIÓN</w:t>
      </w:r>
    </w:p>
    <w:p w14:paraId="7876EF24" w14:textId="77777777" w:rsidR="00C73BF9" w:rsidRPr="00E77265" w:rsidRDefault="00C73BF9">
      <w:pPr>
        <w:rPr>
          <w:lang w:val="es-ES"/>
        </w:rPr>
      </w:pPr>
    </w:p>
    <w:p w14:paraId="05C129E6" w14:textId="6A2FDFBF" w:rsidR="00C73BF9" w:rsidRPr="00E77265" w:rsidRDefault="004815E0">
      <w:pPr>
        <w:ind w:firstLine="720"/>
        <w:jc w:val="both"/>
        <w:rPr>
          <w:lang w:val="es-ES"/>
        </w:rPr>
      </w:pPr>
      <w:r>
        <w:rPr>
          <w:rFonts w:ascii="Book Antiqua" w:eastAsia="Book Antiqua" w:hAnsi="Book Antiqua" w:cs="Book Antiqua"/>
          <w:sz w:val="24"/>
          <w:szCs w:val="24"/>
          <w:lang w:val="es-ES"/>
        </w:rPr>
        <w:t xml:space="preserve">Considerando los elementos analizados, esta Comisión concluye que la medida examinada responde a un interés legislativo legítimo y debidamente fundamentado. En consecuencia, se recomienda la aprobación de la Resolución de la Cámara </w:t>
      </w:r>
      <w:r w:rsidR="00387806">
        <w:rPr>
          <w:rFonts w:ascii="Book Antiqua" w:eastAsia="Book Antiqua" w:hAnsi="Book Antiqua" w:cs="Book Antiqua"/>
          <w:sz w:val="24"/>
          <w:szCs w:val="24"/>
          <w:lang w:val="es-ES"/>
        </w:rPr>
        <w:t>421</w:t>
      </w:r>
      <w:r>
        <w:rPr>
          <w:rFonts w:ascii="Book Antiqua" w:eastAsia="Book Antiqua" w:hAnsi="Book Antiqua" w:cs="Book Antiqua"/>
          <w:sz w:val="24"/>
          <w:szCs w:val="24"/>
          <w:lang w:val="es-ES"/>
        </w:rPr>
        <w:t>, con las enmiendas que obran en el entirillado electrónico que acompaña este informe.</w:t>
      </w:r>
    </w:p>
    <w:p w14:paraId="5E710CBB" w14:textId="77777777" w:rsidR="00C73BF9" w:rsidRPr="00E77265" w:rsidRDefault="00C73BF9">
      <w:pPr>
        <w:rPr>
          <w:lang w:val="es-ES"/>
        </w:rPr>
      </w:pPr>
    </w:p>
    <w:p w14:paraId="32025A45" w14:textId="77777777" w:rsidR="00C73BF9" w:rsidRPr="00686B26" w:rsidRDefault="004815E0">
      <w:pPr>
        <w:rPr>
          <w:rFonts w:ascii="Book Antiqua" w:eastAsia="Book Antiqua" w:hAnsi="Book Antiqua" w:cs="Book Antiqua"/>
          <w:sz w:val="24"/>
          <w:szCs w:val="24"/>
          <w:lang w:val="pt-PT"/>
        </w:rPr>
      </w:pPr>
      <w:r>
        <w:rPr>
          <w:rFonts w:ascii="Book Antiqua" w:eastAsia="Book Antiqua" w:hAnsi="Book Antiqua" w:cs="Book Antiqua"/>
          <w:sz w:val="24"/>
          <w:szCs w:val="24"/>
          <w:lang w:val="pt-PT"/>
        </w:rPr>
        <w:t>Respetuosamente sometido,</w:t>
      </w:r>
    </w:p>
    <w:p w14:paraId="1F4DD7F8" w14:textId="77777777" w:rsidR="00F73A8A" w:rsidRPr="00686B26" w:rsidRDefault="00F73A8A">
      <w:pPr>
        <w:rPr>
          <w:lang w:val="pt-PT"/>
        </w:rPr>
      </w:pPr>
    </w:p>
    <w:p w14:paraId="086302D7" w14:textId="77777777" w:rsidR="00C73BF9" w:rsidRPr="00686B26" w:rsidRDefault="00C73BF9">
      <w:pPr>
        <w:rPr>
          <w:lang w:val="pt-PT"/>
        </w:rPr>
      </w:pPr>
    </w:p>
    <w:p w14:paraId="597098FE" w14:textId="77777777" w:rsidR="00C73BF9" w:rsidRDefault="00C73BF9">
      <w:pPr>
        <w:rPr>
          <w:lang w:val="pt-PT"/>
        </w:rPr>
      </w:pPr>
    </w:p>
    <w:p w14:paraId="6C5A85CB" w14:textId="77777777" w:rsidR="00C75102" w:rsidRPr="00686B26" w:rsidRDefault="00C75102">
      <w:pPr>
        <w:rPr>
          <w:lang w:val="pt-PT"/>
        </w:rPr>
      </w:pPr>
    </w:p>
    <w:p w14:paraId="4FAA2C87" w14:textId="77777777" w:rsidR="00C73BF9" w:rsidRPr="00686B26" w:rsidRDefault="00C73BF9">
      <w:pPr>
        <w:rPr>
          <w:lang w:val="pt-PT"/>
        </w:rPr>
      </w:pPr>
    </w:p>
    <w:p w14:paraId="4E7B123B" w14:textId="77777777" w:rsidR="00C73BF9" w:rsidRPr="00686B26" w:rsidRDefault="004815E0">
      <w:pPr>
        <w:rPr>
          <w:lang w:val="pt-PT"/>
        </w:rPr>
      </w:pPr>
      <w:r>
        <w:rPr>
          <w:rFonts w:ascii="Book Antiqua" w:eastAsia="Book Antiqua" w:hAnsi="Book Antiqua" w:cs="Book Antiqua"/>
          <w:b/>
          <w:bCs/>
          <w:sz w:val="24"/>
          <w:szCs w:val="24"/>
          <w:lang w:val="pt-PT"/>
        </w:rPr>
        <w:t>PEDRO JULIO SANTIAGO GUZMÁN</w:t>
      </w:r>
    </w:p>
    <w:p w14:paraId="62773D72" w14:textId="77777777" w:rsidR="00C73BF9" w:rsidRPr="00552008" w:rsidRDefault="004815E0">
      <w:r w:rsidRPr="00552008">
        <w:rPr>
          <w:rFonts w:ascii="Book Antiqua" w:eastAsia="Book Antiqua" w:hAnsi="Book Antiqua" w:cs="Book Antiqua"/>
          <w:sz w:val="24"/>
          <w:szCs w:val="24"/>
        </w:rPr>
        <w:t>Presidente</w:t>
      </w:r>
    </w:p>
    <w:p w14:paraId="137D1A5B" w14:textId="77777777" w:rsidR="00C73BF9" w:rsidRPr="00552008" w:rsidRDefault="004815E0">
      <w:r w:rsidRPr="00552008">
        <w:rPr>
          <w:rFonts w:ascii="Book Antiqua" w:eastAsia="Book Antiqua" w:hAnsi="Book Antiqua" w:cs="Book Antiqua"/>
          <w:sz w:val="24"/>
          <w:szCs w:val="24"/>
        </w:rPr>
        <w:t>Comisión de Asuntos Internos</w:t>
      </w:r>
    </w:p>
    <w:sectPr w:rsidR="00C73BF9" w:rsidRPr="00552008">
      <w:footerReference w:type="default" r:id="rId7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F1EF7" w14:textId="77777777" w:rsidR="006D7A32" w:rsidRDefault="006D7A32" w:rsidP="00571553">
      <w:r>
        <w:separator/>
      </w:r>
    </w:p>
  </w:endnote>
  <w:endnote w:type="continuationSeparator" w:id="0">
    <w:p w14:paraId="6D043082" w14:textId="77777777" w:rsidR="006D7A32" w:rsidRDefault="006D7A32" w:rsidP="0057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</w:rPr>
      <w:id w:val="368415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A98F24" w14:textId="1A5005C8" w:rsidR="00571553" w:rsidRPr="00571553" w:rsidRDefault="00571553">
        <w:pPr>
          <w:pStyle w:val="Footer"/>
          <w:jc w:val="center"/>
          <w:rPr>
            <w:rFonts w:ascii="Book Antiqua" w:hAnsi="Book Antiqua"/>
          </w:rPr>
        </w:pPr>
        <w:r w:rsidRPr="00571553">
          <w:rPr>
            <w:rFonts w:ascii="Book Antiqua" w:hAnsi="Book Antiqua"/>
          </w:rPr>
          <w:fldChar w:fldCharType="begin"/>
        </w:r>
        <w:r w:rsidRPr="00571553">
          <w:rPr>
            <w:rFonts w:ascii="Book Antiqua" w:hAnsi="Book Antiqua"/>
          </w:rPr>
          <w:instrText xml:space="preserve"> PAGE   \* MERGEFORMAT </w:instrText>
        </w:r>
        <w:r w:rsidRPr="00571553">
          <w:rPr>
            <w:rFonts w:ascii="Book Antiqua" w:hAnsi="Book Antiqua"/>
          </w:rPr>
          <w:fldChar w:fldCharType="separate"/>
        </w:r>
        <w:r w:rsidRPr="00571553">
          <w:rPr>
            <w:rFonts w:ascii="Book Antiqua" w:hAnsi="Book Antiqua"/>
            <w:noProof/>
          </w:rPr>
          <w:t>2</w:t>
        </w:r>
        <w:r w:rsidRPr="00571553">
          <w:rPr>
            <w:rFonts w:ascii="Book Antiqua" w:hAnsi="Book Antiqua"/>
            <w:noProof/>
          </w:rPr>
          <w:fldChar w:fldCharType="end"/>
        </w:r>
      </w:p>
    </w:sdtContent>
  </w:sdt>
  <w:p w14:paraId="75A547C6" w14:textId="77777777" w:rsidR="00571553" w:rsidRPr="00571553" w:rsidRDefault="00571553">
    <w:pPr>
      <w:pStyle w:val="Footer"/>
      <w:rPr>
        <w:rFonts w:ascii="Book Antiqua" w:hAnsi="Book Antiq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92248" w14:textId="77777777" w:rsidR="006D7A32" w:rsidRDefault="006D7A32" w:rsidP="00571553">
      <w:r>
        <w:separator/>
      </w:r>
    </w:p>
  </w:footnote>
  <w:footnote w:type="continuationSeparator" w:id="0">
    <w:p w14:paraId="509F20E6" w14:textId="77777777" w:rsidR="006D7A32" w:rsidRDefault="006D7A32" w:rsidP="00571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713C"/>
    <w:multiLevelType w:val="hybridMultilevel"/>
    <w:tmpl w:val="97C4E61A"/>
    <w:lvl w:ilvl="0" w:tplc="35488738">
      <w:start w:val="1"/>
      <w:numFmt w:val="bullet"/>
      <w:lvlText w:val="●"/>
      <w:lvlJc w:val="left"/>
      <w:pPr>
        <w:ind w:left="720" w:hanging="360"/>
      </w:pPr>
    </w:lvl>
    <w:lvl w:ilvl="1" w:tplc="1978572C">
      <w:start w:val="1"/>
      <w:numFmt w:val="bullet"/>
      <w:lvlText w:val="○"/>
      <w:lvlJc w:val="left"/>
      <w:pPr>
        <w:ind w:left="1440" w:hanging="360"/>
      </w:pPr>
    </w:lvl>
    <w:lvl w:ilvl="2" w:tplc="97F03CD2">
      <w:start w:val="1"/>
      <w:numFmt w:val="bullet"/>
      <w:lvlText w:val="■"/>
      <w:lvlJc w:val="left"/>
      <w:pPr>
        <w:ind w:left="2160" w:hanging="360"/>
      </w:pPr>
    </w:lvl>
    <w:lvl w:ilvl="3" w:tplc="A1AE1D80">
      <w:start w:val="1"/>
      <w:numFmt w:val="bullet"/>
      <w:lvlText w:val="●"/>
      <w:lvlJc w:val="left"/>
      <w:pPr>
        <w:ind w:left="2880" w:hanging="360"/>
      </w:pPr>
    </w:lvl>
    <w:lvl w:ilvl="4" w:tplc="007ABE20">
      <w:start w:val="1"/>
      <w:numFmt w:val="bullet"/>
      <w:lvlText w:val="○"/>
      <w:lvlJc w:val="left"/>
      <w:pPr>
        <w:ind w:left="3600" w:hanging="360"/>
      </w:pPr>
    </w:lvl>
    <w:lvl w:ilvl="5" w:tplc="7EA4C33A">
      <w:start w:val="1"/>
      <w:numFmt w:val="bullet"/>
      <w:lvlText w:val="■"/>
      <w:lvlJc w:val="left"/>
      <w:pPr>
        <w:ind w:left="4320" w:hanging="360"/>
      </w:pPr>
    </w:lvl>
    <w:lvl w:ilvl="6" w:tplc="1ED07386">
      <w:start w:val="1"/>
      <w:numFmt w:val="bullet"/>
      <w:lvlText w:val="●"/>
      <w:lvlJc w:val="left"/>
      <w:pPr>
        <w:ind w:left="5040" w:hanging="360"/>
      </w:pPr>
    </w:lvl>
    <w:lvl w:ilvl="7" w:tplc="59D263A2">
      <w:start w:val="1"/>
      <w:numFmt w:val="bullet"/>
      <w:lvlText w:val="●"/>
      <w:lvlJc w:val="left"/>
      <w:pPr>
        <w:ind w:left="5760" w:hanging="360"/>
      </w:pPr>
    </w:lvl>
    <w:lvl w:ilvl="8" w:tplc="A75A9136">
      <w:start w:val="1"/>
      <w:numFmt w:val="bullet"/>
      <w:lvlText w:val="●"/>
      <w:lvlJc w:val="left"/>
      <w:pPr>
        <w:ind w:left="6480" w:hanging="360"/>
      </w:pPr>
    </w:lvl>
  </w:abstractNum>
  <w:num w:numId="1" w16cid:durableId="103503914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3BF9"/>
    <w:rsid w:val="000A63AD"/>
    <w:rsid w:val="000D2C30"/>
    <w:rsid w:val="001036FF"/>
    <w:rsid w:val="0017723C"/>
    <w:rsid w:val="002A4359"/>
    <w:rsid w:val="0030574D"/>
    <w:rsid w:val="00387806"/>
    <w:rsid w:val="0043313F"/>
    <w:rsid w:val="004815E0"/>
    <w:rsid w:val="004C5545"/>
    <w:rsid w:val="00521FAC"/>
    <w:rsid w:val="00552008"/>
    <w:rsid w:val="00561E83"/>
    <w:rsid w:val="00571553"/>
    <w:rsid w:val="005931DD"/>
    <w:rsid w:val="006046D3"/>
    <w:rsid w:val="00647AED"/>
    <w:rsid w:val="00686B26"/>
    <w:rsid w:val="006B015B"/>
    <w:rsid w:val="006D1645"/>
    <w:rsid w:val="006D7A32"/>
    <w:rsid w:val="006F04CA"/>
    <w:rsid w:val="00700FD9"/>
    <w:rsid w:val="00747818"/>
    <w:rsid w:val="00770D48"/>
    <w:rsid w:val="0084137F"/>
    <w:rsid w:val="00856430"/>
    <w:rsid w:val="0088498A"/>
    <w:rsid w:val="008C0253"/>
    <w:rsid w:val="00913811"/>
    <w:rsid w:val="00A24EC5"/>
    <w:rsid w:val="00A34376"/>
    <w:rsid w:val="00A949CF"/>
    <w:rsid w:val="00B74154"/>
    <w:rsid w:val="00C007E1"/>
    <w:rsid w:val="00C73BF9"/>
    <w:rsid w:val="00C75102"/>
    <w:rsid w:val="00CC3709"/>
    <w:rsid w:val="00D51835"/>
    <w:rsid w:val="00E43731"/>
    <w:rsid w:val="00E77265"/>
    <w:rsid w:val="00EC61A0"/>
    <w:rsid w:val="00F2650B"/>
    <w:rsid w:val="00F356BF"/>
    <w:rsid w:val="00F73A8A"/>
    <w:rsid w:val="00F9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6B1F11"/>
  <w15:docId w15:val="{42B9D1D0-2252-4A00-BA15-7934AB5E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Title2">
    <w:name w:val="Title2"/>
    <w:basedOn w:val="Normal"/>
    <w:next w:val="Normal"/>
    <w:rsid w:val="00E77265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5715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553"/>
  </w:style>
  <w:style w:type="paragraph" w:styleId="Footer">
    <w:name w:val="footer"/>
    <w:basedOn w:val="Normal"/>
    <w:link w:val="FooterChar"/>
    <w:uiPriority w:val="99"/>
    <w:unhideWhenUsed/>
    <w:rsid w:val="005715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Camyl Moreno Pantojas</cp:lastModifiedBy>
  <cp:revision>3</cp:revision>
  <dcterms:created xsi:type="dcterms:W3CDTF">2026-07-09T13:45:00Z</dcterms:created>
  <dcterms:modified xsi:type="dcterms:W3CDTF">2026-07-13T18:47:00Z</dcterms:modified>
</cp:coreProperties>
</file>