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6D60" w14:textId="6B0C376F" w:rsidR="002765DB" w:rsidRPr="002765DB" w:rsidRDefault="002765DB" w:rsidP="002765DB">
      <w:pPr>
        <w:jc w:val="center"/>
        <w:rPr>
          <w:rFonts w:ascii="Book Antiqua" w:eastAsia="Book Antiqua" w:hAnsi="Book Antiqua"/>
          <w:b/>
          <w:bCs/>
          <w:sz w:val="32"/>
          <w:szCs w:val="32"/>
        </w:rPr>
      </w:pPr>
      <w:proofErr w:type="spellStart"/>
      <w:r w:rsidRPr="002765DB">
        <w:rPr>
          <w:rFonts w:ascii="Book Antiqua" w:eastAsia="Book Antiqua" w:hAnsi="Book Antiqua"/>
          <w:b/>
          <w:bCs/>
          <w:sz w:val="32"/>
          <w:szCs w:val="32"/>
        </w:rPr>
        <w:t>Entirillado</w:t>
      </w:r>
      <w:proofErr w:type="spellEnd"/>
      <w:r w:rsidRPr="002765DB">
        <w:rPr>
          <w:rFonts w:ascii="Book Antiqua" w:eastAsia="Book Antiqua" w:hAnsi="Book Antiqua"/>
          <w:b/>
          <w:bCs/>
          <w:sz w:val="32"/>
          <w:szCs w:val="32"/>
        </w:rPr>
        <w:t xml:space="preserve"> Electrónico</w:t>
      </w:r>
    </w:p>
    <w:p w14:paraId="0200989F" w14:textId="30FE3A54" w:rsidR="0022191E" w:rsidRDefault="00783C11" w:rsidP="00783C11">
      <w:pPr>
        <w:rPr>
          <w:rFonts w:ascii="Book Antiqua" w:eastAsia="Book Antiqua" w:hAnsi="Book Antiqua"/>
          <w:b/>
          <w:bCs/>
        </w:rPr>
      </w:pPr>
      <w:r w:rsidRPr="00783C11">
        <w:rPr>
          <w:rFonts w:ascii="Book Antiqua" w:eastAsia="Book Antiqua" w:hAnsi="Book Antiqua"/>
          <w:b/>
          <w:bCs/>
        </w:rPr>
        <w:t>(</w:t>
      </w:r>
      <w:r w:rsidR="00EB5F6A" w:rsidRPr="00783C11">
        <w:rPr>
          <w:rFonts w:ascii="Book Antiqua" w:eastAsia="Book Antiqua" w:hAnsi="Book Antiqua"/>
          <w:b/>
          <w:bCs/>
        </w:rPr>
        <w:t>R. C</w:t>
      </w:r>
      <w:r w:rsidR="0022191E" w:rsidRPr="00783C11">
        <w:rPr>
          <w:rFonts w:ascii="Book Antiqua" w:eastAsia="Book Antiqua" w:hAnsi="Book Antiqua"/>
          <w:b/>
          <w:bCs/>
        </w:rPr>
        <w:t>. de la C.</w:t>
      </w:r>
      <w:r w:rsidR="00BE5278" w:rsidRPr="00783C11">
        <w:rPr>
          <w:rFonts w:ascii="Book Antiqua" w:eastAsia="Book Antiqua" w:hAnsi="Book Antiqua"/>
          <w:b/>
          <w:bCs/>
        </w:rPr>
        <w:t xml:space="preserve"> 193</w:t>
      </w:r>
      <w:r w:rsidRPr="00783C11">
        <w:rPr>
          <w:rFonts w:ascii="Book Antiqua" w:eastAsia="Book Antiqua" w:hAnsi="Book Antiqua"/>
          <w:b/>
          <w:bCs/>
        </w:rPr>
        <w:t>)</w:t>
      </w:r>
    </w:p>
    <w:p w14:paraId="74EDD227" w14:textId="71D26F21" w:rsidR="002765DB" w:rsidRPr="00783C11" w:rsidRDefault="002765DB" w:rsidP="00783C11">
      <w:pPr>
        <w:rPr>
          <w:rFonts w:ascii="Book Antiqua" w:eastAsia="Book Antiqua" w:hAnsi="Book Antiqua"/>
          <w:b/>
          <w:bCs/>
        </w:rPr>
      </w:pPr>
      <w:r>
        <w:rPr>
          <w:rFonts w:ascii="Book Antiqua" w:eastAsia="Book Antiqua" w:hAnsi="Book Antiqua"/>
          <w:b/>
          <w:bCs/>
        </w:rPr>
        <w:t>Conferencia</w:t>
      </w:r>
    </w:p>
    <w:p w14:paraId="6BEBCF1F" w14:textId="77777777" w:rsidR="0022191E" w:rsidRPr="00783C11" w:rsidRDefault="0022191E" w:rsidP="004F7961">
      <w:pPr>
        <w:jc w:val="center"/>
        <w:rPr>
          <w:rFonts w:ascii="Book Antiqua" w:eastAsia="Book Antiqua" w:hAnsi="Book Antiqua"/>
        </w:rPr>
      </w:pPr>
    </w:p>
    <w:p w14:paraId="7DC6BB0C" w14:textId="77777777" w:rsidR="0022191E" w:rsidRPr="00783C11" w:rsidRDefault="0022191E" w:rsidP="004F7961">
      <w:pPr>
        <w:jc w:val="center"/>
        <w:rPr>
          <w:rFonts w:ascii="Book Antiqua" w:eastAsia="Batang" w:hAnsi="Book Antiqua"/>
        </w:rPr>
      </w:pPr>
    </w:p>
    <w:p w14:paraId="1E9D83C0" w14:textId="78FCB95C" w:rsidR="0022191E" w:rsidRDefault="00EB5F6A" w:rsidP="004F7961">
      <w:pPr>
        <w:jc w:val="center"/>
        <w:rPr>
          <w:rFonts w:ascii="Book Antiqua" w:hAnsi="Book Antiqua"/>
          <w:b/>
          <w:bCs/>
          <w:sz w:val="28"/>
          <w:szCs w:val="28"/>
        </w:rPr>
      </w:pPr>
      <w:r w:rsidRPr="00783C11">
        <w:rPr>
          <w:rFonts w:ascii="Book Antiqua" w:hAnsi="Book Antiqua"/>
          <w:b/>
          <w:bCs/>
          <w:sz w:val="28"/>
          <w:szCs w:val="28"/>
        </w:rPr>
        <w:t>RESOLUCIÓN CONJUNTA</w:t>
      </w:r>
      <w:r w:rsidR="0022191E" w:rsidRPr="00783C11">
        <w:rPr>
          <w:rFonts w:ascii="Book Antiqua" w:hAnsi="Book Antiqua"/>
          <w:b/>
          <w:bCs/>
          <w:sz w:val="28"/>
          <w:szCs w:val="28"/>
        </w:rPr>
        <w:t xml:space="preserve"> </w:t>
      </w:r>
    </w:p>
    <w:p w14:paraId="58C558A1" w14:textId="77777777" w:rsidR="00FE721F" w:rsidRDefault="00FE721F" w:rsidP="004F7961">
      <w:pPr>
        <w:jc w:val="center"/>
        <w:rPr>
          <w:rFonts w:ascii="Book Antiqua" w:hAnsi="Book Antiqua"/>
          <w:b/>
          <w:bCs/>
          <w:sz w:val="28"/>
          <w:szCs w:val="28"/>
        </w:rPr>
      </w:pPr>
    </w:p>
    <w:p w14:paraId="060EFE55" w14:textId="77777777" w:rsidR="00FE721F" w:rsidRPr="00783C11" w:rsidRDefault="00FE721F" w:rsidP="004F7961">
      <w:pPr>
        <w:jc w:val="center"/>
        <w:rPr>
          <w:rFonts w:ascii="Book Antiqua" w:hAnsi="Book Antiqua"/>
          <w:b/>
          <w:bCs/>
          <w:sz w:val="28"/>
          <w:szCs w:val="28"/>
        </w:rPr>
      </w:pPr>
    </w:p>
    <w:p w14:paraId="1B33E0AF" w14:textId="77777777" w:rsidR="004F7961" w:rsidRPr="00783C11" w:rsidRDefault="004F7961" w:rsidP="004F7961">
      <w:pPr>
        <w:jc w:val="center"/>
        <w:rPr>
          <w:rFonts w:ascii="Book Antiqua" w:eastAsia="Book Antiqua" w:hAnsi="Book Antiqua"/>
        </w:rPr>
      </w:pPr>
    </w:p>
    <w:p w14:paraId="1BD42309" w14:textId="5A19F0DF" w:rsidR="0022191E" w:rsidRPr="00783C11" w:rsidRDefault="0022191E" w:rsidP="004F7961">
      <w:pPr>
        <w:ind w:left="720" w:hanging="720"/>
        <w:jc w:val="both"/>
        <w:rPr>
          <w:rFonts w:ascii="Book Antiqua" w:eastAsia="Book Antiqua" w:hAnsi="Book Antiqua"/>
        </w:rPr>
      </w:pPr>
      <w:r w:rsidRPr="00783C11">
        <w:rPr>
          <w:rFonts w:ascii="Book Antiqua" w:eastAsia="Book Antiqua" w:hAnsi="Book Antiqua"/>
        </w:rPr>
        <w:t>Par</w:t>
      </w:r>
      <w:r w:rsidRPr="00783C11">
        <w:rPr>
          <w:rFonts w:ascii="Book Antiqua" w:eastAsia="Palatino Linotype" w:hAnsi="Book Antiqua"/>
        </w:rPr>
        <w:t>a o</w:t>
      </w:r>
      <w:r w:rsidRPr="00783C11">
        <w:rPr>
          <w:rFonts w:ascii="Book Antiqua" w:eastAsia="Book Antiqua" w:hAnsi="Book Antiqua"/>
        </w:rPr>
        <w:t xml:space="preserve">rdenar a la Autoridad de Energía Eléctrica (“AEE”) y/o el operador de la red eléctrica LUMA Energy, LLC. (“LUMA”) cesar el cobro de todo cargo por concepto de Estudio Suplementario y por mejoras a la red que hubiese sido requerido para sistemas de hasta 25 kilovatios por el Reglamento Número 8915, Reglamento para Interconectar Generadores con el Sistema de Distribución Eléctrica de la Autoridad de Energía Eléctrica y Participar </w:t>
      </w:r>
      <w:r w:rsidR="00894EE2" w:rsidRPr="00894EE2">
        <w:rPr>
          <w:rFonts w:ascii="Book Antiqua" w:eastAsia="Palatino Linotype" w:hAnsi="Book Antiqua"/>
          <w:strike/>
        </w:rPr>
        <w:t>En Los</w:t>
      </w:r>
      <w:r w:rsidR="00894EE2" w:rsidRPr="00783C11">
        <w:rPr>
          <w:rFonts w:ascii="Book Antiqua" w:eastAsia="Palatino Linotype" w:hAnsi="Book Antiqua"/>
        </w:rPr>
        <w:t xml:space="preserve"> </w:t>
      </w:r>
      <w:r w:rsidR="00894EE2">
        <w:rPr>
          <w:rFonts w:ascii="Book Antiqua" w:eastAsia="Palatino Linotype" w:hAnsi="Book Antiqua"/>
          <w:i/>
          <w:iCs/>
          <w:u w:val="single"/>
        </w:rPr>
        <w:t xml:space="preserve">en los </w:t>
      </w:r>
      <w:r w:rsidR="00894EE2" w:rsidRPr="00783C11">
        <w:rPr>
          <w:rFonts w:ascii="Book Antiqua" w:eastAsia="Palatino Linotype" w:hAnsi="Book Antiqua"/>
        </w:rPr>
        <w:t xml:space="preserve">Programas </w:t>
      </w:r>
      <w:r w:rsidR="00894EE2" w:rsidRPr="00894EE2">
        <w:rPr>
          <w:rFonts w:ascii="Book Antiqua" w:eastAsia="Palatino Linotype" w:hAnsi="Book Antiqua"/>
          <w:strike/>
        </w:rPr>
        <w:t>De</w:t>
      </w:r>
      <w:r w:rsidR="00894EE2" w:rsidRPr="00783C11">
        <w:rPr>
          <w:rFonts w:ascii="Book Antiqua" w:eastAsia="Palatino Linotype" w:hAnsi="Book Antiqua"/>
        </w:rPr>
        <w:t xml:space="preserve"> </w:t>
      </w:r>
      <w:proofErr w:type="spellStart"/>
      <w:r w:rsidR="00894EE2">
        <w:rPr>
          <w:rFonts w:ascii="Book Antiqua" w:eastAsia="Palatino Linotype" w:hAnsi="Book Antiqua"/>
          <w:i/>
          <w:iCs/>
          <w:u w:val="single"/>
        </w:rPr>
        <w:t>de</w:t>
      </w:r>
      <w:proofErr w:type="spellEnd"/>
      <w:r w:rsidR="00894EE2" w:rsidRPr="00894EE2">
        <w:rPr>
          <w:rFonts w:ascii="Book Antiqua" w:eastAsia="Palatino Linotype" w:hAnsi="Book Antiqua"/>
          <w:i/>
          <w:iCs/>
        </w:rPr>
        <w:t xml:space="preserve"> </w:t>
      </w:r>
      <w:r w:rsidR="00894EE2" w:rsidRPr="00783C11">
        <w:rPr>
          <w:rFonts w:ascii="Book Antiqua" w:eastAsia="Palatino Linotype" w:hAnsi="Book Antiqua"/>
        </w:rPr>
        <w:t xml:space="preserve">Medición </w:t>
      </w:r>
      <w:r w:rsidRPr="00783C11">
        <w:rPr>
          <w:rFonts w:ascii="Book Antiqua" w:eastAsia="Book Antiqua" w:hAnsi="Book Antiqua"/>
        </w:rPr>
        <w:t>Neta del 6 de febrero de 2017, incluyendo pero sin limitarse a los cargos dispuestos en la Sección V, Artículo B de dicho Reglamento 8915;</w:t>
      </w:r>
      <w:r w:rsidRPr="00783C11">
        <w:rPr>
          <w:rFonts w:ascii="Book Antiqua" w:hAnsi="Book Antiqua"/>
        </w:rPr>
        <w:t xml:space="preserve"> y </w:t>
      </w:r>
      <w:r w:rsidRPr="00783C11">
        <w:rPr>
          <w:rFonts w:ascii="Book Antiqua" w:eastAsia="Book Antiqua" w:hAnsi="Book Antiqua"/>
        </w:rPr>
        <w:t>ordenar al Negociado de Energía de Puerto Rico a adoptar un nuevo reglamento de interconexión consistente con la Ley 17 de 2019, Ley de Política Pública Energética de Puerto Rico y con esta</w:t>
      </w:r>
      <w:r w:rsidR="00203EEE" w:rsidRPr="00783C11">
        <w:rPr>
          <w:rFonts w:ascii="Book Antiqua" w:eastAsia="Book Antiqua" w:hAnsi="Book Antiqua"/>
        </w:rPr>
        <w:t xml:space="preserve"> Resolución</w:t>
      </w:r>
      <w:r w:rsidRPr="00783C11">
        <w:rPr>
          <w:rFonts w:ascii="Book Antiqua" w:eastAsia="Book Antiqua" w:hAnsi="Book Antiqua"/>
        </w:rPr>
        <w:t xml:space="preserve"> dentro de un término de tiempo específico. </w:t>
      </w:r>
    </w:p>
    <w:p w14:paraId="1B9FEEF9" w14:textId="77777777" w:rsidR="0022191E" w:rsidRPr="00783C11" w:rsidRDefault="0022191E" w:rsidP="004F7961">
      <w:pPr>
        <w:jc w:val="both"/>
        <w:rPr>
          <w:rFonts w:ascii="Book Antiqua" w:eastAsia="Book Antiqua" w:hAnsi="Book Antiqua"/>
        </w:rPr>
      </w:pPr>
    </w:p>
    <w:p w14:paraId="619F7FA0" w14:textId="2FD36EEB" w:rsidR="0022191E" w:rsidRPr="00783C11" w:rsidRDefault="0022191E" w:rsidP="004F7961">
      <w:pPr>
        <w:jc w:val="center"/>
        <w:rPr>
          <w:rFonts w:ascii="Book Antiqua" w:eastAsia="Book Antiqua" w:hAnsi="Book Antiqua"/>
        </w:rPr>
      </w:pPr>
      <w:r w:rsidRPr="00783C11">
        <w:rPr>
          <w:rFonts w:ascii="Book Antiqua" w:eastAsia="Book Antiqua" w:hAnsi="Book Antiqua"/>
        </w:rPr>
        <w:t>EXPOSICIÓN DE MOTIVOS</w:t>
      </w:r>
    </w:p>
    <w:p w14:paraId="3EF00DAB" w14:textId="77777777" w:rsidR="0022191E" w:rsidRPr="00783C11" w:rsidRDefault="0022191E" w:rsidP="004F7961">
      <w:pPr>
        <w:jc w:val="both"/>
        <w:rPr>
          <w:rFonts w:ascii="Book Antiqua" w:eastAsia="Book Antiqua" w:hAnsi="Book Antiqua"/>
        </w:rPr>
      </w:pPr>
    </w:p>
    <w:p w14:paraId="1A492C38" w14:textId="77777777" w:rsidR="0022191E"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 xml:space="preserve">El uso de sistemas de energía fotovoltaica en Puerto Rico ha experimentado un aumento significativo en los últimos 5 años. De acuerdo a expresiones del Presidente de LUMA Energy, LLC, Juan Saca, en Puerto Rico existían para el 31 de diciembre de 2023 unas 110,000 residencias que cuentan con sistemas de energía fotovoltaica. </w:t>
      </w:r>
    </w:p>
    <w:p w14:paraId="043224AF" w14:textId="77777777" w:rsidR="0022191E" w:rsidRPr="00783C11" w:rsidRDefault="0022191E" w:rsidP="004F7961">
      <w:pPr>
        <w:jc w:val="both"/>
        <w:rPr>
          <w:rFonts w:ascii="Book Antiqua" w:eastAsia="Palatino Linotype" w:hAnsi="Book Antiqua"/>
        </w:rPr>
      </w:pPr>
    </w:p>
    <w:p w14:paraId="12B5F3DE" w14:textId="676F274E" w:rsidR="0022191E"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 xml:space="preserve">El 6 de febrero de 2017 entró en vigor el Reglamento Número 8915, el Reglamento para Interconectar Generadores con el Sistema de Distribución Eléctrica de la Autoridad de Energía Eléctrica (AEE) y Participar </w:t>
      </w:r>
      <w:r w:rsidRPr="00894EE2">
        <w:rPr>
          <w:rFonts w:ascii="Book Antiqua" w:eastAsia="Palatino Linotype" w:hAnsi="Book Antiqua"/>
          <w:strike/>
        </w:rPr>
        <w:t>En Los</w:t>
      </w:r>
      <w:r w:rsidRPr="00783C11">
        <w:rPr>
          <w:rFonts w:ascii="Book Antiqua" w:eastAsia="Palatino Linotype" w:hAnsi="Book Antiqua"/>
        </w:rPr>
        <w:t xml:space="preserve"> </w:t>
      </w:r>
      <w:r w:rsidR="00894EE2">
        <w:rPr>
          <w:rFonts w:ascii="Book Antiqua" w:eastAsia="Palatino Linotype" w:hAnsi="Book Antiqua"/>
          <w:i/>
          <w:iCs/>
          <w:u w:val="single"/>
        </w:rPr>
        <w:t xml:space="preserve">en los </w:t>
      </w:r>
      <w:r w:rsidRPr="00783C11">
        <w:rPr>
          <w:rFonts w:ascii="Book Antiqua" w:eastAsia="Palatino Linotype" w:hAnsi="Book Antiqua"/>
        </w:rPr>
        <w:t xml:space="preserve">Programas </w:t>
      </w:r>
      <w:r w:rsidRPr="00894EE2">
        <w:rPr>
          <w:rFonts w:ascii="Book Antiqua" w:eastAsia="Palatino Linotype" w:hAnsi="Book Antiqua"/>
          <w:strike/>
        </w:rPr>
        <w:t>De</w:t>
      </w:r>
      <w:r w:rsidRPr="00783C11">
        <w:rPr>
          <w:rFonts w:ascii="Book Antiqua" w:eastAsia="Palatino Linotype" w:hAnsi="Book Antiqua"/>
        </w:rPr>
        <w:t xml:space="preserve"> </w:t>
      </w:r>
      <w:proofErr w:type="spellStart"/>
      <w:r w:rsidR="00894EE2">
        <w:rPr>
          <w:rFonts w:ascii="Book Antiqua" w:eastAsia="Palatino Linotype" w:hAnsi="Book Antiqua"/>
          <w:i/>
          <w:iCs/>
          <w:u w:val="single"/>
        </w:rPr>
        <w:t>de</w:t>
      </w:r>
      <w:proofErr w:type="spellEnd"/>
      <w:r w:rsidR="00894EE2" w:rsidRPr="00894EE2">
        <w:rPr>
          <w:rFonts w:ascii="Book Antiqua" w:eastAsia="Palatino Linotype" w:hAnsi="Book Antiqua"/>
          <w:i/>
          <w:iCs/>
        </w:rPr>
        <w:t xml:space="preserve"> </w:t>
      </w:r>
      <w:r w:rsidRPr="00783C11">
        <w:rPr>
          <w:rFonts w:ascii="Book Antiqua" w:eastAsia="Palatino Linotype" w:hAnsi="Book Antiqua"/>
        </w:rPr>
        <w:t xml:space="preserve">Medición Neta del 6 de febrero de 2017, el cual detalla los procesos para interconectar estos sistemas de energía renovable a la red de distribución. </w:t>
      </w:r>
    </w:p>
    <w:p w14:paraId="32FF6B12" w14:textId="77777777" w:rsidR="00A81E89" w:rsidRPr="00783C11" w:rsidRDefault="00A81E89" w:rsidP="004F7961">
      <w:pPr>
        <w:ind w:firstLine="720"/>
        <w:jc w:val="both"/>
        <w:rPr>
          <w:rFonts w:ascii="Book Antiqua" w:eastAsia="Palatino Linotype" w:hAnsi="Book Antiqua"/>
        </w:rPr>
      </w:pPr>
    </w:p>
    <w:p w14:paraId="1ECC2C54" w14:textId="77777777" w:rsidR="0022191E"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En la Sección V, Artículo B (Revisión Mediante Estudio Suplementario y Proceso Expedito) del Reglamento Número 8915 se establece en la Tabla 2 una guía de los costos para los Estudios Suplementarios, según la capacidad del GD (sistema de generación distribuida, por las iniciales utilizadas en el Reglamento Número 8915) y otros cargos.</w:t>
      </w:r>
    </w:p>
    <w:p w14:paraId="19CD452B" w14:textId="77777777" w:rsidR="0022191E" w:rsidRPr="00783C11" w:rsidRDefault="0022191E" w:rsidP="004F7961">
      <w:pPr>
        <w:jc w:val="both"/>
        <w:rPr>
          <w:rFonts w:ascii="Book Antiqua" w:eastAsia="Palatino Linotype" w:hAnsi="Book Antiqua"/>
        </w:rPr>
      </w:pPr>
    </w:p>
    <w:p w14:paraId="72E3545D" w14:textId="77777777" w:rsidR="0022191E"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 xml:space="preserve">Estos cargos del Reglamento Número 8915 son contrarios al espíritu y letra de la política pública declarada en la Ley 17-2019, mejor conocida como la Ley de Política Pública Energética de Puerto Rico, la cual, inter alia, establece como requisito lograr que </w:t>
      </w:r>
      <w:r w:rsidRPr="00783C11">
        <w:rPr>
          <w:rFonts w:ascii="Book Antiqua" w:eastAsia="Palatino Linotype" w:hAnsi="Book Antiqua"/>
        </w:rPr>
        <w:lastRenderedPageBreak/>
        <w:t>en el año 2050 el 100 por ciento de la energía que se produzca en Puerto Rico sea renovable.</w:t>
      </w:r>
    </w:p>
    <w:p w14:paraId="16287A82" w14:textId="77777777" w:rsidR="0022191E" w:rsidRPr="00783C11" w:rsidRDefault="0022191E" w:rsidP="004F7961">
      <w:pPr>
        <w:jc w:val="both"/>
        <w:rPr>
          <w:rFonts w:ascii="Book Antiqua" w:eastAsia="Palatino Linotype" w:hAnsi="Book Antiqua"/>
        </w:rPr>
      </w:pPr>
    </w:p>
    <w:p w14:paraId="29F0977B" w14:textId="6E01AC29" w:rsidR="0022191E"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La Ley 17 de 2019 requirió que dentro de los 180 días siguientes a su aprobación se iniciara un proceso conducente a la adopción de un nuevo Reglamento de Interconexión por el Negociado de Energía. Sin embargo, al día de hoy tal reglamentación no se ha adoptado, creando múltiples problemas, incluyendo el que esta Legislatura atiende vía esta</w:t>
      </w:r>
      <w:r w:rsidR="00E8345B" w:rsidRPr="00783C11">
        <w:rPr>
          <w:rFonts w:ascii="Book Antiqua" w:eastAsia="Palatino Linotype" w:hAnsi="Book Antiqua"/>
        </w:rPr>
        <w:t xml:space="preserve"> Resolución</w:t>
      </w:r>
      <w:r w:rsidRPr="00783C11">
        <w:rPr>
          <w:rFonts w:ascii="Book Antiqua" w:eastAsia="Palatino Linotype" w:hAnsi="Book Antiqua"/>
        </w:rPr>
        <w:t>. Ante tal inacción, hoy múltiples disposiciones del Reglamento 8915 chocan con la letra y el espíritu de la Ley 17 de 2019.</w:t>
      </w:r>
    </w:p>
    <w:p w14:paraId="0DF023C0" w14:textId="77777777" w:rsidR="0022191E" w:rsidRPr="00783C11" w:rsidRDefault="0022191E" w:rsidP="004F7961">
      <w:pPr>
        <w:jc w:val="both"/>
        <w:rPr>
          <w:rFonts w:ascii="Book Antiqua" w:eastAsia="Palatino Linotype" w:hAnsi="Book Antiqua"/>
        </w:rPr>
      </w:pPr>
    </w:p>
    <w:p w14:paraId="772F17EF" w14:textId="53048533" w:rsidR="0084228F" w:rsidRPr="00783C11" w:rsidRDefault="0022191E" w:rsidP="004F7961">
      <w:pPr>
        <w:ind w:firstLine="720"/>
        <w:jc w:val="both"/>
        <w:rPr>
          <w:rFonts w:ascii="Book Antiqua" w:eastAsia="Palatino Linotype" w:hAnsi="Book Antiqua"/>
        </w:rPr>
      </w:pPr>
      <w:r w:rsidRPr="00783C11">
        <w:rPr>
          <w:rFonts w:ascii="Book Antiqua" w:eastAsia="Palatino Linotype" w:hAnsi="Book Antiqua"/>
        </w:rPr>
        <w:t>La presente legislación elimina los cargos a clientes en casos de sistemas fotovoltaicos de menos de 25 kilovatios de capacidad y ordena al Negociado de Energía a adoptar estándares modernos al completar un nuevo Reglamento de Interconexión.</w:t>
      </w:r>
    </w:p>
    <w:p w14:paraId="7B679CC1" w14:textId="77777777" w:rsidR="0022191E" w:rsidRPr="00783C11" w:rsidRDefault="0022191E" w:rsidP="004F7961">
      <w:pPr>
        <w:jc w:val="both"/>
        <w:rPr>
          <w:rFonts w:ascii="Book Antiqua" w:eastAsia="Book Antiqua" w:hAnsi="Book Antiqua"/>
        </w:rPr>
      </w:pPr>
      <w:r w:rsidRPr="00783C11">
        <w:rPr>
          <w:rFonts w:ascii="Book Antiqua" w:eastAsia="Book Antiqua" w:hAnsi="Book Antiqua"/>
        </w:rPr>
        <w:tab/>
      </w:r>
    </w:p>
    <w:p w14:paraId="50F58DD3" w14:textId="77777777" w:rsidR="0022191E" w:rsidRDefault="0022191E" w:rsidP="008D76CD">
      <w:pPr>
        <w:jc w:val="both"/>
        <w:rPr>
          <w:rFonts w:ascii="Book Antiqua" w:eastAsia="Book Antiqua" w:hAnsi="Book Antiqua"/>
          <w:i/>
          <w:iCs/>
        </w:rPr>
      </w:pPr>
      <w:r w:rsidRPr="007E370E">
        <w:rPr>
          <w:rFonts w:ascii="Book Antiqua" w:eastAsia="Book Antiqua" w:hAnsi="Book Antiqua"/>
          <w:i/>
          <w:iCs/>
        </w:rPr>
        <w:t>RESUÉLVESE POR LA ASAMBLEA LEGISLATIVA DE PUERTO RICO:</w:t>
      </w:r>
    </w:p>
    <w:p w14:paraId="5627DD1D" w14:textId="77777777" w:rsidR="008D76CD" w:rsidRPr="007E370E" w:rsidRDefault="008D76CD" w:rsidP="008D76CD">
      <w:pPr>
        <w:jc w:val="both"/>
        <w:rPr>
          <w:rFonts w:ascii="Book Antiqua" w:eastAsia="Book Antiqua" w:hAnsi="Book Antiqua"/>
          <w:i/>
          <w:iCs/>
        </w:rPr>
      </w:pPr>
    </w:p>
    <w:p w14:paraId="54551372" w14:textId="77777777" w:rsidR="004F7961" w:rsidRDefault="004F7961" w:rsidP="008D76CD">
      <w:pPr>
        <w:jc w:val="both"/>
        <w:rPr>
          <w:rFonts w:ascii="Book Antiqua" w:eastAsia="Book Antiqua" w:hAnsi="Book Antiqua"/>
        </w:rPr>
        <w:sectPr w:rsidR="004F7961" w:rsidSect="0022191E">
          <w:headerReference w:type="default" r:id="rId11"/>
          <w:type w:val="continuous"/>
          <w:pgSz w:w="12240" w:h="15840"/>
          <w:pgMar w:top="1440" w:right="1440" w:bottom="1440" w:left="1440" w:header="720" w:footer="720" w:gutter="0"/>
          <w:cols w:space="720"/>
          <w:titlePg/>
          <w:docGrid w:linePitch="326"/>
        </w:sectPr>
      </w:pPr>
    </w:p>
    <w:p w14:paraId="48B97BDC" w14:textId="77777777" w:rsidR="00FD6C02" w:rsidRDefault="00FD6C02" w:rsidP="0038697F">
      <w:pPr>
        <w:ind w:firstLine="360"/>
        <w:jc w:val="both"/>
        <w:rPr>
          <w:rFonts w:ascii="Book Antiqua" w:eastAsia="Book Antiqua" w:hAnsi="Book Antiqua"/>
        </w:rPr>
      </w:pPr>
      <w:r w:rsidRPr="00783C11">
        <w:rPr>
          <w:rFonts w:ascii="Book Antiqua" w:eastAsia="Book Antiqua" w:hAnsi="Book Antiqua"/>
        </w:rPr>
        <w:t>Sección 1.- Esta Asamblea Legislativa ordena lo siguiente:</w:t>
      </w:r>
    </w:p>
    <w:p w14:paraId="767509F0" w14:textId="77777777" w:rsidR="008D76CD" w:rsidRPr="00783C11" w:rsidRDefault="008D76CD" w:rsidP="008D76CD">
      <w:pPr>
        <w:jc w:val="both"/>
        <w:rPr>
          <w:rFonts w:ascii="Book Antiqua" w:eastAsia="Book Antiqua" w:hAnsi="Book Antiqua"/>
        </w:rPr>
      </w:pPr>
    </w:p>
    <w:p w14:paraId="14F259C6" w14:textId="66D67176" w:rsidR="00FD6C02" w:rsidRDefault="00FD6C02" w:rsidP="008D76CD">
      <w:pPr>
        <w:pStyle w:val="ListParagraph"/>
        <w:numPr>
          <w:ilvl w:val="0"/>
          <w:numId w:val="2"/>
        </w:numPr>
        <w:jc w:val="both"/>
        <w:rPr>
          <w:rFonts w:ascii="Book Antiqua" w:eastAsia="Book Antiqua" w:hAnsi="Book Antiqua"/>
        </w:rPr>
      </w:pPr>
      <w:r w:rsidRPr="00783C11">
        <w:rPr>
          <w:rFonts w:ascii="Book Antiqua" w:eastAsia="Book Antiqua" w:hAnsi="Book Antiqua"/>
        </w:rPr>
        <w:t xml:space="preserve">La Autoridad de Energía Eléctrica (“AEE”) y/o el operador de la red eléctrica LUMA Energy, LLC. (“LUMA”) </w:t>
      </w:r>
      <w:bookmarkStart w:id="0" w:name="_Hlk198816303"/>
      <w:r w:rsidRPr="00783C11">
        <w:rPr>
          <w:rFonts w:ascii="Book Antiqua" w:eastAsia="Book Antiqua" w:hAnsi="Book Antiqua"/>
        </w:rPr>
        <w:t>cesarán de notificar y cobrar todo cargo por concepto de</w:t>
      </w:r>
      <w:bookmarkEnd w:id="0"/>
      <w:r w:rsidRPr="00783C11">
        <w:rPr>
          <w:rFonts w:ascii="Book Antiqua" w:eastAsia="Book Antiqua" w:hAnsi="Book Antiqua"/>
        </w:rPr>
        <w:t xml:space="preserve"> Estudio Suplementario y por mejoras a la red requerido por el Reglamento Número 8915, Reglamento para Interconectar Generadores con el Sistema de Distribución Eléctrica de la Autoridad de Energía Eléctrica y Participar </w:t>
      </w:r>
      <w:r w:rsidR="00B6542E" w:rsidRPr="00894EE2">
        <w:rPr>
          <w:rFonts w:ascii="Book Antiqua" w:eastAsia="Palatino Linotype" w:hAnsi="Book Antiqua"/>
          <w:strike/>
        </w:rPr>
        <w:t>En Los</w:t>
      </w:r>
      <w:r w:rsidR="00B6542E" w:rsidRPr="00783C11">
        <w:rPr>
          <w:rFonts w:ascii="Book Antiqua" w:eastAsia="Palatino Linotype" w:hAnsi="Book Antiqua"/>
        </w:rPr>
        <w:t xml:space="preserve"> </w:t>
      </w:r>
      <w:r w:rsidR="00B6542E">
        <w:rPr>
          <w:rFonts w:ascii="Book Antiqua" w:eastAsia="Palatino Linotype" w:hAnsi="Book Antiqua"/>
          <w:i/>
          <w:iCs/>
          <w:u w:val="single"/>
        </w:rPr>
        <w:t xml:space="preserve">en los </w:t>
      </w:r>
      <w:r w:rsidR="00B6542E" w:rsidRPr="00783C11">
        <w:rPr>
          <w:rFonts w:ascii="Book Antiqua" w:eastAsia="Palatino Linotype" w:hAnsi="Book Antiqua"/>
        </w:rPr>
        <w:t xml:space="preserve">Programas </w:t>
      </w:r>
      <w:r w:rsidR="00B6542E" w:rsidRPr="00894EE2">
        <w:rPr>
          <w:rFonts w:ascii="Book Antiqua" w:eastAsia="Palatino Linotype" w:hAnsi="Book Antiqua"/>
          <w:strike/>
        </w:rPr>
        <w:t>De</w:t>
      </w:r>
      <w:r w:rsidR="00B6542E" w:rsidRPr="00783C11">
        <w:rPr>
          <w:rFonts w:ascii="Book Antiqua" w:eastAsia="Palatino Linotype" w:hAnsi="Book Antiqua"/>
        </w:rPr>
        <w:t xml:space="preserve"> </w:t>
      </w:r>
      <w:proofErr w:type="spellStart"/>
      <w:r w:rsidR="00B6542E">
        <w:rPr>
          <w:rFonts w:ascii="Book Antiqua" w:eastAsia="Palatino Linotype" w:hAnsi="Book Antiqua"/>
          <w:i/>
          <w:iCs/>
          <w:u w:val="single"/>
        </w:rPr>
        <w:t>de</w:t>
      </w:r>
      <w:proofErr w:type="spellEnd"/>
      <w:r w:rsidR="00B6542E" w:rsidRPr="00894EE2">
        <w:rPr>
          <w:rFonts w:ascii="Book Antiqua" w:eastAsia="Palatino Linotype" w:hAnsi="Book Antiqua"/>
          <w:i/>
          <w:iCs/>
        </w:rPr>
        <w:t xml:space="preserve"> </w:t>
      </w:r>
      <w:r w:rsidR="00B6542E" w:rsidRPr="00783C11">
        <w:rPr>
          <w:rFonts w:ascii="Book Antiqua" w:eastAsia="Palatino Linotype" w:hAnsi="Book Antiqua"/>
        </w:rPr>
        <w:t xml:space="preserve">Medición </w:t>
      </w:r>
      <w:r w:rsidRPr="00783C11">
        <w:rPr>
          <w:rFonts w:ascii="Book Antiqua" w:eastAsia="Book Antiqua" w:hAnsi="Book Antiqua"/>
        </w:rPr>
        <w:t>Neta del 6 de febrero de 2017 (“</w:t>
      </w:r>
      <w:bookmarkStart w:id="1" w:name="_Hlk195613057"/>
      <w:r w:rsidRPr="00783C11">
        <w:rPr>
          <w:rFonts w:ascii="Book Antiqua" w:eastAsia="Book Antiqua" w:hAnsi="Book Antiqua"/>
        </w:rPr>
        <w:t>Reglamento 8915</w:t>
      </w:r>
      <w:bookmarkEnd w:id="1"/>
      <w:r w:rsidRPr="00783C11">
        <w:rPr>
          <w:rFonts w:ascii="Book Antiqua" w:eastAsia="Book Antiqua" w:hAnsi="Book Antiqua"/>
        </w:rPr>
        <w:t>”), incluyendo, pero sin limitarse a los cargos dispuestos en la Sección V, Artículo B de dicho Reglamento 8915, en los casos de clientes con sistemas fotovoltaicos de hasta 25 kW</w:t>
      </w:r>
      <w:r w:rsidRPr="00783C11">
        <w:rPr>
          <w:rFonts w:ascii="Book Antiqua" w:hAnsi="Book Antiqua"/>
        </w:rPr>
        <w:t xml:space="preserve"> </w:t>
      </w:r>
      <w:r w:rsidRPr="00783C11">
        <w:rPr>
          <w:rFonts w:ascii="Book Antiqua" w:eastAsia="Book Antiqua" w:hAnsi="Book Antiqua"/>
        </w:rPr>
        <w:t xml:space="preserve">que han notificado a LUMA la interconexión de su sistema antes de la fecha de vigencia de esta </w:t>
      </w:r>
      <w:r w:rsidR="00E8345B" w:rsidRPr="00783C11">
        <w:rPr>
          <w:rFonts w:ascii="Book Antiqua" w:eastAsia="Book Antiqua" w:hAnsi="Book Antiqua"/>
        </w:rPr>
        <w:t>Resolución</w:t>
      </w:r>
      <w:r w:rsidR="002765DB">
        <w:rPr>
          <w:rFonts w:ascii="Book Antiqua" w:eastAsia="Book Antiqua" w:hAnsi="Book Antiqua"/>
        </w:rPr>
        <w:t xml:space="preserve"> </w:t>
      </w:r>
      <w:r w:rsidR="002765DB">
        <w:rPr>
          <w:rFonts w:ascii="Book Antiqua" w:eastAsia="Book Antiqua" w:hAnsi="Book Antiqua"/>
          <w:i/>
          <w:iCs/>
          <w:u w:val="single"/>
        </w:rPr>
        <w:t>Conjunta</w:t>
      </w:r>
      <w:r w:rsidRPr="00783C11">
        <w:rPr>
          <w:rFonts w:ascii="Book Antiqua" w:eastAsia="Book Antiqua" w:hAnsi="Book Antiqua"/>
        </w:rPr>
        <w:t xml:space="preserve">. </w:t>
      </w:r>
    </w:p>
    <w:p w14:paraId="5F7AACB2" w14:textId="77777777" w:rsidR="008D76CD" w:rsidRPr="00783C11" w:rsidRDefault="008D76CD" w:rsidP="008D76CD">
      <w:pPr>
        <w:pStyle w:val="ListParagraph"/>
        <w:jc w:val="both"/>
        <w:rPr>
          <w:rFonts w:ascii="Book Antiqua" w:eastAsia="Book Antiqua" w:hAnsi="Book Antiqua"/>
        </w:rPr>
      </w:pPr>
    </w:p>
    <w:p w14:paraId="0C691F7C" w14:textId="77777777" w:rsidR="00FD6C02" w:rsidRDefault="00FD6C02" w:rsidP="008D76CD">
      <w:pPr>
        <w:pStyle w:val="ListParagraph"/>
        <w:numPr>
          <w:ilvl w:val="0"/>
          <w:numId w:val="2"/>
        </w:numPr>
        <w:jc w:val="both"/>
        <w:rPr>
          <w:rFonts w:ascii="Book Antiqua" w:eastAsia="Book Antiqua" w:hAnsi="Book Antiqua"/>
        </w:rPr>
      </w:pPr>
      <w:r w:rsidRPr="00783C11">
        <w:rPr>
          <w:rFonts w:ascii="Book Antiqua" w:eastAsia="Book Antiqua" w:hAnsi="Book Antiqua"/>
        </w:rPr>
        <w:t xml:space="preserve">No se cobrará cargo alguno por Estudio Suplementario, para ningún sistema fotovoltaico cuya capacidad de generación sea menor o igual a 25kW. </w:t>
      </w:r>
    </w:p>
    <w:p w14:paraId="4BCE3CD0" w14:textId="77777777" w:rsidR="008D76CD" w:rsidRPr="008D76CD" w:rsidRDefault="008D76CD" w:rsidP="008D76CD">
      <w:pPr>
        <w:pStyle w:val="ListParagraph"/>
        <w:rPr>
          <w:rFonts w:ascii="Book Antiqua" w:eastAsia="Book Antiqua" w:hAnsi="Book Antiqua"/>
        </w:rPr>
      </w:pPr>
    </w:p>
    <w:p w14:paraId="18468693" w14:textId="1D0B24B7" w:rsidR="00FD6C02" w:rsidRDefault="00FD6C02" w:rsidP="008D76CD">
      <w:pPr>
        <w:pStyle w:val="ListParagraph"/>
        <w:numPr>
          <w:ilvl w:val="0"/>
          <w:numId w:val="2"/>
        </w:numPr>
        <w:jc w:val="both"/>
        <w:rPr>
          <w:rFonts w:ascii="Book Antiqua" w:eastAsia="Book Antiqua" w:hAnsi="Book Antiqua"/>
        </w:rPr>
      </w:pPr>
      <w:r w:rsidRPr="00783C11">
        <w:rPr>
          <w:rFonts w:ascii="Book Antiqua" w:eastAsia="Book Antiqua" w:hAnsi="Book Antiqua"/>
        </w:rPr>
        <w:t xml:space="preserve">Toda disposición del Reglamento 8915 que sea inconsistente con los incisos a, y b de la Sección 1 de esta </w:t>
      </w:r>
      <w:r w:rsidR="00E8345B" w:rsidRPr="00783C11">
        <w:rPr>
          <w:rFonts w:ascii="Book Antiqua" w:eastAsia="Book Antiqua" w:hAnsi="Book Antiqua"/>
        </w:rPr>
        <w:t xml:space="preserve">Resolución </w:t>
      </w:r>
      <w:r w:rsidR="002765DB">
        <w:rPr>
          <w:rFonts w:ascii="Book Antiqua" w:eastAsia="Book Antiqua" w:hAnsi="Book Antiqua"/>
          <w:i/>
          <w:iCs/>
          <w:u w:val="single"/>
        </w:rPr>
        <w:t xml:space="preserve">Conjunta </w:t>
      </w:r>
      <w:r w:rsidRPr="00783C11">
        <w:rPr>
          <w:rFonts w:ascii="Book Antiqua" w:eastAsia="Book Antiqua" w:hAnsi="Book Antiqua"/>
        </w:rPr>
        <w:t>queda, por la presente, sin efecto.</w:t>
      </w:r>
    </w:p>
    <w:p w14:paraId="2BC578B3" w14:textId="77777777" w:rsidR="008D76CD" w:rsidRPr="008D76CD" w:rsidRDefault="008D76CD" w:rsidP="008D76CD">
      <w:pPr>
        <w:pStyle w:val="ListParagraph"/>
        <w:rPr>
          <w:rFonts w:ascii="Book Antiqua" w:eastAsia="Book Antiqua" w:hAnsi="Book Antiqua"/>
        </w:rPr>
      </w:pPr>
    </w:p>
    <w:p w14:paraId="75991E40" w14:textId="5A4F4BC0" w:rsidR="00FD6C02" w:rsidRDefault="00E8345B" w:rsidP="002765DB">
      <w:pPr>
        <w:ind w:firstLine="360"/>
        <w:jc w:val="both"/>
        <w:rPr>
          <w:rFonts w:ascii="Book Antiqua" w:eastAsia="Book Antiqua" w:hAnsi="Book Antiqua"/>
        </w:rPr>
      </w:pPr>
      <w:r w:rsidRPr="00783C11">
        <w:rPr>
          <w:rFonts w:ascii="Book Antiqua" w:eastAsia="Book Antiqua" w:hAnsi="Book Antiqua"/>
        </w:rPr>
        <w:t xml:space="preserve">Sección 2.- </w:t>
      </w:r>
      <w:r w:rsidR="00FD6C02" w:rsidRPr="00783C11">
        <w:rPr>
          <w:rFonts w:ascii="Book Antiqua" w:eastAsia="Book Antiqua" w:hAnsi="Book Antiqua"/>
        </w:rPr>
        <w:t xml:space="preserve">Una vez aprobada la presente </w:t>
      </w:r>
      <w:r w:rsidRPr="00783C11">
        <w:rPr>
          <w:rFonts w:ascii="Book Antiqua" w:eastAsia="Book Antiqua" w:hAnsi="Book Antiqua"/>
        </w:rPr>
        <w:t>Resolución</w:t>
      </w:r>
      <w:r w:rsidR="002765DB">
        <w:rPr>
          <w:rFonts w:ascii="Book Antiqua" w:eastAsia="Book Antiqua" w:hAnsi="Book Antiqua"/>
        </w:rPr>
        <w:t xml:space="preserve"> </w:t>
      </w:r>
      <w:r w:rsidR="002765DB">
        <w:rPr>
          <w:rFonts w:ascii="Book Antiqua" w:eastAsia="Book Antiqua" w:hAnsi="Book Antiqua"/>
          <w:i/>
          <w:iCs/>
          <w:u w:val="single"/>
        </w:rPr>
        <w:t>Conjunta</w:t>
      </w:r>
      <w:r w:rsidR="00FD6C02" w:rsidRPr="00783C11">
        <w:rPr>
          <w:rFonts w:ascii="Book Antiqua" w:eastAsia="Book Antiqua" w:hAnsi="Book Antiqua"/>
        </w:rPr>
        <w:t>,</w:t>
      </w:r>
      <w:r w:rsidR="00FD6C02" w:rsidRPr="00E8345B">
        <w:rPr>
          <w:rFonts w:ascii="Book Antiqua" w:eastAsia="Book Antiqua" w:hAnsi="Book Antiqua"/>
        </w:rPr>
        <w:t xml:space="preserve"> </w:t>
      </w:r>
      <w:r w:rsidR="00FD6C02" w:rsidRPr="007E370E">
        <w:rPr>
          <w:rFonts w:ascii="Book Antiqua" w:eastAsia="Book Antiqua" w:hAnsi="Book Antiqua"/>
        </w:rPr>
        <w:t xml:space="preserve">el Negociado de Energía reanudará los procesos administrativos en los casos consolidados NEPR-MI-2019-0009 y CEPR-MI-2018-0008 para llevar a cabo talleres participativos con entidades interesadas, guiados </w:t>
      </w:r>
      <w:bookmarkStart w:id="2" w:name="_Hlk194411154"/>
      <w:r w:rsidR="00FD6C02" w:rsidRPr="007E370E">
        <w:rPr>
          <w:rFonts w:ascii="Book Antiqua" w:eastAsia="Book Antiqua" w:hAnsi="Book Antiqua"/>
        </w:rPr>
        <w:t xml:space="preserve">por una firma o entidad reconocida por su alto expertise y sustancial experiencia previa probada en moderación de procesos intensivos y multi-participativos de reglamentación de interconexión. Estos talleres conducidos por expertos considerarán nuevos insumos </w:t>
      </w:r>
      <w:bookmarkEnd w:id="2"/>
      <w:r w:rsidR="00FD6C02" w:rsidRPr="007E370E">
        <w:rPr>
          <w:rFonts w:ascii="Book Antiqua" w:eastAsia="Book Antiqua" w:hAnsi="Book Antiqua"/>
        </w:rPr>
        <w:t xml:space="preserve">y retroalimentación de las diversas partes interesadas y finalizarán con la preparación de un borrador de propuesta de reglamento de interconexión, el cual será </w:t>
      </w:r>
      <w:r w:rsidR="00FD6C02" w:rsidRPr="007E370E">
        <w:rPr>
          <w:rFonts w:ascii="Book Antiqua" w:eastAsia="Book Antiqua" w:hAnsi="Book Antiqua"/>
        </w:rPr>
        <w:lastRenderedPageBreak/>
        <w:t xml:space="preserve">objeto del proceso formal de reglamentación provisto en la Ley de Procedimiento Administrativo Uniforme, Ley 38-2017, según enmendada. Esta reglamentación adoptará tecnologías y conceptos modernos de interconexión, incluyendo planificación proactiva de capacidad de alojamiento y planificación presupuestaria </w:t>
      </w:r>
      <w:r w:rsidR="00FD6C02" w:rsidRPr="007E370E">
        <w:rPr>
          <w:rFonts w:ascii="Book Antiqua" w:eastAsia="Book Antiqua" w:hAnsi="Book Antiqua"/>
          <w:i/>
          <w:iCs/>
        </w:rPr>
        <w:t>(proactive hosting capacity planning and budgeting)</w:t>
      </w:r>
      <w:r w:rsidR="00FD6C02" w:rsidRPr="007E370E">
        <w:rPr>
          <w:rFonts w:ascii="Book Antiqua" w:eastAsia="Book Antiqua" w:hAnsi="Book Antiqua"/>
        </w:rPr>
        <w:t xml:space="preserve">, adaptadores de base de contador </w:t>
      </w:r>
      <w:r w:rsidR="00FD6C02" w:rsidRPr="007E370E">
        <w:rPr>
          <w:rFonts w:ascii="Book Antiqua" w:eastAsia="Book Antiqua" w:hAnsi="Book Antiqua"/>
          <w:i/>
          <w:iCs/>
        </w:rPr>
        <w:t>(meter socket adapters),</w:t>
      </w:r>
      <w:r w:rsidR="00FD6C02" w:rsidRPr="007E370E">
        <w:rPr>
          <w:rFonts w:ascii="Book Antiqua" w:eastAsia="Book Antiqua" w:hAnsi="Book Antiqua"/>
        </w:rPr>
        <w:t xml:space="preserve"> “carga mínima diurna” </w:t>
      </w:r>
      <w:r w:rsidR="00FD6C02" w:rsidRPr="007E370E">
        <w:rPr>
          <w:rFonts w:ascii="Book Antiqua" w:eastAsia="Book Antiqua" w:hAnsi="Book Antiqua"/>
          <w:i/>
          <w:iCs/>
        </w:rPr>
        <w:t>(daytime minimum load)</w:t>
      </w:r>
      <w:r w:rsidR="00FD6C02" w:rsidRPr="007E370E">
        <w:rPr>
          <w:rFonts w:ascii="Book Antiqua" w:eastAsia="Book Antiqua" w:hAnsi="Book Antiqua"/>
        </w:rPr>
        <w:t xml:space="preserve">, compensaciones por pérdidas económicas a clientes  que  sufran restricciones en la exportación de energía </w:t>
      </w:r>
      <w:r w:rsidR="00FD6C02" w:rsidRPr="007E370E">
        <w:rPr>
          <w:rFonts w:ascii="Book Antiqua" w:eastAsia="Book Antiqua" w:hAnsi="Book Antiqua"/>
          <w:i/>
          <w:iCs/>
        </w:rPr>
        <w:t>(curtailment)</w:t>
      </w:r>
      <w:r w:rsidR="00FD6C02" w:rsidRPr="007E370E">
        <w:rPr>
          <w:rFonts w:ascii="Book Antiqua" w:eastAsia="Book Antiqua" w:hAnsi="Book Antiqua"/>
        </w:rPr>
        <w:t xml:space="preserve"> asociadas a imposición de </w:t>
      </w:r>
      <w:r w:rsidR="00FD6C02" w:rsidRPr="00783C11">
        <w:rPr>
          <w:rFonts w:ascii="Book Antiqua" w:eastAsia="Book Antiqua" w:hAnsi="Book Antiqua"/>
        </w:rPr>
        <w:t>configuraciones en inversores, costos del operador del sistema de transmisión y distribución para estudios de la red, entre otros</w:t>
      </w:r>
      <w:r w:rsidRPr="00783C11">
        <w:rPr>
          <w:rFonts w:ascii="Book Antiqua" w:eastAsia="Book Antiqua" w:hAnsi="Book Antiqua"/>
        </w:rPr>
        <w:t xml:space="preserve"> </w:t>
      </w:r>
      <w:r w:rsidRPr="005B1618">
        <w:rPr>
          <w:rFonts w:ascii="Book Antiqua" w:eastAsia="Book Antiqua" w:hAnsi="Book Antiqua"/>
          <w:strike/>
        </w:rPr>
        <w:t xml:space="preserve">, </w:t>
      </w:r>
      <w:r w:rsidRPr="002765DB">
        <w:rPr>
          <w:rFonts w:ascii="Book Antiqua" w:eastAsia="Book Antiqua" w:hAnsi="Book Antiqua"/>
          <w:strike/>
        </w:rPr>
        <w:t>y determinará que la responsabilidad de un solicitante, si alguna, por cualquier mejora a un alimentador</w:t>
      </w:r>
      <w:r w:rsidRPr="002765DB">
        <w:rPr>
          <w:rFonts w:ascii="Book Antiqua" w:eastAsia="Book Antiqua" w:hAnsi="Book Antiqua"/>
          <w:i/>
          <w:iCs/>
          <w:strike/>
        </w:rPr>
        <w:t xml:space="preserve"> (feeder) </w:t>
      </w:r>
      <w:r w:rsidRPr="002765DB">
        <w:rPr>
          <w:rFonts w:ascii="Book Antiqua" w:eastAsia="Book Antiqua" w:hAnsi="Book Antiqua"/>
          <w:strike/>
        </w:rPr>
        <w:t>se limita exclusivamente al costo del transformador de servicio</w:t>
      </w:r>
      <w:r w:rsidRPr="005B1618">
        <w:rPr>
          <w:rFonts w:ascii="Book Antiqua" w:eastAsia="Book Antiqua" w:hAnsi="Book Antiqua"/>
        </w:rPr>
        <w:t>.</w:t>
      </w:r>
      <w:r w:rsidRPr="00783C11">
        <w:rPr>
          <w:rFonts w:ascii="Book Antiqua" w:eastAsia="Book Antiqua" w:hAnsi="Book Antiqua"/>
        </w:rPr>
        <w:t xml:space="preserve"> </w:t>
      </w:r>
      <w:r w:rsidR="002765DB" w:rsidRPr="002765DB">
        <w:rPr>
          <w:rFonts w:ascii="Book Antiqua" w:eastAsia="Book Antiqua" w:hAnsi="Book Antiqua"/>
          <w:i/>
          <w:iCs/>
          <w:u w:val="single"/>
        </w:rPr>
        <w:t>Los costos relacionados a las modificaciones o mejoras, que puedan ser requeridas, se determinar</w:t>
      </w:r>
      <w:r w:rsidR="000876EC">
        <w:rPr>
          <w:rFonts w:ascii="Book Antiqua" w:eastAsia="Book Antiqua" w:hAnsi="Book Antiqua"/>
          <w:i/>
          <w:iCs/>
          <w:u w:val="single"/>
        </w:rPr>
        <w:t>á</w:t>
      </w:r>
      <w:r w:rsidR="002765DB" w:rsidRPr="002765DB">
        <w:rPr>
          <w:rFonts w:ascii="Book Antiqua" w:eastAsia="Book Antiqua" w:hAnsi="Book Antiqua"/>
          <w:i/>
          <w:iCs/>
          <w:u w:val="single"/>
        </w:rPr>
        <w:t>n conforme a los principios de razonabilidad, proporcionalidad y beneficio recibido, evitando que tales costos se trasladen, de forma injusta, a la totalidad de los clientes del sistema eléctrico. La metodología para determinar la distribución de los costos se establecerá por el Negociado de Energía mediante reglamento</w:t>
      </w:r>
      <w:r w:rsidR="002765DB" w:rsidRPr="002765DB">
        <w:rPr>
          <w:rFonts w:ascii="Book Antiqua" w:eastAsia="Book Antiqua" w:hAnsi="Book Antiqua"/>
        </w:rPr>
        <w:t>.</w:t>
      </w:r>
      <w:r w:rsidR="002765DB">
        <w:rPr>
          <w:rFonts w:ascii="Book Antiqua" w:eastAsia="Book Antiqua" w:hAnsi="Book Antiqua"/>
        </w:rPr>
        <w:t xml:space="preserve">  </w:t>
      </w:r>
      <w:r w:rsidR="00FD6C02" w:rsidRPr="007E370E">
        <w:rPr>
          <w:rFonts w:ascii="Book Antiqua" w:eastAsia="Book Antiqua" w:hAnsi="Book Antiqua"/>
        </w:rPr>
        <w:t xml:space="preserve">El proceso conducente a la preparación de un borrador de propuesta de reglamento de interconexión deberá concluir dentro de los ciento ochenta (180) días contados de la fecha de aprobación de la </w:t>
      </w:r>
      <w:r w:rsidR="00FD6C02" w:rsidRPr="00783C11">
        <w:rPr>
          <w:rFonts w:ascii="Book Antiqua" w:eastAsia="Book Antiqua" w:hAnsi="Book Antiqua"/>
        </w:rPr>
        <w:t>presente</w:t>
      </w:r>
      <w:r w:rsidRPr="00783C11">
        <w:rPr>
          <w:rFonts w:ascii="Book Antiqua" w:eastAsia="Book Antiqua" w:hAnsi="Book Antiqua"/>
        </w:rPr>
        <w:t xml:space="preserve"> Resolución</w:t>
      </w:r>
      <w:r w:rsidR="002765DB">
        <w:rPr>
          <w:rFonts w:ascii="Book Antiqua" w:eastAsia="Book Antiqua" w:hAnsi="Book Antiqua"/>
        </w:rPr>
        <w:t xml:space="preserve"> </w:t>
      </w:r>
      <w:r w:rsidR="002765DB">
        <w:rPr>
          <w:rFonts w:ascii="Book Antiqua" w:eastAsia="Book Antiqua" w:hAnsi="Book Antiqua"/>
          <w:i/>
          <w:iCs/>
          <w:u w:val="single"/>
        </w:rPr>
        <w:t>Conjunta</w:t>
      </w:r>
      <w:r w:rsidR="00FD6C02" w:rsidRPr="00783C11">
        <w:rPr>
          <w:rFonts w:ascii="Book Antiqua" w:eastAsia="Book Antiqua" w:hAnsi="Book Antiqua"/>
        </w:rPr>
        <w:t>.</w:t>
      </w:r>
    </w:p>
    <w:p w14:paraId="00E7FB35" w14:textId="77777777" w:rsidR="008D76CD" w:rsidRPr="007E370E" w:rsidRDefault="008D76CD" w:rsidP="008D76CD">
      <w:pPr>
        <w:jc w:val="both"/>
        <w:rPr>
          <w:rFonts w:ascii="Book Antiqua" w:eastAsia="Book Antiqua" w:hAnsi="Book Antiqua"/>
        </w:rPr>
      </w:pPr>
    </w:p>
    <w:p w14:paraId="3DC7B9C6" w14:textId="644CFC8A" w:rsidR="00652F80" w:rsidRDefault="00E8345B" w:rsidP="0038697F">
      <w:pPr>
        <w:ind w:firstLine="360"/>
        <w:jc w:val="both"/>
        <w:rPr>
          <w:rFonts w:ascii="Book Antiqua" w:eastAsia="Book Antiqua" w:hAnsi="Book Antiqua"/>
        </w:rPr>
      </w:pPr>
      <w:r w:rsidRPr="00783C11">
        <w:rPr>
          <w:rFonts w:ascii="Book Antiqua" w:eastAsia="Book Antiqua" w:hAnsi="Book Antiqua"/>
        </w:rPr>
        <w:t xml:space="preserve">Sección 3. - </w:t>
      </w:r>
      <w:r w:rsidR="00FD6C02" w:rsidRPr="00783C11">
        <w:rPr>
          <w:rFonts w:ascii="Book Antiqua" w:eastAsia="Book Antiqua" w:hAnsi="Book Antiqua"/>
        </w:rPr>
        <w:t>Con la asistencia de la firma o entidad reconocida mencionada en la anterior</w:t>
      </w:r>
      <w:r w:rsidR="00796E30">
        <w:rPr>
          <w:rFonts w:ascii="Book Antiqua" w:eastAsia="Book Antiqua" w:hAnsi="Book Antiqua"/>
        </w:rPr>
        <w:t xml:space="preserve"> </w:t>
      </w:r>
      <w:r w:rsidR="00FD6C02" w:rsidRPr="00783C11">
        <w:rPr>
          <w:rFonts w:ascii="Book Antiqua" w:eastAsia="Book Antiqua" w:hAnsi="Book Antiqua"/>
        </w:rPr>
        <w:t>Sección</w:t>
      </w:r>
      <w:r w:rsidRPr="00783C11">
        <w:rPr>
          <w:rFonts w:ascii="Book Antiqua" w:eastAsia="Book Antiqua" w:hAnsi="Book Antiqua"/>
        </w:rPr>
        <w:t xml:space="preserve"> </w:t>
      </w:r>
      <w:r w:rsidR="00783C11" w:rsidRPr="00783C11">
        <w:rPr>
          <w:rFonts w:ascii="Book Antiqua" w:eastAsia="Book Antiqua" w:hAnsi="Book Antiqua"/>
        </w:rPr>
        <w:t>2 y</w:t>
      </w:r>
      <w:r w:rsidR="00FD6C02" w:rsidRPr="00783C11">
        <w:rPr>
          <w:rFonts w:ascii="Book Antiqua" w:eastAsia="Book Antiqua" w:hAnsi="Book Antiqua"/>
        </w:rPr>
        <w:t xml:space="preserve"> la </w:t>
      </w:r>
      <w:proofErr w:type="gramStart"/>
      <w:r w:rsidR="00FD6C02" w:rsidRPr="00783C11">
        <w:rPr>
          <w:rFonts w:ascii="Book Antiqua" w:eastAsia="Book Antiqua" w:hAnsi="Book Antiqua"/>
        </w:rPr>
        <w:t>participación activa</w:t>
      </w:r>
      <w:proofErr w:type="gramEnd"/>
      <w:r w:rsidR="00FD6C02" w:rsidRPr="00783C11">
        <w:rPr>
          <w:rFonts w:ascii="Book Antiqua" w:eastAsia="Book Antiqua" w:hAnsi="Book Antiqua"/>
        </w:rPr>
        <w:t xml:space="preserve"> de partes interesadas, el Negociado de Energía finalizará el proceso de reglamentación para la adopción de un nuevo Reglamento de Interconexión dentro de trescientos sesenta y cinco días (365) contados desde la aprobación de la presente </w:t>
      </w:r>
      <w:r w:rsidRPr="00783C11">
        <w:rPr>
          <w:rFonts w:ascii="Book Antiqua" w:eastAsia="Book Antiqua" w:hAnsi="Book Antiqua"/>
        </w:rPr>
        <w:t>Resolución</w:t>
      </w:r>
      <w:r w:rsidR="002765DB">
        <w:rPr>
          <w:rFonts w:ascii="Book Antiqua" w:eastAsia="Book Antiqua" w:hAnsi="Book Antiqua"/>
        </w:rPr>
        <w:t xml:space="preserve"> </w:t>
      </w:r>
      <w:r w:rsidR="002765DB">
        <w:rPr>
          <w:rFonts w:ascii="Book Antiqua" w:eastAsia="Book Antiqua" w:hAnsi="Book Antiqua"/>
          <w:i/>
          <w:iCs/>
          <w:u w:val="single"/>
        </w:rPr>
        <w:t>Conjunta</w:t>
      </w:r>
      <w:r w:rsidR="00FD6C02" w:rsidRPr="00783C11">
        <w:rPr>
          <w:rFonts w:ascii="Book Antiqua" w:eastAsia="Book Antiqua" w:hAnsi="Book Antiqua"/>
        </w:rPr>
        <w:t>.</w:t>
      </w:r>
    </w:p>
    <w:p w14:paraId="3E295049" w14:textId="77777777" w:rsidR="002765DB" w:rsidRDefault="002765DB" w:rsidP="0038697F">
      <w:pPr>
        <w:ind w:firstLine="360"/>
        <w:jc w:val="both"/>
        <w:rPr>
          <w:rFonts w:ascii="Book Antiqua" w:eastAsia="Book Antiqua" w:hAnsi="Book Antiqua"/>
        </w:rPr>
      </w:pPr>
    </w:p>
    <w:p w14:paraId="78EA50B6" w14:textId="63F9C3E8" w:rsidR="002765DB" w:rsidRPr="002765DB" w:rsidRDefault="002765DB" w:rsidP="0038697F">
      <w:pPr>
        <w:ind w:firstLine="360"/>
        <w:jc w:val="both"/>
        <w:rPr>
          <w:rFonts w:ascii="Book Antiqua" w:eastAsia="Book Antiqua" w:hAnsi="Book Antiqua"/>
          <w:i/>
          <w:iCs/>
          <w:u w:val="single"/>
        </w:rPr>
      </w:pPr>
      <w:r>
        <w:rPr>
          <w:rFonts w:ascii="Book Antiqua" w:eastAsia="Book Antiqua" w:hAnsi="Book Antiqua"/>
          <w:i/>
          <w:iCs/>
          <w:u w:val="single"/>
        </w:rPr>
        <w:t xml:space="preserve">Sección 4.-Esta Resolución Conjunta comenzará a regir inmediatamente después de su aprobación. </w:t>
      </w:r>
    </w:p>
    <w:p w14:paraId="3E90BFD8" w14:textId="77777777" w:rsidR="008D76CD" w:rsidRPr="00783C11" w:rsidRDefault="008D76CD" w:rsidP="008D76CD">
      <w:pPr>
        <w:jc w:val="both"/>
        <w:rPr>
          <w:rFonts w:ascii="Book Antiqua" w:eastAsia="Book Antiqua" w:hAnsi="Book Antiqua"/>
        </w:rPr>
      </w:pPr>
    </w:p>
    <w:p w14:paraId="17779BFD" w14:textId="4A9ACD3D" w:rsidR="00FD6C02" w:rsidRPr="00783C11" w:rsidRDefault="00FD6C02" w:rsidP="008D76CD">
      <w:pPr>
        <w:jc w:val="both"/>
        <w:rPr>
          <w:rFonts w:ascii="Book Antiqua" w:eastAsia="Book Antiqua" w:hAnsi="Book Antiqua"/>
        </w:rPr>
      </w:pPr>
    </w:p>
    <w:sectPr w:rsidR="00FD6C02" w:rsidRPr="00783C11" w:rsidSect="008D76CD">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517C3" w14:textId="77777777" w:rsidR="00B422A0" w:rsidRDefault="00B422A0">
      <w:r>
        <w:separator/>
      </w:r>
    </w:p>
  </w:endnote>
  <w:endnote w:type="continuationSeparator" w:id="0">
    <w:p w14:paraId="6AB3C247" w14:textId="77777777" w:rsidR="00B422A0" w:rsidRDefault="00B4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10683" w14:textId="77777777" w:rsidR="00B422A0" w:rsidRDefault="00B422A0">
      <w:r>
        <w:separator/>
      </w:r>
    </w:p>
  </w:footnote>
  <w:footnote w:type="continuationSeparator" w:id="0">
    <w:p w14:paraId="4C16C62D" w14:textId="77777777" w:rsidR="00B422A0" w:rsidRDefault="00B42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1995" w14:textId="77777777" w:rsidR="0022191E" w:rsidRDefault="0022191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6359"/>
    <w:multiLevelType w:val="hybridMultilevel"/>
    <w:tmpl w:val="D4C40584"/>
    <w:lvl w:ilvl="0" w:tplc="FE24578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417BBF"/>
    <w:multiLevelType w:val="hybridMultilevel"/>
    <w:tmpl w:val="EEF280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330018">
    <w:abstractNumId w:val="0"/>
  </w:num>
  <w:num w:numId="2" w16cid:durableId="630790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1E"/>
    <w:rsid w:val="00025906"/>
    <w:rsid w:val="00064E85"/>
    <w:rsid w:val="000876EC"/>
    <w:rsid w:val="0014378E"/>
    <w:rsid w:val="00177ED7"/>
    <w:rsid w:val="001B4316"/>
    <w:rsid w:val="001D76E4"/>
    <w:rsid w:val="00203EEE"/>
    <w:rsid w:val="002048E8"/>
    <w:rsid w:val="0022191E"/>
    <w:rsid w:val="00227A1B"/>
    <w:rsid w:val="002765DB"/>
    <w:rsid w:val="002926BA"/>
    <w:rsid w:val="003414E0"/>
    <w:rsid w:val="00375B0E"/>
    <w:rsid w:val="0038697F"/>
    <w:rsid w:val="0038724A"/>
    <w:rsid w:val="003A75A3"/>
    <w:rsid w:val="00417E34"/>
    <w:rsid w:val="004967CB"/>
    <w:rsid w:val="004B0C94"/>
    <w:rsid w:val="004F7961"/>
    <w:rsid w:val="00596CDB"/>
    <w:rsid w:val="005B1618"/>
    <w:rsid w:val="00635DCA"/>
    <w:rsid w:val="00652F80"/>
    <w:rsid w:val="00675E01"/>
    <w:rsid w:val="00783C11"/>
    <w:rsid w:val="00793571"/>
    <w:rsid w:val="00796E30"/>
    <w:rsid w:val="007A14C4"/>
    <w:rsid w:val="007E370E"/>
    <w:rsid w:val="00813CCE"/>
    <w:rsid w:val="0084228F"/>
    <w:rsid w:val="00894EE2"/>
    <w:rsid w:val="008B652F"/>
    <w:rsid w:val="008D76CD"/>
    <w:rsid w:val="009228F1"/>
    <w:rsid w:val="009B75AB"/>
    <w:rsid w:val="009E597B"/>
    <w:rsid w:val="00A05E9D"/>
    <w:rsid w:val="00A81E89"/>
    <w:rsid w:val="00AB6526"/>
    <w:rsid w:val="00B422A0"/>
    <w:rsid w:val="00B6542E"/>
    <w:rsid w:val="00B93B6A"/>
    <w:rsid w:val="00BE5278"/>
    <w:rsid w:val="00C421E4"/>
    <w:rsid w:val="00CF0D3E"/>
    <w:rsid w:val="00D122D2"/>
    <w:rsid w:val="00D259BB"/>
    <w:rsid w:val="00D96355"/>
    <w:rsid w:val="00DF1A20"/>
    <w:rsid w:val="00E04576"/>
    <w:rsid w:val="00E520E2"/>
    <w:rsid w:val="00E8345B"/>
    <w:rsid w:val="00EB5F6A"/>
    <w:rsid w:val="00EF7D86"/>
    <w:rsid w:val="00F165C5"/>
    <w:rsid w:val="00F91C8C"/>
    <w:rsid w:val="00F94BB1"/>
    <w:rsid w:val="00FD6C02"/>
    <w:rsid w:val="00FE7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CB23"/>
  <w15:chartTrackingRefBased/>
  <w15:docId w15:val="{5710F84F-AE3D-4E7F-AA94-ECDC219C2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1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221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9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9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9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9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91E"/>
    <w:rPr>
      <w:rFonts w:eastAsiaTheme="majorEastAsia" w:cstheme="majorBidi"/>
      <w:color w:val="272727" w:themeColor="text1" w:themeTint="D8"/>
    </w:rPr>
  </w:style>
  <w:style w:type="paragraph" w:styleId="Title">
    <w:name w:val="Title"/>
    <w:basedOn w:val="Normal"/>
    <w:next w:val="Normal"/>
    <w:link w:val="TitleChar"/>
    <w:uiPriority w:val="10"/>
    <w:qFormat/>
    <w:rsid w:val="002219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91E"/>
    <w:pPr>
      <w:spacing w:before="160"/>
      <w:jc w:val="center"/>
    </w:pPr>
    <w:rPr>
      <w:i/>
      <w:iCs/>
      <w:color w:val="404040" w:themeColor="text1" w:themeTint="BF"/>
    </w:rPr>
  </w:style>
  <w:style w:type="character" w:customStyle="1" w:styleId="QuoteChar">
    <w:name w:val="Quote Char"/>
    <w:basedOn w:val="DefaultParagraphFont"/>
    <w:link w:val="Quote"/>
    <w:uiPriority w:val="29"/>
    <w:rsid w:val="0022191E"/>
    <w:rPr>
      <w:i/>
      <w:iCs/>
      <w:color w:val="404040" w:themeColor="text1" w:themeTint="BF"/>
    </w:rPr>
  </w:style>
  <w:style w:type="paragraph" w:styleId="ListParagraph">
    <w:name w:val="List Paragraph"/>
    <w:basedOn w:val="Normal"/>
    <w:uiPriority w:val="34"/>
    <w:qFormat/>
    <w:rsid w:val="0022191E"/>
    <w:pPr>
      <w:ind w:left="720"/>
      <w:contextualSpacing/>
    </w:pPr>
  </w:style>
  <w:style w:type="character" w:styleId="IntenseEmphasis">
    <w:name w:val="Intense Emphasis"/>
    <w:basedOn w:val="DefaultParagraphFont"/>
    <w:uiPriority w:val="21"/>
    <w:qFormat/>
    <w:rsid w:val="0022191E"/>
    <w:rPr>
      <w:i/>
      <w:iCs/>
      <w:color w:val="0F4761" w:themeColor="accent1" w:themeShade="BF"/>
    </w:rPr>
  </w:style>
  <w:style w:type="paragraph" w:styleId="IntenseQuote">
    <w:name w:val="Intense Quote"/>
    <w:basedOn w:val="Normal"/>
    <w:next w:val="Normal"/>
    <w:link w:val="IntenseQuoteChar"/>
    <w:uiPriority w:val="30"/>
    <w:qFormat/>
    <w:rsid w:val="00221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91E"/>
    <w:rPr>
      <w:i/>
      <w:iCs/>
      <w:color w:val="0F4761" w:themeColor="accent1" w:themeShade="BF"/>
    </w:rPr>
  </w:style>
  <w:style w:type="character" w:styleId="IntenseReference">
    <w:name w:val="Intense Reference"/>
    <w:basedOn w:val="DefaultParagraphFont"/>
    <w:uiPriority w:val="32"/>
    <w:qFormat/>
    <w:rsid w:val="0022191E"/>
    <w:rPr>
      <w:b/>
      <w:bCs/>
      <w:smallCaps/>
      <w:color w:val="0F4761" w:themeColor="accent1" w:themeShade="BF"/>
      <w:spacing w:val="5"/>
    </w:rPr>
  </w:style>
  <w:style w:type="character" w:styleId="LineNumber">
    <w:name w:val="line number"/>
    <w:basedOn w:val="DefaultParagraphFont"/>
    <w:uiPriority w:val="99"/>
    <w:semiHidden/>
    <w:unhideWhenUsed/>
    <w:rsid w:val="004F7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4SQX5P7U7WPY-958212181-821334</_dlc_DocId>
    <_dlc_DocIdUrl xmlns="c890fddd-4e87-4e08-8b51-545f2a3f7b06">
      <Url>https://senpr.sharepoint.com/sites/obralegislativa/_layouts/15/DocIdRedir.aspx?ID=4SQX5P7U7WPY-958212181-821334</Url>
      <Description>4SQX5P7U7WPY-958212181-821334</Description>
    </_dlc_DocIdUrl>
  </documentManagement>
</p:properties>
</file>

<file path=customXml/itemProps1.xml><?xml version="1.0" encoding="utf-8"?>
<ds:datastoreItem xmlns:ds="http://schemas.openxmlformats.org/officeDocument/2006/customXml" ds:itemID="{DBF46401-C86C-45D4-8E9D-593BEA7DF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423610-8424-4F26-BE7B-F182E60663C2}">
  <ds:schemaRefs>
    <ds:schemaRef ds:uri="http://schemas.microsoft.com/sharepoint/events"/>
  </ds:schemaRefs>
</ds:datastoreItem>
</file>

<file path=customXml/itemProps3.xml><?xml version="1.0" encoding="utf-8"?>
<ds:datastoreItem xmlns:ds="http://schemas.openxmlformats.org/officeDocument/2006/customXml" ds:itemID="{736F9220-072E-4DF4-9D7C-8089C523D9D9}">
  <ds:schemaRefs>
    <ds:schemaRef ds:uri="http://schemas.microsoft.com/sharepoint/v3/contenttype/forms"/>
  </ds:schemaRefs>
</ds:datastoreItem>
</file>

<file path=customXml/itemProps4.xml><?xml version="1.0" encoding="utf-8"?>
<ds:datastoreItem xmlns:ds="http://schemas.openxmlformats.org/officeDocument/2006/customXml" ds:itemID="{432243B0-5A40-4116-81E1-6F7335C3759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1049</Words>
  <Characters>5981</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Cruz Alemán</dc:creator>
  <cp:keywords/>
  <dc:description/>
  <cp:lastModifiedBy>Camyl Moreno Pantojas</cp:lastModifiedBy>
  <cp:revision>2</cp:revision>
  <cp:lastPrinted>2025-11-17T13:31:00Z</cp:lastPrinted>
  <dcterms:created xsi:type="dcterms:W3CDTF">2025-11-18T21:24:00Z</dcterms:created>
  <dcterms:modified xsi:type="dcterms:W3CDTF">2025-11-18T21:24:00Z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c8a30970-8c2a-4f50-88a4-9c77147974d8</vt:lpwstr>
  </property>
  <property fmtid="{D5CDD505-2E9C-101B-9397-08002B2CF9AE}" pid="4" name="MediaServiceImageTags">
    <vt:lpwstr/>
  </property>
</Properties>
</file>