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906F6F1"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DB2C23">
        <w:rPr>
          <w:rFonts w:ascii="Book Antiqua" w:hAnsi="Book Antiqua"/>
          <w:lang w:val="es-ES_tradnl"/>
        </w:rPr>
        <w:t>3</w:t>
      </w:r>
      <w:r w:rsidR="00DB2C23">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5470F154"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DB2C23">
        <w:rPr>
          <w:rFonts w:ascii="Book Antiqua" w:hAnsi="Book Antiqua"/>
          <w:b/>
          <w:sz w:val="52"/>
          <w:szCs w:val="52"/>
          <w:lang w:val="es-ES_tradnl"/>
        </w:rPr>
        <w:t>971</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040ADA0F" w:rsidR="006705DD" w:rsidRPr="00B95434" w:rsidRDefault="003757D9" w:rsidP="006705DD">
      <w:pPr>
        <w:jc w:val="center"/>
        <w:rPr>
          <w:rFonts w:ascii="Book Antiqua" w:hAnsi="Book Antiqua"/>
          <w:szCs w:val="24"/>
          <w:lang w:val="es-ES_tradnl"/>
        </w:rPr>
      </w:pPr>
      <w:r>
        <w:rPr>
          <w:rFonts w:ascii="Book Antiqua" w:hAnsi="Book Antiqua"/>
          <w:szCs w:val="24"/>
          <w:lang w:val="es-ES_tradnl"/>
        </w:rPr>
        <w:t>27</w:t>
      </w:r>
      <w:r w:rsidR="006705DD" w:rsidRPr="00FC11CC">
        <w:rPr>
          <w:rFonts w:ascii="Book Antiqua" w:hAnsi="Book Antiqua"/>
          <w:szCs w:val="24"/>
          <w:lang w:val="es-ES_tradnl"/>
        </w:rPr>
        <w:t xml:space="preserve"> de</w:t>
      </w:r>
      <w:r w:rsidR="00DB2C23">
        <w:rPr>
          <w:rFonts w:ascii="Book Antiqua" w:hAnsi="Book Antiqua"/>
          <w:szCs w:val="24"/>
          <w:lang w:val="es-ES_tradnl"/>
        </w:rPr>
        <w:t xml:space="preserve"> enero</w:t>
      </w:r>
      <w:r w:rsidR="005E345A">
        <w:rPr>
          <w:rFonts w:ascii="Book Antiqua" w:hAnsi="Book Antiqua"/>
          <w:szCs w:val="24"/>
          <w:lang w:val="es-ES_tradnl"/>
        </w:rPr>
        <w:t xml:space="preserve"> de 202</w:t>
      </w:r>
      <w:r w:rsidR="0012106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53B53585"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DB2C23">
        <w:rPr>
          <w:rFonts w:ascii="Book Antiqua" w:hAnsi="Book Antiqua" w:cs="Arial"/>
          <w:lang w:val="es-ES"/>
        </w:rPr>
        <w:t>971</w:t>
      </w:r>
      <w:r w:rsidR="0087700A">
        <w:rPr>
          <w:rFonts w:ascii="Book Antiqua" w:hAnsi="Book Antiqua" w:cs="Arial"/>
          <w:lang w:val="es-ES"/>
        </w:rPr>
        <w:t xml:space="preserve">, tiene el honor de recomendar a este Alto Cuerpo su aprobación, con las enmiendas que se incluyen en el entirillado electrónico que acompaña este </w:t>
      </w:r>
      <w:r w:rsidR="00B4425A">
        <w:rPr>
          <w:rFonts w:ascii="Book Antiqua" w:hAnsi="Book Antiqua" w:cs="Arial"/>
          <w:lang w:val="es-ES"/>
        </w:rPr>
        <w:t>i</w:t>
      </w:r>
      <w:r w:rsidR="0087700A">
        <w:rPr>
          <w:rFonts w:ascii="Book Antiqua" w:hAnsi="Book Antiqua" w:cs="Arial"/>
          <w:lang w:val="es-ES"/>
        </w:rPr>
        <w:t xml:space="preserve">nforme. </w:t>
      </w:r>
    </w:p>
    <w:p w14:paraId="13AECCBE" w14:textId="77777777" w:rsidR="0087700A" w:rsidRDefault="0087700A" w:rsidP="00AC0B45">
      <w:pPr>
        <w:jc w:val="both"/>
        <w:rPr>
          <w:rFonts w:ascii="Book Antiqua" w:hAnsi="Book Antiqua" w:cs="Arial"/>
          <w:lang w:val="es-ES"/>
        </w:rPr>
      </w:pPr>
    </w:p>
    <w:p w14:paraId="2458AB3E" w14:textId="5FAD0AF7" w:rsidR="00AC0B45"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AC0B45" w:rsidRDefault="00AC0B45" w:rsidP="00AC0B45">
      <w:pPr>
        <w:jc w:val="center"/>
        <w:rPr>
          <w:rFonts w:ascii="Book Antiqua" w:hAnsi="Book Antiqua" w:cs="Arial"/>
          <w:lang w:val="es-ES"/>
        </w:rPr>
      </w:pPr>
    </w:p>
    <w:p w14:paraId="345E029D" w14:textId="734FE973"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DB2C23">
        <w:rPr>
          <w:rFonts w:ascii="Book Antiqua" w:hAnsi="Book Antiqua" w:cs="Arial"/>
          <w:lang w:val="es-ES"/>
        </w:rPr>
        <w:t>971</w:t>
      </w:r>
      <w:r w:rsidRPr="00AC0B45">
        <w:rPr>
          <w:rFonts w:ascii="Book Antiqua" w:hAnsi="Book Antiqua" w:cs="Arial"/>
          <w:lang w:val="es-ES"/>
        </w:rPr>
        <w:t xml:space="preserve"> </w:t>
      </w:r>
      <w:proofErr w:type="spellStart"/>
      <w:r w:rsidRPr="00AC0B45">
        <w:rPr>
          <w:rFonts w:ascii="Book Antiqua" w:hAnsi="Book Antiqua" w:cs="Arial"/>
          <w:lang w:val="es-ES"/>
        </w:rPr>
        <w:t>seg</w:t>
      </w:r>
      <w:proofErr w:type="spellEnd"/>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476E5E" w:rsidRPr="00476E5E">
        <w:rPr>
          <w:rFonts w:ascii="Book Antiqua" w:hAnsi="Book Antiqua" w:cs="Arial"/>
          <w:lang w:val="es-ES"/>
        </w:rPr>
        <w:t xml:space="preserve"> </w:t>
      </w:r>
      <w:r w:rsidR="00DB2C23" w:rsidRPr="00DB2C23">
        <w:rPr>
          <w:rFonts w:ascii="Book Antiqua" w:hAnsi="Book Antiqua" w:cs="Arial"/>
          <w:lang w:val="es-ES"/>
        </w:rPr>
        <w:t>enmendar el Artículo 2.048 de la Ley 107-2020, según enmendada, conocida como “Código Municipal de Puerto Rico”; con el fin de realizar enmiendas técnicas</w:t>
      </w:r>
      <w:r w:rsidR="00DB2C23">
        <w:rPr>
          <w:rFonts w:ascii="Book Antiqua" w:hAnsi="Book Antiqua" w:cs="Arial"/>
          <w:lang w:val="es-ES"/>
        </w:rPr>
        <w:t>.</w:t>
      </w:r>
    </w:p>
    <w:p w14:paraId="3F6D663B" w14:textId="77777777" w:rsidR="00A76B51" w:rsidRDefault="00A76B51" w:rsidP="00A76B51">
      <w:pPr>
        <w:autoSpaceDE w:val="0"/>
        <w:autoSpaceDN w:val="0"/>
        <w:adjustRightInd w:val="0"/>
        <w:jc w:val="both"/>
        <w:rPr>
          <w:rFonts w:ascii="Book Antiqua" w:hAnsi="Book Antiqua" w:cs="Arial"/>
          <w:lang w:val="es-ES"/>
        </w:rPr>
      </w:pPr>
    </w:p>
    <w:p w14:paraId="296F40DD" w14:textId="0911A333" w:rsidR="00DB2C23" w:rsidRPr="00DB2C23" w:rsidRDefault="00182ED3" w:rsidP="00DB2C23">
      <w:pPr>
        <w:jc w:val="both"/>
        <w:rPr>
          <w:rFonts w:ascii="Book Antiqua" w:hAnsi="Book Antiqua"/>
          <w:lang w:val="es-ES"/>
        </w:rPr>
      </w:pPr>
      <w:r w:rsidRPr="000245A3">
        <w:rPr>
          <w:rFonts w:ascii="Book Antiqua" w:hAnsi="Book Antiqua" w:cs="Arial"/>
          <w:szCs w:val="24"/>
          <w:lang w:val="es-ES"/>
        </w:rPr>
        <w:t xml:space="preserve">Según establece la Exposición de Motivos del P. de la C. </w:t>
      </w:r>
      <w:r w:rsidR="00DB2C23">
        <w:rPr>
          <w:rFonts w:ascii="Book Antiqua" w:hAnsi="Book Antiqua" w:cs="Arial"/>
          <w:szCs w:val="24"/>
          <w:lang w:val="es-ES"/>
        </w:rPr>
        <w:t>971</w:t>
      </w:r>
      <w:r w:rsidR="005F3B18" w:rsidRPr="000245A3">
        <w:rPr>
          <w:rFonts w:ascii="Book Antiqua" w:hAnsi="Book Antiqua" w:cs="Arial"/>
          <w:szCs w:val="24"/>
          <w:lang w:val="es-ES"/>
        </w:rPr>
        <w:t>,</w:t>
      </w:r>
      <w:r w:rsidR="005F3B18" w:rsidRPr="00476E5E">
        <w:rPr>
          <w:rFonts w:ascii="Book Antiqua" w:hAnsi="Book Antiqua" w:cs="Arial"/>
          <w:szCs w:val="24"/>
          <w:lang w:val="es-ES"/>
        </w:rPr>
        <w:t xml:space="preserve"> </w:t>
      </w:r>
      <w:r w:rsidR="00DB2C23" w:rsidRPr="00DB2C23">
        <w:rPr>
          <w:rFonts w:ascii="Book Antiqua" w:hAnsi="Book Antiqua"/>
          <w:lang w:val="es-ES"/>
        </w:rPr>
        <w:t>La Ley 40-2025 enmendó la Ley</w:t>
      </w:r>
      <w:r w:rsidR="00E90F3F">
        <w:rPr>
          <w:rFonts w:ascii="Book Antiqua" w:hAnsi="Book Antiqua"/>
          <w:lang w:val="es-ES"/>
        </w:rPr>
        <w:t xml:space="preserve">  </w:t>
      </w:r>
      <w:r w:rsidR="00DB2C23" w:rsidRPr="00DB2C23">
        <w:rPr>
          <w:rFonts w:ascii="Book Antiqua" w:hAnsi="Book Antiqua"/>
          <w:lang w:val="es-ES"/>
        </w:rPr>
        <w:t xml:space="preserve">8-2017, según enmendada, conocida como “Ley para la Administración y  Transformación de los Recursos Humanos del Gobierno de Puerto Rico”; la Ley 15 de 14 de abril de 1931, según enmendada, conocida como “Ley Orgánica del Departamento del Trabajo y Recursos Humanos de Puerto Rico”; y la Ley 107-2020, según enmendada, conocida como “Código Municipal de Puerto Rico”, para devolver a la Oficina de Administración y Transformación de los Recursos Humanos del Gobierno de Puerto Rico (OATRH) la facultad de habilitar empleados para el servicio público.  </w:t>
      </w:r>
    </w:p>
    <w:p w14:paraId="2C1822C5" w14:textId="77777777" w:rsidR="00DB2C23" w:rsidRPr="00DB2C23" w:rsidRDefault="00DB2C23" w:rsidP="00DB2C23">
      <w:pPr>
        <w:jc w:val="both"/>
        <w:rPr>
          <w:rFonts w:ascii="Book Antiqua" w:hAnsi="Book Antiqua"/>
          <w:lang w:val="es-ES"/>
        </w:rPr>
      </w:pPr>
    </w:p>
    <w:p w14:paraId="34FABA28" w14:textId="77777777" w:rsidR="00DB2C23" w:rsidRPr="00DB2C23" w:rsidRDefault="00DB2C23" w:rsidP="00DB2C23">
      <w:pPr>
        <w:jc w:val="both"/>
        <w:rPr>
          <w:rFonts w:ascii="Book Antiqua" w:hAnsi="Book Antiqua"/>
          <w:lang w:val="es-ES"/>
        </w:rPr>
      </w:pPr>
      <w:r w:rsidRPr="00DB2C23">
        <w:rPr>
          <w:rFonts w:ascii="Book Antiqua" w:hAnsi="Book Antiqua"/>
          <w:lang w:val="es-ES"/>
        </w:rPr>
        <w:t xml:space="preserve">Por su parte, el Artículo 2.048 de la Ley 107-2020, supra, establece las condiciones generales para el ingreso al servicio público municipal, así como las excepciones a cumplir con estas condiciones cuando el empleado ha sido rehabilitado.  </w:t>
      </w:r>
    </w:p>
    <w:p w14:paraId="11C45B2A" w14:textId="77777777" w:rsidR="00DB2C23" w:rsidRPr="00DB2C23" w:rsidRDefault="00DB2C23" w:rsidP="00DB2C23">
      <w:pPr>
        <w:jc w:val="both"/>
        <w:rPr>
          <w:rFonts w:ascii="Book Antiqua" w:hAnsi="Book Antiqua"/>
          <w:lang w:val="es-ES"/>
        </w:rPr>
      </w:pPr>
    </w:p>
    <w:p w14:paraId="5DA366B5" w14:textId="44BD86A6" w:rsidR="007E3FE5" w:rsidRPr="009962C2" w:rsidRDefault="00DB2C23" w:rsidP="00DB2C23">
      <w:pPr>
        <w:jc w:val="both"/>
        <w:rPr>
          <w:rStyle w:val="Bodytext2"/>
          <w:rFonts w:ascii="Book Antiqua" w:hAnsi="Book Antiqua"/>
          <w:shd w:val="clear" w:color="auto" w:fill="auto"/>
          <w:lang w:val="es-ES"/>
        </w:rPr>
      </w:pPr>
      <w:r w:rsidRPr="00DB2C23">
        <w:rPr>
          <w:rFonts w:ascii="Book Antiqua" w:hAnsi="Book Antiqua"/>
          <w:lang w:val="es-ES"/>
        </w:rPr>
        <w:lastRenderedPageBreak/>
        <w:t xml:space="preserve">La Ley 40-2025 enmendó dicho Artículo 2.048, para expresamente reflejar la facultad delegada al </w:t>
      </w:r>
      <w:proofErr w:type="gramStart"/>
      <w:r w:rsidRPr="00DB2C23">
        <w:rPr>
          <w:rFonts w:ascii="Book Antiqua" w:hAnsi="Book Antiqua"/>
          <w:lang w:val="es-ES"/>
        </w:rPr>
        <w:t>Director</w:t>
      </w:r>
      <w:proofErr w:type="gramEnd"/>
      <w:r w:rsidRPr="00DB2C23">
        <w:rPr>
          <w:rFonts w:ascii="Book Antiqua" w:hAnsi="Book Antiqua"/>
          <w:lang w:val="es-ES"/>
        </w:rPr>
        <w:t xml:space="preserve"> de la OATRH.  No obstante, los cambios realizados al Artículo 2.048 omitieron texto vigente.</w:t>
      </w:r>
      <w:r w:rsidR="009962C2">
        <w:rPr>
          <w:rFonts w:ascii="Book Antiqua" w:hAnsi="Book Antiqua"/>
          <w:lang w:val="es-ES"/>
        </w:rPr>
        <w:t xml:space="preserve"> La medida busca restituir el lenguaje omitido en el Artículo 2.048 de la Ley 107-2020, supra, mientras se mantiene la intención legislativa contenida en la Ley 40-2025, de devolver</w:t>
      </w:r>
      <w:r w:rsidRPr="00DB2C23">
        <w:rPr>
          <w:rFonts w:ascii="Book Antiqua" w:hAnsi="Book Antiqua"/>
          <w:lang w:val="es-ES"/>
        </w:rPr>
        <w:t xml:space="preserve"> a la OATRH la facultad de habilitar empleados para el servicio público.</w:t>
      </w:r>
    </w:p>
    <w:p w14:paraId="7756AA82" w14:textId="77777777" w:rsidR="007E3FE5" w:rsidRDefault="007E3FE5" w:rsidP="00B4425A">
      <w:pPr>
        <w:jc w:val="both"/>
        <w:rPr>
          <w:rFonts w:ascii="Book Antiqua" w:hAnsi="Book Antiqua"/>
          <w:b/>
          <w:i/>
          <w:smallCaps/>
          <w:szCs w:val="24"/>
          <w:lang w:val="es-ES_tradnl"/>
        </w:rPr>
      </w:pPr>
    </w:p>
    <w:p w14:paraId="55A1479C" w14:textId="2571CF9E" w:rsidR="002169FB" w:rsidRDefault="004D7CDB" w:rsidP="00B4425A">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3BDE2B15" w14:textId="010B461F" w:rsidR="00121062" w:rsidRDefault="005616B3" w:rsidP="00113F55">
      <w:pPr>
        <w:spacing w:before="100" w:beforeAutospacing="1" w:after="100" w:afterAutospacing="1"/>
        <w:jc w:val="both"/>
        <w:rPr>
          <w:rFonts w:ascii="Book Antiqua" w:hAnsi="Book Antiqua"/>
          <w:lang w:val="es-ES"/>
        </w:rPr>
      </w:pPr>
      <w:r w:rsidRPr="00DB2C23">
        <w:rPr>
          <w:rFonts w:ascii="Book Antiqua" w:hAnsi="Book Antiqua"/>
          <w:bCs/>
          <w:iCs/>
          <w:szCs w:val="24"/>
          <w:lang w:val="es-ES"/>
        </w:rPr>
        <w:t xml:space="preserve">Durante la discusión y </w:t>
      </w:r>
      <w:r w:rsidR="00D400B4" w:rsidRPr="00DB2C23">
        <w:rPr>
          <w:rFonts w:ascii="Book Antiqua" w:hAnsi="Book Antiqua"/>
          <w:bCs/>
          <w:iCs/>
          <w:szCs w:val="24"/>
          <w:lang w:val="es-ES"/>
        </w:rPr>
        <w:t>análisis</w:t>
      </w:r>
      <w:r w:rsidRPr="00DB2C23">
        <w:rPr>
          <w:rFonts w:ascii="Book Antiqua" w:hAnsi="Book Antiqua"/>
          <w:bCs/>
          <w:iCs/>
          <w:szCs w:val="24"/>
          <w:lang w:val="es-ES"/>
        </w:rPr>
        <w:t xml:space="preserve"> legislativo de la </w:t>
      </w:r>
      <w:r w:rsidR="009E093A" w:rsidRPr="00DB2C23">
        <w:rPr>
          <w:rFonts w:ascii="Book Antiqua" w:hAnsi="Book Antiqua"/>
          <w:bCs/>
          <w:iCs/>
          <w:szCs w:val="24"/>
          <w:lang w:val="es-ES"/>
        </w:rPr>
        <w:t>p</w:t>
      </w:r>
      <w:r w:rsidRPr="00DB2C23">
        <w:rPr>
          <w:rFonts w:ascii="Book Antiqua" w:hAnsi="Book Antiqua"/>
          <w:bCs/>
          <w:iCs/>
          <w:szCs w:val="24"/>
          <w:lang w:val="es-ES"/>
        </w:rPr>
        <w:t xml:space="preserve">resente </w:t>
      </w:r>
      <w:r w:rsidR="009E093A" w:rsidRPr="00DB2C23">
        <w:rPr>
          <w:rFonts w:ascii="Book Antiqua" w:hAnsi="Book Antiqua"/>
          <w:bCs/>
          <w:iCs/>
          <w:szCs w:val="24"/>
          <w:lang w:val="es-ES"/>
        </w:rPr>
        <w:t xml:space="preserve">medida, </w:t>
      </w:r>
      <w:bookmarkStart w:id="1" w:name="_Hlk195509733"/>
      <w:r w:rsidR="00DB2C23" w:rsidRPr="00DB2C23">
        <w:rPr>
          <w:rFonts w:ascii="Book Antiqua" w:hAnsi="Book Antiqua"/>
          <w:bCs/>
          <w:iCs/>
          <w:szCs w:val="24"/>
          <w:lang w:val="es-ES"/>
        </w:rPr>
        <w:t xml:space="preserve">se </w:t>
      </w:r>
      <w:r w:rsidR="00121062" w:rsidRPr="00DB2C23">
        <w:rPr>
          <w:rFonts w:ascii="Book Antiqua" w:hAnsi="Book Antiqua"/>
          <w:bCs/>
          <w:iCs/>
          <w:szCs w:val="24"/>
          <w:lang w:val="es-ES"/>
        </w:rPr>
        <w:t>realizó</w:t>
      </w:r>
      <w:r w:rsidR="00DB2C23" w:rsidRPr="00DB2C23">
        <w:rPr>
          <w:rFonts w:ascii="Book Antiqua" w:hAnsi="Book Antiqua"/>
          <w:bCs/>
          <w:iCs/>
          <w:szCs w:val="24"/>
          <w:lang w:val="es-ES"/>
        </w:rPr>
        <w:t xml:space="preserve"> un</w:t>
      </w:r>
      <w:r w:rsidR="00B4425A">
        <w:rPr>
          <w:rFonts w:ascii="Book Antiqua" w:hAnsi="Book Antiqua"/>
          <w:bCs/>
          <w:iCs/>
          <w:szCs w:val="24"/>
          <w:lang w:val="es-ES"/>
        </w:rPr>
        <w:t>a</w:t>
      </w:r>
      <w:r w:rsidR="00DB2C23" w:rsidRPr="00DB2C23">
        <w:rPr>
          <w:rFonts w:ascii="Book Antiqua" w:hAnsi="Book Antiqua"/>
          <w:bCs/>
          <w:iCs/>
          <w:szCs w:val="24"/>
          <w:lang w:val="es-ES"/>
        </w:rPr>
        <w:t xml:space="preserve"> </w:t>
      </w:r>
      <w:r w:rsidR="00B4425A">
        <w:rPr>
          <w:rFonts w:ascii="Book Antiqua" w:hAnsi="Book Antiqua"/>
          <w:bCs/>
          <w:iCs/>
          <w:szCs w:val="24"/>
          <w:lang w:val="es-ES"/>
        </w:rPr>
        <w:t>v</w:t>
      </w:r>
      <w:r w:rsidR="00DB2C23" w:rsidRPr="00DB2C23">
        <w:rPr>
          <w:rFonts w:ascii="Book Antiqua" w:hAnsi="Book Antiqua"/>
          <w:bCs/>
          <w:iCs/>
          <w:szCs w:val="24"/>
          <w:lang w:val="es-ES"/>
        </w:rPr>
        <w:t xml:space="preserve">ista </w:t>
      </w:r>
      <w:r w:rsidR="00B4425A">
        <w:rPr>
          <w:rFonts w:ascii="Book Antiqua" w:hAnsi="Book Antiqua"/>
          <w:bCs/>
          <w:iCs/>
          <w:szCs w:val="24"/>
          <w:lang w:val="es-ES"/>
        </w:rPr>
        <w:t>pú</w:t>
      </w:r>
      <w:r w:rsidR="00DB2C23" w:rsidRPr="00DB2C23">
        <w:rPr>
          <w:rFonts w:ascii="Book Antiqua" w:hAnsi="Book Antiqua"/>
          <w:bCs/>
          <w:iCs/>
          <w:szCs w:val="24"/>
          <w:lang w:val="es-ES"/>
        </w:rPr>
        <w:t>blica el martes 13 de enero de 2026, en el salón Audiencias 1, a las 10:00am que contó con la participación de l</w:t>
      </w:r>
      <w:bookmarkEnd w:id="1"/>
      <w:r w:rsidR="00121062">
        <w:rPr>
          <w:rFonts w:ascii="Book Antiqua" w:hAnsi="Book Antiqua"/>
          <w:bCs/>
          <w:iCs/>
          <w:szCs w:val="24"/>
          <w:lang w:val="es-ES"/>
        </w:rPr>
        <w:t xml:space="preserve">a </w:t>
      </w:r>
      <w:r w:rsidR="009375FE" w:rsidRPr="00121062">
        <w:rPr>
          <w:rFonts w:ascii="Book Antiqua" w:hAnsi="Book Antiqua"/>
          <w:b/>
          <w:bCs/>
          <w:i/>
          <w:iCs/>
          <w:lang w:val="es-ES"/>
        </w:rPr>
        <w:t>Asociación de Alcaldes de Puerto Rico (AAPR)</w:t>
      </w:r>
      <w:bookmarkStart w:id="2" w:name="_Hlk199336735"/>
      <w:r w:rsidR="00121062">
        <w:rPr>
          <w:rFonts w:ascii="Book Antiqua" w:hAnsi="Book Antiqua"/>
          <w:lang w:val="es-ES"/>
        </w:rPr>
        <w:t>,</w:t>
      </w:r>
      <w:r w:rsidR="00113F55" w:rsidRPr="00113F55">
        <w:rPr>
          <w:rFonts w:ascii="Book Antiqua" w:hAnsi="Book Antiqua"/>
          <w:lang w:val="es-ES"/>
        </w:rPr>
        <w:t xml:space="preserve"> la cual señaló</w:t>
      </w:r>
      <w:r w:rsidR="00113F55">
        <w:rPr>
          <w:rFonts w:ascii="Book Antiqua" w:hAnsi="Book Antiqua"/>
          <w:lang w:val="es-ES"/>
        </w:rPr>
        <w:t xml:space="preserve"> </w:t>
      </w:r>
      <w:r w:rsidR="00113F55" w:rsidRPr="00113F55">
        <w:rPr>
          <w:rFonts w:ascii="Book Antiqua" w:hAnsi="Book Antiqua"/>
          <w:lang w:val="es-ES"/>
        </w:rPr>
        <w:t xml:space="preserve">que, al examinar la Ley 22-2025, se desprende que esta enmendó el Artículo 2.048 del Código Municipal de Puerto Rico para renumerar los incisos del 1 al 7, incluir un nuevo inciso (4) y, como consecuencia, renumerar los incisos subsiguientes del (5) al (7). Asimismo, dicha ley añadió un inciso (8) y modificó las causales aplicables, aumentando su número de cinco (5) a seis (6). </w:t>
      </w:r>
    </w:p>
    <w:p w14:paraId="34115185" w14:textId="757FF492" w:rsidR="00113F55" w:rsidRPr="00113F55" w:rsidRDefault="00113F55" w:rsidP="00113F55">
      <w:pPr>
        <w:spacing w:before="100" w:beforeAutospacing="1" w:after="100" w:afterAutospacing="1"/>
        <w:jc w:val="both"/>
        <w:rPr>
          <w:rFonts w:ascii="Book Antiqua" w:hAnsi="Book Antiqua"/>
          <w:lang w:val="es-ES"/>
        </w:rPr>
      </w:pPr>
      <w:r w:rsidRPr="00113F55">
        <w:rPr>
          <w:rFonts w:ascii="Book Antiqua" w:hAnsi="Book Antiqua"/>
          <w:lang w:val="es-ES"/>
        </w:rPr>
        <w:t xml:space="preserve">En ese contexto, la </w:t>
      </w:r>
      <w:r w:rsidRPr="006679D2">
        <w:rPr>
          <w:rFonts w:ascii="Book Antiqua" w:hAnsi="Book Antiqua"/>
          <w:b/>
          <w:bCs/>
          <w:i/>
          <w:iCs/>
          <w:lang w:val="es-ES"/>
        </w:rPr>
        <w:t>Asociación</w:t>
      </w:r>
      <w:r w:rsidR="006679D2">
        <w:rPr>
          <w:rFonts w:ascii="Book Antiqua" w:hAnsi="Book Antiqua"/>
          <w:b/>
          <w:bCs/>
          <w:i/>
          <w:iCs/>
          <w:lang w:val="es-ES"/>
        </w:rPr>
        <w:t xml:space="preserve"> de </w:t>
      </w:r>
      <w:proofErr w:type="gramStart"/>
      <w:r w:rsidR="006679D2">
        <w:rPr>
          <w:rFonts w:ascii="Book Antiqua" w:hAnsi="Book Antiqua"/>
          <w:b/>
          <w:bCs/>
          <w:i/>
          <w:iCs/>
          <w:lang w:val="es-ES"/>
        </w:rPr>
        <w:t>Alcaldes</w:t>
      </w:r>
      <w:proofErr w:type="gramEnd"/>
      <w:r w:rsidR="00B4425A">
        <w:rPr>
          <w:rFonts w:ascii="Book Antiqua" w:hAnsi="Book Antiqua"/>
          <w:b/>
          <w:bCs/>
          <w:i/>
          <w:iCs/>
          <w:lang w:val="es-ES"/>
        </w:rPr>
        <w:t xml:space="preserve"> de Puerto Rico (AAPR), </w:t>
      </w:r>
      <w:r w:rsidRPr="00113F55">
        <w:rPr>
          <w:rFonts w:ascii="Book Antiqua" w:hAnsi="Book Antiqua"/>
          <w:lang w:val="es-ES"/>
        </w:rPr>
        <w:t xml:space="preserve">advirtió que el </w:t>
      </w:r>
      <w:r w:rsidR="00B4425A">
        <w:rPr>
          <w:rFonts w:ascii="Book Antiqua" w:hAnsi="Book Antiqua"/>
          <w:lang w:val="es-ES"/>
        </w:rPr>
        <w:t>p</w:t>
      </w:r>
      <w:r w:rsidRPr="00113F55">
        <w:rPr>
          <w:rFonts w:ascii="Book Antiqua" w:hAnsi="Book Antiqua"/>
          <w:lang w:val="es-ES"/>
        </w:rPr>
        <w:t xml:space="preserve">royecto bajo consideración propone la inclusión de un inciso (8) que ya fue incorporado mediante la Ley 22-2025, por lo que recomendó que la Comisión evalúe el texto del </w:t>
      </w:r>
      <w:r w:rsidR="00B4425A">
        <w:rPr>
          <w:rFonts w:ascii="Book Antiqua" w:hAnsi="Book Antiqua"/>
          <w:lang w:val="es-ES"/>
        </w:rPr>
        <w:t>p</w:t>
      </w:r>
      <w:r w:rsidRPr="00113F55">
        <w:rPr>
          <w:rFonts w:ascii="Book Antiqua" w:hAnsi="Book Antiqua"/>
          <w:lang w:val="es-ES"/>
        </w:rPr>
        <w:t>royecto de forma armonizada con las disposiciones vigentes de dicha ley, a fin de evitar duplicidades y asegurar coherencia en el ordenamiento jurídico.</w:t>
      </w:r>
    </w:p>
    <w:p w14:paraId="0E019BED" w14:textId="2815A25A" w:rsidR="00DB2C23" w:rsidRPr="00121062" w:rsidRDefault="00DB2C23" w:rsidP="00121062">
      <w:pPr>
        <w:spacing w:before="100" w:beforeAutospacing="1" w:after="100" w:afterAutospacing="1"/>
        <w:rPr>
          <w:rFonts w:ascii="Book Antiqua" w:hAnsi="Book Antiqua"/>
          <w:b/>
          <w:bCs/>
          <w:i/>
          <w:iCs/>
          <w:lang w:val="es-ES"/>
        </w:rPr>
      </w:pPr>
      <w:r w:rsidRPr="00121062">
        <w:rPr>
          <w:rFonts w:ascii="Book Antiqua" w:hAnsi="Book Antiqua"/>
          <w:b/>
          <w:bCs/>
          <w:i/>
          <w:iCs/>
          <w:lang w:val="es-ES"/>
        </w:rPr>
        <w:t>Resumen de Memoriales:</w:t>
      </w:r>
    </w:p>
    <w:p w14:paraId="4C8C16C4" w14:textId="0B4A113F" w:rsidR="00DB2C23" w:rsidRPr="00DB2C23" w:rsidRDefault="00DB2C23" w:rsidP="00DB2C23">
      <w:pPr>
        <w:spacing w:before="100" w:beforeAutospacing="1" w:after="100" w:afterAutospacing="1"/>
        <w:rPr>
          <w:rFonts w:ascii="Book Antiqua" w:hAnsi="Book Antiqua"/>
          <w:lang w:val="es-ES"/>
        </w:rPr>
      </w:pPr>
      <w:r w:rsidRPr="00DB2C23">
        <w:rPr>
          <w:rFonts w:ascii="Book Antiqua" w:hAnsi="Book Antiqua"/>
          <w:lang w:val="es-ES"/>
        </w:rPr>
        <w:t xml:space="preserve">Las siguientes agencias comparecieron mediante memorial explicativo: </w:t>
      </w:r>
    </w:p>
    <w:p w14:paraId="06A9C7D0" w14:textId="77777777" w:rsidR="009962C2" w:rsidRPr="00DB2C23" w:rsidRDefault="009962C2" w:rsidP="009962C2">
      <w:pPr>
        <w:pStyle w:val="ListParagraph"/>
        <w:numPr>
          <w:ilvl w:val="0"/>
          <w:numId w:val="13"/>
        </w:numPr>
        <w:spacing w:before="100" w:beforeAutospacing="1" w:after="100" w:afterAutospacing="1"/>
        <w:rPr>
          <w:rFonts w:ascii="Book Antiqua" w:hAnsi="Book Antiqua"/>
          <w:b/>
          <w:bCs/>
          <w:i/>
          <w:iCs/>
        </w:rPr>
      </w:pPr>
      <w:r w:rsidRPr="00DB2C23">
        <w:rPr>
          <w:rFonts w:ascii="Book Antiqua" w:hAnsi="Book Antiqua"/>
          <w:b/>
          <w:bCs/>
          <w:i/>
          <w:iCs/>
        </w:rPr>
        <w:t>Departamento del Trabajo y Recursos Humanos (DTRH)</w:t>
      </w:r>
    </w:p>
    <w:p w14:paraId="1D019346" w14:textId="4EF2BF85" w:rsidR="006679D2" w:rsidRDefault="006679D2" w:rsidP="009375FE">
      <w:pPr>
        <w:pStyle w:val="ListParagraph"/>
        <w:numPr>
          <w:ilvl w:val="0"/>
          <w:numId w:val="13"/>
        </w:numPr>
        <w:spacing w:before="100" w:beforeAutospacing="1" w:after="100" w:afterAutospacing="1"/>
        <w:rPr>
          <w:rFonts w:ascii="Book Antiqua" w:hAnsi="Book Antiqua"/>
          <w:b/>
          <w:bCs/>
          <w:i/>
          <w:iCs/>
        </w:rPr>
      </w:pPr>
      <w:r>
        <w:rPr>
          <w:rFonts w:ascii="Book Antiqua" w:hAnsi="Book Antiqua"/>
          <w:b/>
          <w:bCs/>
          <w:i/>
          <w:iCs/>
        </w:rPr>
        <w:t xml:space="preserve">Federación de </w:t>
      </w:r>
      <w:proofErr w:type="gramStart"/>
      <w:r>
        <w:rPr>
          <w:rFonts w:ascii="Book Antiqua" w:hAnsi="Book Antiqua"/>
          <w:b/>
          <w:bCs/>
          <w:i/>
          <w:iCs/>
        </w:rPr>
        <w:t>Alcaldes</w:t>
      </w:r>
      <w:proofErr w:type="gramEnd"/>
      <w:r w:rsidR="00B4425A">
        <w:rPr>
          <w:rFonts w:ascii="Book Antiqua" w:hAnsi="Book Antiqua"/>
          <w:b/>
          <w:bCs/>
          <w:i/>
          <w:iCs/>
        </w:rPr>
        <w:t xml:space="preserve"> de Puerto Rico</w:t>
      </w:r>
      <w:r>
        <w:rPr>
          <w:rFonts w:ascii="Book Antiqua" w:hAnsi="Book Antiqua"/>
          <w:b/>
          <w:bCs/>
          <w:i/>
          <w:iCs/>
        </w:rPr>
        <w:t xml:space="preserve"> (FAPR) </w:t>
      </w:r>
    </w:p>
    <w:p w14:paraId="6F63D352" w14:textId="35B28769" w:rsidR="00DB2C23" w:rsidRPr="00DB2C23" w:rsidRDefault="00DB2C23" w:rsidP="009375FE">
      <w:pPr>
        <w:pStyle w:val="ListParagraph"/>
        <w:numPr>
          <w:ilvl w:val="0"/>
          <w:numId w:val="13"/>
        </w:numPr>
        <w:spacing w:before="100" w:beforeAutospacing="1" w:after="100" w:afterAutospacing="1"/>
        <w:rPr>
          <w:rFonts w:ascii="Book Antiqua" w:hAnsi="Book Antiqua"/>
          <w:b/>
          <w:bCs/>
          <w:i/>
          <w:iCs/>
        </w:rPr>
      </w:pPr>
      <w:r w:rsidRPr="00DB2C23">
        <w:rPr>
          <w:rFonts w:ascii="Book Antiqua" w:hAnsi="Book Antiqua"/>
          <w:b/>
          <w:bCs/>
          <w:i/>
          <w:iCs/>
        </w:rPr>
        <w:t xml:space="preserve">Oficina de Administración y Transformación de los Recursos Humanos (OATRH) </w:t>
      </w:r>
    </w:p>
    <w:bookmarkEnd w:id="2"/>
    <w:p w14:paraId="6CF92703" w14:textId="389EB670" w:rsidR="00DB2C23" w:rsidRPr="00DB2C23" w:rsidRDefault="00DB2C23" w:rsidP="00DB2C23">
      <w:pPr>
        <w:pStyle w:val="Heading3"/>
        <w:jc w:val="both"/>
        <w:rPr>
          <w:rFonts w:ascii="Book Antiqua" w:eastAsia="Times New Roman" w:hAnsi="Book Antiqua"/>
          <w:color w:val="auto"/>
          <w:sz w:val="27"/>
          <w:lang w:val="es-DO"/>
        </w:rPr>
      </w:pPr>
      <w:r>
        <w:rPr>
          <w:rStyle w:val="Strong"/>
          <w:rFonts w:ascii="Book Antiqua" w:hAnsi="Book Antiqua"/>
          <w:b w:val="0"/>
          <w:bCs w:val="0"/>
          <w:color w:val="auto"/>
          <w:lang w:val="es-DO"/>
        </w:rPr>
        <w:t xml:space="preserve">El </w:t>
      </w:r>
      <w:r w:rsidRPr="00DB2C23">
        <w:rPr>
          <w:rStyle w:val="Strong"/>
          <w:rFonts w:ascii="Book Antiqua" w:hAnsi="Book Antiqua"/>
          <w:i/>
          <w:iCs/>
          <w:color w:val="auto"/>
          <w:lang w:val="es-DO"/>
        </w:rPr>
        <w:t xml:space="preserve">Departamento del Trabajo y Recursos Humanos (DTRH), </w:t>
      </w:r>
      <w:r>
        <w:rPr>
          <w:rStyle w:val="Strong"/>
          <w:rFonts w:ascii="Book Antiqua" w:hAnsi="Book Antiqua"/>
          <w:b w:val="0"/>
          <w:bCs w:val="0"/>
          <w:color w:val="auto"/>
          <w:lang w:val="es-DO"/>
        </w:rPr>
        <w:t>señala qu</w:t>
      </w:r>
      <w:r w:rsidRPr="00DB2C23">
        <w:rPr>
          <w:rFonts w:ascii="Book Antiqua" w:hAnsi="Book Antiqua"/>
          <w:color w:val="auto"/>
          <w:lang w:val="es-DO"/>
        </w:rPr>
        <w:t xml:space="preserve">e, mediante la Ley Núm. 8 de 4 de febrero de 2017, según enmendada, conocida como la </w:t>
      </w:r>
      <w:r w:rsidRPr="00DB2C23">
        <w:rPr>
          <w:rStyle w:val="Emphasis"/>
          <w:rFonts w:ascii="Book Antiqua" w:hAnsi="Book Antiqua"/>
          <w:color w:val="auto"/>
          <w:lang w:val="es-DO"/>
        </w:rPr>
        <w:t>Ley para la Administración y Transformación de los Recursos Humanos</w:t>
      </w:r>
      <w:r w:rsidRPr="00DB2C23">
        <w:rPr>
          <w:rFonts w:ascii="Book Antiqua" w:hAnsi="Book Antiqua"/>
          <w:color w:val="auto"/>
          <w:lang w:val="es-DO"/>
        </w:rPr>
        <w:t xml:space="preserve">, se enmendó la Sección 3 de la Ley Núm. 15 para conferir al </w:t>
      </w:r>
      <w:proofErr w:type="gramStart"/>
      <w:r w:rsidRPr="00DB2C23">
        <w:rPr>
          <w:rFonts w:ascii="Book Antiqua" w:hAnsi="Book Antiqua"/>
          <w:color w:val="auto"/>
          <w:lang w:val="es-DO"/>
        </w:rPr>
        <w:t>Secretario</w:t>
      </w:r>
      <w:proofErr w:type="gramEnd"/>
      <w:r w:rsidRPr="00DB2C23">
        <w:rPr>
          <w:rFonts w:ascii="Book Antiqua" w:hAnsi="Book Antiqua"/>
          <w:color w:val="auto"/>
          <w:lang w:val="es-DO"/>
        </w:rPr>
        <w:t xml:space="preserve"> del Departamento del Trabajo y Recursos Humanos la facultad de dirigir, administrar y supervisar la Junta Consultora de Habilitación de Empleados.</w:t>
      </w:r>
    </w:p>
    <w:p w14:paraId="2D5A7C6D" w14:textId="77777777" w:rsidR="00DB2C23" w:rsidRPr="00DB2C23" w:rsidRDefault="00DB2C23" w:rsidP="00DB2C23">
      <w:pPr>
        <w:pStyle w:val="NormalWeb"/>
        <w:jc w:val="both"/>
        <w:rPr>
          <w:rFonts w:ascii="Book Antiqua" w:hAnsi="Book Antiqua"/>
          <w:lang w:val="es-DO"/>
        </w:rPr>
      </w:pPr>
      <w:r w:rsidRPr="00DB2C23">
        <w:rPr>
          <w:rFonts w:ascii="Book Antiqua" w:hAnsi="Book Antiqua"/>
          <w:lang w:val="es-DO"/>
        </w:rPr>
        <w:t xml:space="preserve">No obstante, con la aprobación de la Ley Núm. 40-2025, se enmendó nuevamente la Ley Núm. 8, antes citada, con el propósito de </w:t>
      </w:r>
      <w:r w:rsidRPr="00DB2C23">
        <w:rPr>
          <w:rStyle w:val="Strong"/>
          <w:rFonts w:ascii="Book Antiqua" w:hAnsi="Book Antiqua"/>
          <w:lang w:val="es-DO"/>
        </w:rPr>
        <w:t>restituir a la Oficina de Administración y Transformación de los Recursos Humanos del Gobierno de Puerto Rico (OATRH)</w:t>
      </w:r>
      <w:r w:rsidRPr="00DB2C23">
        <w:rPr>
          <w:rFonts w:ascii="Book Antiqua" w:hAnsi="Book Antiqua"/>
          <w:lang w:val="es-DO"/>
        </w:rPr>
        <w:t xml:space="preserve"> la </w:t>
      </w:r>
      <w:r w:rsidRPr="00DB2C23">
        <w:rPr>
          <w:rFonts w:ascii="Book Antiqua" w:hAnsi="Book Antiqua"/>
          <w:lang w:val="es-DO"/>
        </w:rPr>
        <w:lastRenderedPageBreak/>
        <w:t xml:space="preserve">facultad de habilitar empleados para el servicio público. A su vez, dicha legislación enmendó la Sección 3 de la Ley Núm. 15 para derogar el </w:t>
      </w:r>
      <w:proofErr w:type="spellStart"/>
      <w:r w:rsidRPr="00DB2C23">
        <w:rPr>
          <w:rFonts w:ascii="Book Antiqua" w:hAnsi="Book Antiqua"/>
          <w:lang w:val="es-DO"/>
        </w:rPr>
        <w:t>subinciso</w:t>
      </w:r>
      <w:proofErr w:type="spellEnd"/>
      <w:r w:rsidRPr="00DB2C23">
        <w:rPr>
          <w:rFonts w:ascii="Book Antiqua" w:hAnsi="Book Antiqua"/>
          <w:lang w:val="es-DO"/>
        </w:rPr>
        <w:t xml:space="preserve"> (23) del inciso (h), eliminando así la dirección, administración y supervisión de la Junta Consultora de Habilitación de Empleados como función del DTRH.</w:t>
      </w:r>
    </w:p>
    <w:p w14:paraId="03642F74" w14:textId="77777777" w:rsidR="00DB2C23" w:rsidRPr="00DB2C23" w:rsidRDefault="00DB2C23" w:rsidP="00DB2C23">
      <w:pPr>
        <w:pStyle w:val="NormalWeb"/>
        <w:jc w:val="both"/>
        <w:rPr>
          <w:rFonts w:ascii="Book Antiqua" w:hAnsi="Book Antiqua"/>
          <w:lang w:val="es-DO"/>
        </w:rPr>
      </w:pPr>
      <w:r w:rsidRPr="00DB2C23">
        <w:rPr>
          <w:rFonts w:ascii="Book Antiqua" w:hAnsi="Book Antiqua"/>
          <w:lang w:val="es-DO"/>
        </w:rPr>
        <w:t xml:space="preserve">Conforme a lo anterior, el </w:t>
      </w:r>
      <w:proofErr w:type="spellStart"/>
      <w:r w:rsidRPr="00DB2C23">
        <w:rPr>
          <w:rFonts w:ascii="Book Antiqua" w:hAnsi="Book Antiqua"/>
          <w:lang w:val="es-DO"/>
        </w:rPr>
        <w:t>subinciso</w:t>
      </w:r>
      <w:proofErr w:type="spellEnd"/>
      <w:r w:rsidRPr="00DB2C23">
        <w:rPr>
          <w:rFonts w:ascii="Book Antiqua" w:hAnsi="Book Antiqua"/>
          <w:lang w:val="es-DO"/>
        </w:rPr>
        <w:t xml:space="preserve"> (f) del inciso (1) de la Sección 4.3 del Artículo 4 de la Ley Núm. 8, según enmendada, establece como función del </w:t>
      </w:r>
      <w:proofErr w:type="gramStart"/>
      <w:r w:rsidRPr="00DB2C23">
        <w:rPr>
          <w:rFonts w:ascii="Book Antiqua" w:hAnsi="Book Antiqua"/>
          <w:lang w:val="es-DO"/>
        </w:rPr>
        <w:t>Director</w:t>
      </w:r>
      <w:proofErr w:type="gramEnd"/>
      <w:r w:rsidRPr="00DB2C23">
        <w:rPr>
          <w:rFonts w:ascii="Book Antiqua" w:hAnsi="Book Antiqua"/>
          <w:lang w:val="es-DO"/>
        </w:rPr>
        <w:t xml:space="preserve"> de la OATRH asesorar al Gobernador y a la Asamblea Legislativa en todo lo relacionado con las relaciones laborales y la administración de los recursos humanos en el servicio público.</w:t>
      </w:r>
    </w:p>
    <w:p w14:paraId="357D1E0D" w14:textId="77777777" w:rsidR="00DB2C23" w:rsidRPr="00DB2C23" w:rsidRDefault="00DB2C23" w:rsidP="00DB2C23">
      <w:pPr>
        <w:pStyle w:val="NormalWeb"/>
        <w:jc w:val="both"/>
        <w:rPr>
          <w:rFonts w:ascii="Book Antiqua" w:hAnsi="Book Antiqua"/>
          <w:lang w:val="es-DO"/>
        </w:rPr>
      </w:pPr>
      <w:r w:rsidRPr="00DB2C23">
        <w:rPr>
          <w:rFonts w:ascii="Book Antiqua" w:hAnsi="Book Antiqua"/>
          <w:lang w:val="es-DO"/>
        </w:rPr>
        <w:t xml:space="preserve">En virtud de este marco legal, el DTRH entiende que la facultad de emitir la posición oficial de la Rama Ejecutiva en asuntos relacionados con la habilitación de empleados públicos </w:t>
      </w:r>
      <w:r w:rsidRPr="00DB2C23">
        <w:rPr>
          <w:rStyle w:val="Strong"/>
          <w:rFonts w:ascii="Book Antiqua" w:hAnsi="Book Antiqua"/>
          <w:lang w:val="es-DO"/>
        </w:rPr>
        <w:t>corresponde exclusivamente a la OATRH</w:t>
      </w:r>
      <w:r w:rsidRPr="00DB2C23">
        <w:rPr>
          <w:rFonts w:ascii="Book Antiqua" w:hAnsi="Book Antiqua"/>
          <w:lang w:val="es-DO"/>
        </w:rPr>
        <w:t>, razón por la cual el Departamento concede deferencia a la opinión que emita dicho organismo en cuanto a la materia bajo consideración, al estar fuera del ámbito de su jurisdicción.</w:t>
      </w:r>
    </w:p>
    <w:p w14:paraId="1BF6B94F" w14:textId="60A10402" w:rsidR="00DB2C23" w:rsidRPr="00DB2C23" w:rsidRDefault="00DB2C23" w:rsidP="00DB2C23">
      <w:pPr>
        <w:pStyle w:val="NormalWeb"/>
        <w:jc w:val="both"/>
        <w:rPr>
          <w:rFonts w:ascii="Book Antiqua" w:hAnsi="Book Antiqua"/>
          <w:lang w:val="es-DO"/>
        </w:rPr>
      </w:pPr>
      <w:r w:rsidRPr="00DB2C23">
        <w:rPr>
          <w:rFonts w:ascii="Book Antiqua" w:hAnsi="Book Antiqua"/>
          <w:lang w:val="es-DO"/>
        </w:rPr>
        <w:t>A manera ilustrativa, la Sección 6.8 de la Ley Núm. 8, según enmendada, dispone que las personas que formen parte del servicio público no deben haber incurrido en conducta impropia sancionada por el ordenamiento jurídico. No obstante, el Estado reconoce un interés apremiante en que aquellas personas que, en determinado momento, hayan quedado inhabilitadas para ocupar cargos públicos puedan</w:t>
      </w:r>
      <w:r w:rsidR="00B4425A">
        <w:rPr>
          <w:rFonts w:ascii="Book Antiqua" w:hAnsi="Book Antiqua"/>
          <w:lang w:val="es-DO"/>
        </w:rPr>
        <w:t>,</w:t>
      </w:r>
      <w:r w:rsidRPr="00DB2C23">
        <w:rPr>
          <w:rFonts w:ascii="Book Antiqua" w:hAnsi="Book Antiqua"/>
          <w:lang w:val="es-DO"/>
        </w:rPr>
        <w:t xml:space="preserve"> mediante sus propios méritos, superar dicha condición y reintegrarse al servicio público, conforme al procedimiento de habilitación establecido en ley.</w:t>
      </w:r>
    </w:p>
    <w:p w14:paraId="632FC458" w14:textId="0932249A" w:rsidR="00DB2C23" w:rsidRPr="00DB2C23" w:rsidRDefault="00DB2C23" w:rsidP="00DB2C23">
      <w:pPr>
        <w:pStyle w:val="NormalWeb"/>
        <w:jc w:val="both"/>
        <w:rPr>
          <w:rFonts w:ascii="Book Antiqua" w:hAnsi="Book Antiqua"/>
          <w:lang w:val="es-DO"/>
        </w:rPr>
      </w:pPr>
      <w:r w:rsidRPr="00DB2C23">
        <w:rPr>
          <w:rFonts w:ascii="Book Antiqua" w:hAnsi="Book Antiqua"/>
          <w:lang w:val="es-DO"/>
        </w:rPr>
        <w:t>La misma Sección 6.8 establece que toda persona que haya incurrido en conducta impropia solo podrá formar parte del servicio público a través del proceso de habilitación. En consecuencia, deberán someterse a dicho procedimiento:</w:t>
      </w:r>
      <w:r w:rsidRPr="00DB2C23">
        <w:rPr>
          <w:rFonts w:ascii="Book Antiqua" w:hAnsi="Book Antiqua"/>
          <w:lang w:val="es-DO"/>
        </w:rPr>
        <w:br/>
        <w:t>(a) los aspirantes a empleo y empleados del servicio público en las tres ramas de gobierno; y</w:t>
      </w:r>
      <w:r w:rsidR="00B4425A">
        <w:rPr>
          <w:rFonts w:ascii="Book Antiqua" w:hAnsi="Book Antiqua"/>
          <w:lang w:val="es-DO"/>
        </w:rPr>
        <w:t xml:space="preserve"> </w:t>
      </w:r>
      <w:r w:rsidRPr="00DB2C23">
        <w:rPr>
          <w:rFonts w:ascii="Book Antiqua" w:hAnsi="Book Antiqua"/>
          <w:lang w:val="es-DO"/>
        </w:rPr>
        <w:t>(b) las personas que presten servicios profesionales mediante contratos.</w:t>
      </w:r>
    </w:p>
    <w:p w14:paraId="3A8C4A19" w14:textId="77777777" w:rsidR="00DB2C23" w:rsidRPr="00DB2C23" w:rsidRDefault="00DB2C23" w:rsidP="00DB2C23">
      <w:pPr>
        <w:pStyle w:val="NormalWeb"/>
        <w:jc w:val="both"/>
        <w:rPr>
          <w:rFonts w:ascii="Book Antiqua" w:hAnsi="Book Antiqua"/>
          <w:lang w:val="es-DO"/>
        </w:rPr>
      </w:pPr>
      <w:r w:rsidRPr="00DB2C23">
        <w:rPr>
          <w:rFonts w:ascii="Book Antiqua" w:hAnsi="Book Antiqua"/>
          <w:lang w:val="es-DO"/>
        </w:rPr>
        <w:t>De igual forma, los organismos gubernamentales están impedidos de efectuar nombramientos o conceder contratos de servicios profesionales a personas inhábiles, incluyendo aquellas que hayan incurrido en conducta deshonrosa, sean adictas al uso habitual y excesivo de sustancias controladas o bebidas alcohólicas, hayan sido convictas por delitos graves o delitos que impliquen depravación moral, o hayan sido destituidas del servicio público.</w:t>
      </w:r>
    </w:p>
    <w:p w14:paraId="33036AAA" w14:textId="77777777" w:rsidR="00DB2C23" w:rsidRPr="00DB2C23" w:rsidRDefault="00DB2C23" w:rsidP="00DB2C23">
      <w:pPr>
        <w:pStyle w:val="NormalWeb"/>
        <w:jc w:val="both"/>
        <w:rPr>
          <w:rFonts w:ascii="Book Antiqua" w:hAnsi="Book Antiqua"/>
          <w:lang w:val="es-DO"/>
        </w:rPr>
      </w:pPr>
      <w:r w:rsidRPr="00DB2C23">
        <w:rPr>
          <w:rFonts w:ascii="Book Antiqua" w:hAnsi="Book Antiqua"/>
          <w:lang w:val="es-DO"/>
        </w:rPr>
        <w:t>El cumplimiento estricto del requisito de habilitación reviste particular importancia, ya que la Ley Núm. 8 establece que todo funcionario o empleado que, a sabiendas, autorice un nombramiento o contrato en contravención a la Sección 6.8 será personalmente responsable por cualquier suma de dinero indebidamente pagada a la persona nombrada o contratada.</w:t>
      </w:r>
    </w:p>
    <w:p w14:paraId="251FBD79" w14:textId="1D88B75E" w:rsidR="00DB2C23" w:rsidRPr="00DB2C23" w:rsidRDefault="00DB2C23" w:rsidP="00DB2C23">
      <w:pPr>
        <w:pStyle w:val="NormalWeb"/>
        <w:jc w:val="both"/>
        <w:rPr>
          <w:rFonts w:ascii="Book Antiqua" w:hAnsi="Book Antiqua"/>
          <w:lang w:val="es-DO"/>
        </w:rPr>
      </w:pPr>
      <w:r w:rsidRPr="00DB2C23">
        <w:rPr>
          <w:rFonts w:ascii="Book Antiqua" w:hAnsi="Book Antiqua"/>
          <w:lang w:val="es-DO"/>
        </w:rPr>
        <w:lastRenderedPageBreak/>
        <w:t>Asimismo, la legislación reconoce que existen delitos no relacionados directamente con el desempeño en el servicio público —como ciertos casos de agresión o lesiones negligentes— que pueden ser objeto de habilitación. Igualmente, la Ley Núm. 8 permite la habilitación de personas con adicción al uso de drogas o alcohol, una vez cuenten con la certificación correspondiente de la Administración de Servicios de Salud Mental y Contra la Adicción (ASSMCA).</w:t>
      </w:r>
    </w:p>
    <w:p w14:paraId="4DB489E5" w14:textId="77777777" w:rsidR="00DB2C23" w:rsidRPr="00DB2C23" w:rsidRDefault="00DB2C23" w:rsidP="00DB2C23">
      <w:pPr>
        <w:pStyle w:val="NormalWeb"/>
        <w:jc w:val="both"/>
        <w:rPr>
          <w:rFonts w:ascii="Book Antiqua" w:hAnsi="Book Antiqua"/>
          <w:lang w:val="es-DO"/>
        </w:rPr>
      </w:pPr>
      <w:r w:rsidRPr="00DB2C23">
        <w:rPr>
          <w:rFonts w:ascii="Book Antiqua" w:hAnsi="Book Antiqua"/>
          <w:lang w:val="es-DO"/>
        </w:rPr>
        <w:t xml:space="preserve">En síntesis, el marco normativo que rige la administración de los recursos humanos en el servicio público responde a una política pública dirigida a promover la excelencia, la moral y el profesionalismo en quienes ocupan cargos dentro del Gobierno de Puerto Rico. El </w:t>
      </w:r>
      <w:r w:rsidRPr="00DB2C23">
        <w:rPr>
          <w:rStyle w:val="Strong"/>
          <w:rFonts w:ascii="Book Antiqua" w:hAnsi="Book Antiqua"/>
          <w:lang w:val="es-DO"/>
        </w:rPr>
        <w:t>principio de mérito</w:t>
      </w:r>
      <w:r w:rsidRPr="00DB2C23">
        <w:rPr>
          <w:rFonts w:ascii="Book Antiqua" w:hAnsi="Book Antiqua"/>
          <w:lang w:val="es-DO"/>
        </w:rPr>
        <w:t>, como eje rector de la función pública, establece que deben ser los más aptos quienes accedan y permanezcan en el servicio público. Este principio ha prevalecido a través del tiempo y se refleja tanto en la Ley Núm. 8 como en la Ley Núm. 107-2020, Código Municipal de Puerto Rico.</w:t>
      </w:r>
    </w:p>
    <w:p w14:paraId="221B0636" w14:textId="4DA6F240" w:rsidR="00DB2C23" w:rsidRPr="00DB2C23" w:rsidRDefault="00DB2C23" w:rsidP="00DB2C23">
      <w:pPr>
        <w:pStyle w:val="NormalWeb"/>
        <w:jc w:val="both"/>
        <w:rPr>
          <w:rFonts w:ascii="Book Antiqua" w:hAnsi="Book Antiqua"/>
          <w:lang w:val="es-DO"/>
        </w:rPr>
      </w:pPr>
      <w:r w:rsidRPr="00DB2C23">
        <w:rPr>
          <w:rFonts w:ascii="Book Antiqua" w:hAnsi="Book Antiqua"/>
          <w:lang w:val="es-DO"/>
        </w:rPr>
        <w:t xml:space="preserve">Finalmente, dado que la materia que se propone enmendar mediante el P. de la C. 971 se encuentra fuera del ámbito de competencia del Departamento del Trabajo y Recursos Humanos, el DTRH se abstiene de emitir una posición sustantiva sobre la medida. No obstante, considera pertinente que </w:t>
      </w:r>
      <w:r>
        <w:rPr>
          <w:rFonts w:ascii="Book Antiqua" w:hAnsi="Book Antiqua"/>
          <w:lang w:val="es-DO"/>
        </w:rPr>
        <w:t>se</w:t>
      </w:r>
      <w:r w:rsidRPr="00DB2C23">
        <w:rPr>
          <w:rFonts w:ascii="Book Antiqua" w:hAnsi="Book Antiqua"/>
          <w:lang w:val="es-DO"/>
        </w:rPr>
        <w:t xml:space="preserve"> solicite comentarios y recomendaciones tanto a la Federación de </w:t>
      </w:r>
      <w:proofErr w:type="gramStart"/>
      <w:r w:rsidRPr="00DB2C23">
        <w:rPr>
          <w:rFonts w:ascii="Book Antiqua" w:hAnsi="Book Antiqua"/>
          <w:lang w:val="es-DO"/>
        </w:rPr>
        <w:t>Alcaldes</w:t>
      </w:r>
      <w:proofErr w:type="gramEnd"/>
      <w:r w:rsidRPr="00DB2C23">
        <w:rPr>
          <w:rFonts w:ascii="Book Antiqua" w:hAnsi="Book Antiqua"/>
          <w:lang w:val="es-DO"/>
        </w:rPr>
        <w:t xml:space="preserve"> de Puerto Rico como a la Asociación de </w:t>
      </w:r>
      <w:proofErr w:type="gramStart"/>
      <w:r w:rsidRPr="00DB2C23">
        <w:rPr>
          <w:rFonts w:ascii="Book Antiqua" w:hAnsi="Book Antiqua"/>
          <w:lang w:val="es-DO"/>
        </w:rPr>
        <w:t>Alcaldes</w:t>
      </w:r>
      <w:proofErr w:type="gramEnd"/>
      <w:r w:rsidRPr="00DB2C23">
        <w:rPr>
          <w:rFonts w:ascii="Book Antiqua" w:hAnsi="Book Antiqua"/>
          <w:lang w:val="es-DO"/>
        </w:rPr>
        <w:t xml:space="preserve"> de Puerto Rico, en atención a que los municipios se verían directamente impactados por la aprobación de la medida.</w:t>
      </w:r>
    </w:p>
    <w:p w14:paraId="063A1238" w14:textId="2FB53907" w:rsidR="006679D2" w:rsidRDefault="006679D2" w:rsidP="009962C2">
      <w:pPr>
        <w:pStyle w:val="NormalWeb"/>
        <w:jc w:val="both"/>
        <w:rPr>
          <w:rFonts w:ascii="Book Antiqua" w:hAnsi="Book Antiqua"/>
        </w:rPr>
      </w:pPr>
      <w:r w:rsidRPr="00B97D8D">
        <w:rPr>
          <w:rFonts w:ascii="Book Antiqua" w:hAnsi="Book Antiqua"/>
        </w:rPr>
        <w:t xml:space="preserve">La </w:t>
      </w:r>
      <w:r w:rsidRPr="00613C1C">
        <w:rPr>
          <w:rFonts w:ascii="Book Antiqua" w:hAnsi="Book Antiqua"/>
          <w:b/>
          <w:bCs/>
          <w:i/>
          <w:iCs/>
        </w:rPr>
        <w:t xml:space="preserve">Federación de </w:t>
      </w:r>
      <w:proofErr w:type="gramStart"/>
      <w:r w:rsidRPr="00613C1C">
        <w:rPr>
          <w:rFonts w:ascii="Book Antiqua" w:hAnsi="Book Antiqua"/>
          <w:b/>
          <w:bCs/>
          <w:i/>
          <w:iCs/>
        </w:rPr>
        <w:t>Alcaldes</w:t>
      </w:r>
      <w:proofErr w:type="gramEnd"/>
      <w:r w:rsidRPr="00613C1C">
        <w:rPr>
          <w:rFonts w:ascii="Book Antiqua" w:hAnsi="Book Antiqua"/>
          <w:b/>
          <w:bCs/>
          <w:i/>
          <w:iCs/>
        </w:rPr>
        <w:t xml:space="preserve"> de Puerto Rico</w:t>
      </w:r>
      <w:r>
        <w:rPr>
          <w:rFonts w:ascii="Book Antiqua" w:hAnsi="Book Antiqua"/>
          <w:b/>
          <w:bCs/>
          <w:i/>
          <w:iCs/>
        </w:rPr>
        <w:t xml:space="preserve"> (FAPR)</w:t>
      </w:r>
      <w:r w:rsidRPr="00613C1C">
        <w:rPr>
          <w:rFonts w:ascii="Book Antiqua" w:hAnsi="Book Antiqua"/>
          <w:i/>
          <w:iCs/>
        </w:rPr>
        <w:t xml:space="preserve">, </w:t>
      </w:r>
      <w:r>
        <w:rPr>
          <w:rFonts w:ascii="Book Antiqua" w:hAnsi="Book Antiqua"/>
        </w:rPr>
        <w:t xml:space="preserve">compareció con memorial firmado al 12 de enero de 2026, por su </w:t>
      </w:r>
      <w:proofErr w:type="gramStart"/>
      <w:r>
        <w:rPr>
          <w:rFonts w:ascii="Book Antiqua" w:hAnsi="Book Antiqua"/>
        </w:rPr>
        <w:t>Director Ejecutivo</w:t>
      </w:r>
      <w:proofErr w:type="gramEnd"/>
      <w:r>
        <w:rPr>
          <w:rFonts w:ascii="Book Antiqua" w:hAnsi="Book Antiqua"/>
        </w:rPr>
        <w:t xml:space="preserve"> el señor Ángel M. Morales Vázquez y </w:t>
      </w:r>
      <w:r w:rsidRPr="00B97D8D">
        <w:rPr>
          <w:rFonts w:ascii="Book Antiqua" w:hAnsi="Book Antiqua"/>
        </w:rPr>
        <w:t xml:space="preserve">expresó su </w:t>
      </w:r>
      <w:proofErr w:type="gramStart"/>
      <w:r w:rsidRPr="00B97D8D">
        <w:rPr>
          <w:rFonts w:ascii="Book Antiqua" w:hAnsi="Book Antiqua"/>
        </w:rPr>
        <w:t>apoyo  a</w:t>
      </w:r>
      <w:proofErr w:type="gramEnd"/>
      <w:r w:rsidRPr="00B97D8D">
        <w:rPr>
          <w:rFonts w:ascii="Book Antiqua" w:hAnsi="Book Antiqua"/>
        </w:rPr>
        <w:t xml:space="preserve"> la medida</w:t>
      </w:r>
      <w:r>
        <w:rPr>
          <w:rFonts w:ascii="Book Antiqua" w:hAnsi="Book Antiqua"/>
        </w:rPr>
        <w:t xml:space="preserve">, expresando que </w:t>
      </w:r>
      <w:r>
        <w:rPr>
          <w:rFonts w:ascii="Book Antiqua" w:hAnsi="Book Antiqua"/>
          <w:lang w:val="es-ES"/>
        </w:rPr>
        <w:t>la</w:t>
      </w:r>
      <w:r w:rsidRPr="006679D2">
        <w:rPr>
          <w:rFonts w:ascii="Book Antiqua" w:hAnsi="Book Antiqua"/>
          <w:lang w:val="es-ES"/>
        </w:rPr>
        <w:t xml:space="preserve"> pieza legislativa es un acierto en cuanto a técnica normativa. Al restituir lenguaje omitido y clarificar la delegación de funciones relacionadas con la habilitación de empleados públicos, se evitan inconsistencias y ambigüedades que pueden afectar el reclutamiento y la gestión de personal municipal. La precisión del texto legal contribuye a una administración más eficiente, reduce espacios de interpretación errática y evita intervenciones innecesarias del Estado, lo que a su vez minimiza costos administrativos para los municipios. La</w:t>
      </w:r>
      <w:r w:rsidRPr="006679D2">
        <w:rPr>
          <w:rFonts w:ascii="Book Antiqua" w:hAnsi="Book Antiqua"/>
          <w:b/>
          <w:bCs/>
          <w:lang w:val="es-ES"/>
        </w:rPr>
        <w:t xml:space="preserve"> </w:t>
      </w:r>
      <w:r w:rsidRPr="006679D2">
        <w:rPr>
          <w:rFonts w:ascii="Book Antiqua" w:hAnsi="Book Antiqua"/>
          <w:lang w:val="es-ES"/>
        </w:rPr>
        <w:t>FAPR entiende que la medida fortalece la estabilidad del marco jurídico aplicable al servicio público municipal y mejora su operatividad sin alterar contenido sustantivo ni política pública relevante</w:t>
      </w:r>
    </w:p>
    <w:p w14:paraId="7E80B211" w14:textId="20FF8911" w:rsidR="009962C2" w:rsidRPr="009962C2" w:rsidRDefault="009962C2" w:rsidP="009962C2">
      <w:pPr>
        <w:pStyle w:val="NormalWeb"/>
        <w:jc w:val="both"/>
        <w:rPr>
          <w:rFonts w:ascii="Book Antiqua" w:hAnsi="Book Antiqua"/>
        </w:rPr>
      </w:pPr>
      <w:r w:rsidRPr="009962C2">
        <w:rPr>
          <w:rFonts w:ascii="Book Antiqua" w:hAnsi="Book Antiqua"/>
        </w:rPr>
        <w:t xml:space="preserve">En lo que respecta a la </w:t>
      </w:r>
      <w:r w:rsidRPr="009962C2">
        <w:rPr>
          <w:rFonts w:ascii="Book Antiqua" w:hAnsi="Book Antiqua"/>
          <w:b/>
          <w:bCs/>
          <w:i/>
          <w:iCs/>
        </w:rPr>
        <w:t>Oficina de Administración y Transformación de los Recursos Humanos (OATRH),</w:t>
      </w:r>
      <w:r w:rsidRPr="009962C2">
        <w:rPr>
          <w:rFonts w:ascii="Book Antiqua" w:hAnsi="Book Antiqua"/>
        </w:rPr>
        <w:t xml:space="preserve"> la Ley Núm. 8-2017, según enmendada, conocida como la </w:t>
      </w:r>
      <w:r w:rsidRPr="009962C2">
        <w:rPr>
          <w:rStyle w:val="Emphasis"/>
          <w:rFonts w:ascii="Book Antiqua" w:hAnsi="Book Antiqua"/>
        </w:rPr>
        <w:t>“Ley para la Administración y Transformación de los Recursos Humanos en el Gobierno de Puerto Rico”</w:t>
      </w:r>
      <w:r w:rsidRPr="009962C2">
        <w:rPr>
          <w:rFonts w:ascii="Book Antiqua" w:hAnsi="Book Antiqua"/>
        </w:rPr>
        <w:t xml:space="preserve">, asigna a su </w:t>
      </w:r>
      <w:proofErr w:type="gramStart"/>
      <w:r w:rsidRPr="009962C2">
        <w:rPr>
          <w:rFonts w:ascii="Book Antiqua" w:hAnsi="Book Antiqua"/>
        </w:rPr>
        <w:t>Director</w:t>
      </w:r>
      <w:proofErr w:type="gramEnd"/>
      <w:r w:rsidRPr="009962C2">
        <w:rPr>
          <w:rFonts w:ascii="Book Antiqua" w:hAnsi="Book Antiqua"/>
        </w:rPr>
        <w:t xml:space="preserve"> la función de asesorar a la Gobernadora y a la Asamblea Legislativa en todo lo relativo a las relaciones laborales y a la administración de los recursos humanos en el servicio público.</w:t>
      </w:r>
    </w:p>
    <w:p w14:paraId="2A3C37F4" w14:textId="77777777" w:rsidR="009962C2" w:rsidRPr="009962C2" w:rsidRDefault="009962C2" w:rsidP="009962C2">
      <w:pPr>
        <w:pStyle w:val="NormalWeb"/>
        <w:jc w:val="both"/>
        <w:rPr>
          <w:rFonts w:ascii="Book Antiqua" w:hAnsi="Book Antiqua"/>
        </w:rPr>
      </w:pPr>
      <w:r w:rsidRPr="009962C2">
        <w:rPr>
          <w:rFonts w:ascii="Book Antiqua" w:hAnsi="Book Antiqua"/>
        </w:rPr>
        <w:lastRenderedPageBreak/>
        <w:t xml:space="preserve">En el ejercicio de las facultades atribuidas por su Ley Orgánica y en respuesta a la solicitud recibida, la OATRH emitió los siguientes comentarios. En primer lugar, destacó que entre sus deberes principales se encuentra </w:t>
      </w:r>
      <w:r w:rsidRPr="009962C2">
        <w:rPr>
          <w:rStyle w:val="Strong"/>
          <w:rFonts w:ascii="Book Antiqua" w:eastAsia="Batang" w:hAnsi="Book Antiqua"/>
        </w:rPr>
        <w:t>asegurar y garantizar la transparencia en la aplicación del principio de mérito</w:t>
      </w:r>
      <w:r w:rsidRPr="009962C2">
        <w:rPr>
          <w:rFonts w:ascii="Book Antiqua" w:hAnsi="Book Antiqua"/>
        </w:rPr>
        <w:t xml:space="preserve"> en la administración del servicio público. De igual forma, la OATRH provee asesoramiento y asistencia especializada en materia de recursos humanos y asuntos laborales a las agencias de la Rama Ejecutiva.</w:t>
      </w:r>
    </w:p>
    <w:p w14:paraId="633B5631" w14:textId="77777777" w:rsidR="009962C2" w:rsidRPr="009962C2" w:rsidRDefault="009962C2" w:rsidP="009962C2">
      <w:pPr>
        <w:pStyle w:val="NormalWeb"/>
        <w:jc w:val="both"/>
        <w:rPr>
          <w:rFonts w:ascii="Book Antiqua" w:hAnsi="Book Antiqua"/>
        </w:rPr>
      </w:pPr>
      <w:r w:rsidRPr="009962C2">
        <w:rPr>
          <w:rFonts w:ascii="Book Antiqua" w:hAnsi="Book Antiqua"/>
        </w:rPr>
        <w:t xml:space="preserve">Asimismo, la OATRH es la entidad responsable de implantar y velar por el funcionamiento del </w:t>
      </w:r>
      <w:r w:rsidRPr="009962C2">
        <w:rPr>
          <w:rStyle w:val="Strong"/>
          <w:rFonts w:ascii="Book Antiqua" w:eastAsia="Batang" w:hAnsi="Book Antiqua"/>
        </w:rPr>
        <w:t>Sistema de Administración y Transformación de los Recursos Humanos del Gobierno de Puerto Rico</w:t>
      </w:r>
      <w:r w:rsidRPr="009962C2">
        <w:rPr>
          <w:rFonts w:ascii="Book Antiqua" w:hAnsi="Book Antiqua"/>
        </w:rPr>
        <w:t>, conforme a la política pública vigente.</w:t>
      </w:r>
    </w:p>
    <w:p w14:paraId="76668BBC" w14:textId="77777777" w:rsidR="009962C2" w:rsidRPr="009962C2" w:rsidRDefault="009962C2" w:rsidP="009962C2">
      <w:pPr>
        <w:pStyle w:val="NormalWeb"/>
        <w:jc w:val="both"/>
        <w:rPr>
          <w:rFonts w:ascii="Book Antiqua" w:hAnsi="Book Antiqua"/>
        </w:rPr>
      </w:pPr>
      <w:r w:rsidRPr="009962C2">
        <w:rPr>
          <w:rFonts w:ascii="Book Antiqua" w:hAnsi="Book Antiqua"/>
        </w:rPr>
        <w:t xml:space="preserve">A esos efectos, luego de evaluar el proyecto y constatar la referencia y armonización con el Código Municipal de Puerto Rico, Ley Núm. 107-2020, la OATRH señaló la importancia de </w:t>
      </w:r>
      <w:r w:rsidRPr="009962C2">
        <w:rPr>
          <w:rStyle w:val="Strong"/>
          <w:rFonts w:ascii="Book Antiqua" w:eastAsia="Batang" w:hAnsi="Book Antiqua"/>
        </w:rPr>
        <w:t>restituir el lenguaje omitido en el Artículo 2.048 de dicha ley</w:t>
      </w:r>
      <w:r w:rsidRPr="009962C2">
        <w:rPr>
          <w:rFonts w:ascii="Book Antiqua" w:hAnsi="Book Antiqua"/>
        </w:rPr>
        <w:t>, manteniendo a su vez la intención legislativa expresada en la Ley Núm. 40-2025, la cual devolvió a la OATRH la facultad de habilitar empleados para el servicio público.</w:t>
      </w:r>
    </w:p>
    <w:p w14:paraId="570BA7C0" w14:textId="77777777" w:rsidR="009962C2" w:rsidRPr="009962C2" w:rsidRDefault="009962C2" w:rsidP="009962C2">
      <w:pPr>
        <w:pStyle w:val="NormalWeb"/>
        <w:jc w:val="both"/>
        <w:rPr>
          <w:rFonts w:ascii="Book Antiqua" w:hAnsi="Book Antiqua"/>
        </w:rPr>
      </w:pPr>
      <w:r w:rsidRPr="009962C2">
        <w:rPr>
          <w:rFonts w:ascii="Book Antiqua" w:hAnsi="Book Antiqua"/>
        </w:rPr>
        <w:t xml:space="preserve">Conforme a lo anterior, la Oficina de Administración y Transformación de los Recursos Humanos </w:t>
      </w:r>
      <w:r w:rsidRPr="009962C2">
        <w:rPr>
          <w:rStyle w:val="Strong"/>
          <w:rFonts w:ascii="Book Antiqua" w:eastAsia="Batang" w:hAnsi="Book Antiqua"/>
        </w:rPr>
        <w:t>no presenta objeción</w:t>
      </w:r>
      <w:r w:rsidRPr="009962C2">
        <w:rPr>
          <w:rFonts w:ascii="Book Antiqua" w:hAnsi="Book Antiqua"/>
        </w:rPr>
        <w:t xml:space="preserve"> a la aprobación del Proyecto de la Cámara 971.</w:t>
      </w:r>
    </w:p>
    <w:p w14:paraId="1460AAD4" w14:textId="7BCCF6C9" w:rsidR="00721BCE" w:rsidRPr="00BB54F0" w:rsidRDefault="00214189" w:rsidP="00BB54F0">
      <w:pPr>
        <w:pStyle w:val="NormalWeb"/>
        <w:jc w:val="center"/>
        <w:rPr>
          <w:rFonts w:ascii="Book Antiqua" w:hAnsi="Book Antiqua"/>
          <w:b/>
          <w:i/>
          <w:smallCaps/>
          <w:color w:val="000000" w:themeColor="text1"/>
          <w:lang w:val="es-ES_tradnl"/>
        </w:rPr>
      </w:pPr>
      <w:r w:rsidRPr="00721BCE">
        <w:rPr>
          <w:rFonts w:ascii="Book Antiqua" w:hAnsi="Book Antiqua"/>
          <w:b/>
          <w:i/>
          <w:smallCaps/>
          <w:color w:val="000000" w:themeColor="text1"/>
          <w:lang w:val="es-ES_tradnl"/>
        </w:rPr>
        <w:t>Enmiendas Recomendadas</w:t>
      </w:r>
    </w:p>
    <w:p w14:paraId="3E2C4E2A" w14:textId="77777777" w:rsidR="009962C2" w:rsidRPr="009962C2" w:rsidRDefault="009962C2" w:rsidP="009962C2">
      <w:pPr>
        <w:pStyle w:val="NormalWeb"/>
        <w:jc w:val="both"/>
        <w:rPr>
          <w:rFonts w:ascii="Book Antiqua" w:hAnsi="Book Antiqua"/>
        </w:rPr>
      </w:pPr>
      <w:r w:rsidRPr="009962C2">
        <w:rPr>
          <w:rFonts w:ascii="Book Antiqua" w:hAnsi="Book Antiqua"/>
        </w:rPr>
        <w:t xml:space="preserve">Como parte del proceso de revisión técnica y sustantiva del Proyecto de la Cámara 971, se incorporaron diversas enmiendas con el propósito de </w:t>
      </w:r>
      <w:r w:rsidRPr="009962C2">
        <w:rPr>
          <w:rStyle w:val="Strong"/>
          <w:rFonts w:ascii="Book Antiqua" w:hAnsi="Book Antiqua"/>
        </w:rPr>
        <w:t>mejorar la claridad, precisión normativa y coherencia jurídica</w:t>
      </w:r>
      <w:r w:rsidRPr="009962C2">
        <w:rPr>
          <w:rFonts w:ascii="Book Antiqua" w:hAnsi="Book Antiqua"/>
        </w:rPr>
        <w:t xml:space="preserve"> de la medida, asegurando su adecuada armonización con el marco legal vigente aplicable al servicio público municipal.</w:t>
      </w:r>
    </w:p>
    <w:p w14:paraId="44BF6BA9" w14:textId="77777777" w:rsidR="009962C2" w:rsidRPr="009962C2" w:rsidRDefault="009962C2" w:rsidP="009962C2">
      <w:pPr>
        <w:pStyle w:val="NormalWeb"/>
        <w:jc w:val="both"/>
        <w:rPr>
          <w:rFonts w:ascii="Book Antiqua" w:hAnsi="Book Antiqua"/>
        </w:rPr>
      </w:pPr>
      <w:r w:rsidRPr="009962C2">
        <w:rPr>
          <w:rFonts w:ascii="Book Antiqua" w:hAnsi="Book Antiqua"/>
        </w:rPr>
        <w:t xml:space="preserve">En cuanto al </w:t>
      </w:r>
      <w:r w:rsidRPr="009962C2">
        <w:rPr>
          <w:rStyle w:val="Strong"/>
          <w:rFonts w:ascii="Book Antiqua" w:hAnsi="Book Antiqua"/>
        </w:rPr>
        <w:t>Título del Proyecto</w:t>
      </w:r>
      <w:r w:rsidRPr="009962C2">
        <w:rPr>
          <w:rFonts w:ascii="Book Antiqua" w:hAnsi="Book Antiqua"/>
        </w:rPr>
        <w:t xml:space="preserve">, se eliminó la frase genérica “realizar enmiendas técnicas” y se sustituyó por un lenguaje más descriptivo y sustantivo, a fin de reflejar con mayor exactitud el alcance y la intención legislativa de la medida. En particular, se añadió el lenguaje dirigido a </w:t>
      </w:r>
      <w:r w:rsidRPr="009962C2">
        <w:rPr>
          <w:rStyle w:val="Strong"/>
          <w:rFonts w:ascii="Book Antiqua" w:hAnsi="Book Antiqua"/>
        </w:rPr>
        <w:t>restablecer dentro de las Condiciones Generales para el Ingreso al Servicio Público Municipal el requisito de que el solicitante no haya sometido ni intentado someter información falsa, incorrecta o engañosa</w:t>
      </w:r>
      <w:r w:rsidRPr="009962C2">
        <w:rPr>
          <w:rFonts w:ascii="Book Antiqua" w:hAnsi="Book Antiqua"/>
        </w:rPr>
        <w:t xml:space="preserve"> en solicitudes de examen, procesos de reclutamiento o solicitudes de empleo. Esta modificación persigue reforzar los principios de transparencia, integridad y mérito que rigen el acceso al servicio público.</w:t>
      </w:r>
    </w:p>
    <w:p w14:paraId="7E921A64" w14:textId="77777777" w:rsidR="009962C2" w:rsidRPr="009962C2" w:rsidRDefault="009962C2" w:rsidP="009962C2">
      <w:pPr>
        <w:pStyle w:val="NormalWeb"/>
        <w:jc w:val="both"/>
        <w:rPr>
          <w:rFonts w:ascii="Book Antiqua" w:hAnsi="Book Antiqua"/>
        </w:rPr>
      </w:pPr>
      <w:r w:rsidRPr="009962C2">
        <w:rPr>
          <w:rFonts w:ascii="Book Antiqua" w:hAnsi="Book Antiqua"/>
        </w:rPr>
        <w:t xml:space="preserve">De igual forma, en la </w:t>
      </w:r>
      <w:r w:rsidRPr="009962C2">
        <w:rPr>
          <w:rStyle w:val="Strong"/>
          <w:rFonts w:ascii="Book Antiqua" w:hAnsi="Book Antiqua"/>
        </w:rPr>
        <w:t>Exposición de Motivos</w:t>
      </w:r>
      <w:r w:rsidRPr="009962C2">
        <w:rPr>
          <w:rFonts w:ascii="Book Antiqua" w:hAnsi="Book Antiqua"/>
        </w:rPr>
        <w:t xml:space="preserve">, específicamente en la </w:t>
      </w:r>
      <w:r w:rsidRPr="009962C2">
        <w:rPr>
          <w:rStyle w:val="Strong"/>
          <w:rFonts w:ascii="Book Antiqua" w:hAnsi="Book Antiqua"/>
        </w:rPr>
        <w:t>página 2, primer párrafo</w:t>
      </w:r>
      <w:r w:rsidRPr="009962C2">
        <w:rPr>
          <w:rFonts w:ascii="Book Antiqua" w:hAnsi="Book Antiqua"/>
        </w:rPr>
        <w:t>, se añadió lenguaje explicativo adicional con el fin de desarrollar de manera más clara y detallada el propósito de la medida. Dicho lenguaje amplía la justificación legislativa al destacar la importancia de preservar la confianza pública en los procesos de reclutamiento municipal y de garantizar que el ingreso al servicio público se base en información veraz, completa y confiable, conforme a los principios rectores de la administración pública</w:t>
      </w:r>
    </w:p>
    <w:p w14:paraId="0513540A" w14:textId="67D76640" w:rsidR="00721BCE" w:rsidRDefault="004000AE" w:rsidP="009962C2">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lastRenderedPageBreak/>
        <w:t xml:space="preserve">Análisis </w:t>
      </w:r>
      <w:r w:rsidR="00C646DB" w:rsidRPr="00FF33FB">
        <w:rPr>
          <w:rFonts w:ascii="Book Antiqua" w:hAnsi="Book Antiqua"/>
          <w:b/>
          <w:i/>
          <w:smallCaps/>
          <w:color w:val="000000" w:themeColor="text1"/>
          <w:szCs w:val="24"/>
          <w:lang w:val="es-ES_tradnl"/>
        </w:rPr>
        <w:t>De la Medida</w:t>
      </w:r>
    </w:p>
    <w:p w14:paraId="314C014C" w14:textId="5085B10C" w:rsidR="00D33C52" w:rsidRPr="00D33C52" w:rsidRDefault="00D33C52" w:rsidP="00D33C52">
      <w:pPr>
        <w:pStyle w:val="NormalWeb"/>
        <w:jc w:val="both"/>
        <w:rPr>
          <w:rFonts w:ascii="Book Antiqua" w:hAnsi="Book Antiqua"/>
        </w:rPr>
      </w:pPr>
      <w:r w:rsidRPr="00D33C52">
        <w:rPr>
          <w:rFonts w:ascii="Book Antiqua" w:hAnsi="Book Antiqua"/>
        </w:rPr>
        <w:t xml:space="preserve">Desde el punto de vista </w:t>
      </w:r>
      <w:r>
        <w:rPr>
          <w:rFonts w:ascii="Book Antiqua" w:hAnsi="Book Antiqua"/>
        </w:rPr>
        <w:t>legislativo</w:t>
      </w:r>
      <w:r w:rsidRPr="00D33C52">
        <w:rPr>
          <w:rFonts w:ascii="Book Antiqua" w:hAnsi="Book Antiqua"/>
        </w:rPr>
        <w:t>, el P</w:t>
      </w:r>
      <w:r>
        <w:rPr>
          <w:rFonts w:ascii="Book Antiqua" w:hAnsi="Book Antiqua"/>
        </w:rPr>
        <w:t>.</w:t>
      </w:r>
      <w:r w:rsidRPr="00D33C52">
        <w:rPr>
          <w:rFonts w:ascii="Book Antiqua" w:hAnsi="Book Antiqua"/>
        </w:rPr>
        <w:t xml:space="preserve"> de la C</w:t>
      </w:r>
      <w:r>
        <w:rPr>
          <w:rFonts w:ascii="Book Antiqua" w:hAnsi="Book Antiqua"/>
        </w:rPr>
        <w:t xml:space="preserve">. </w:t>
      </w:r>
      <w:r w:rsidRPr="00D33C52">
        <w:rPr>
          <w:rFonts w:ascii="Book Antiqua" w:hAnsi="Book Antiqua"/>
        </w:rPr>
        <w:t xml:space="preserve">971 cumple una función </w:t>
      </w:r>
      <w:r w:rsidRPr="00D33C52">
        <w:rPr>
          <w:rStyle w:val="Strong"/>
          <w:rFonts w:ascii="Book Antiqua" w:hAnsi="Book Antiqua"/>
        </w:rPr>
        <w:t xml:space="preserve">correctiva  </w:t>
      </w:r>
      <w:r w:rsidRPr="00D33C52">
        <w:rPr>
          <w:rFonts w:ascii="Book Antiqua" w:hAnsi="Book Antiqua"/>
        </w:rPr>
        <w:t xml:space="preserve"> al atender una omisión normativa surgida tras la aprobación de la </w:t>
      </w:r>
      <w:r w:rsidRPr="00D33C52">
        <w:rPr>
          <w:rStyle w:val="Strong"/>
          <w:rFonts w:ascii="Book Antiqua" w:hAnsi="Book Antiqua"/>
        </w:rPr>
        <w:t>Ley Núm. 40-2025</w:t>
      </w:r>
      <w:r w:rsidRPr="00D33C52">
        <w:rPr>
          <w:rFonts w:ascii="Book Antiqua" w:hAnsi="Book Antiqua"/>
        </w:rPr>
        <w:t xml:space="preserve">. Si bien dicha ley restituyó correctamente a </w:t>
      </w:r>
      <w:r w:rsidR="00364069" w:rsidRPr="00D33C52">
        <w:rPr>
          <w:rFonts w:ascii="Book Antiqua" w:hAnsi="Book Antiqua"/>
        </w:rPr>
        <w:t xml:space="preserve">la </w:t>
      </w:r>
      <w:r w:rsidR="00364069" w:rsidRPr="00D33C52">
        <w:rPr>
          <w:rStyle w:val="Strong"/>
          <w:rFonts w:ascii="Book Antiqua" w:hAnsi="Book Antiqua"/>
          <w:b w:val="0"/>
          <w:bCs w:val="0"/>
        </w:rPr>
        <w:t>OATRH</w:t>
      </w:r>
      <w:r w:rsidRPr="00D33C52">
        <w:rPr>
          <w:rFonts w:ascii="Book Antiqua" w:hAnsi="Book Antiqua"/>
          <w:b/>
          <w:bCs/>
        </w:rPr>
        <w:t xml:space="preserve"> </w:t>
      </w:r>
      <w:r w:rsidRPr="00D33C52">
        <w:rPr>
          <w:rFonts w:ascii="Book Antiqua" w:hAnsi="Book Antiqua"/>
        </w:rPr>
        <w:t xml:space="preserve">la facultad de habilitar empleados para el servicio público, las enmiendas introducidas al </w:t>
      </w:r>
      <w:r w:rsidRPr="00D33C52">
        <w:rPr>
          <w:rStyle w:val="Strong"/>
          <w:rFonts w:ascii="Book Antiqua" w:hAnsi="Book Antiqua"/>
          <w:b w:val="0"/>
          <w:bCs w:val="0"/>
        </w:rPr>
        <w:t>Artículo 2.048 del Código Municipal de Puerto Rico</w:t>
      </w:r>
      <w:r w:rsidRPr="00D33C52">
        <w:rPr>
          <w:rFonts w:ascii="Book Antiqua" w:hAnsi="Book Antiqua"/>
        </w:rPr>
        <w:t xml:space="preserve"> no reflejaron en su totalidad el lenguaje vigente previo, lo que provocó un </w:t>
      </w:r>
      <w:r w:rsidRPr="00121062">
        <w:rPr>
          <w:rStyle w:val="Strong"/>
          <w:rFonts w:ascii="Book Antiqua" w:hAnsi="Book Antiqua"/>
          <w:b w:val="0"/>
          <w:bCs w:val="0"/>
        </w:rPr>
        <w:t>vacío interpretativo</w:t>
      </w:r>
      <w:r w:rsidRPr="00D33C52">
        <w:rPr>
          <w:rFonts w:ascii="Book Antiqua" w:hAnsi="Book Antiqua"/>
        </w:rPr>
        <w:t xml:space="preserve"> respecto a las condiciones generales de ingreso al servicio público municipal. </w:t>
      </w:r>
    </w:p>
    <w:p w14:paraId="4BDA8864" w14:textId="34F4A631" w:rsidR="00D33C52" w:rsidRPr="00D33C52" w:rsidRDefault="00D33C52" w:rsidP="00D33C52">
      <w:pPr>
        <w:pStyle w:val="NormalWeb"/>
        <w:jc w:val="both"/>
        <w:rPr>
          <w:rFonts w:ascii="Book Antiqua" w:hAnsi="Book Antiqua"/>
        </w:rPr>
      </w:pPr>
      <w:r w:rsidRPr="00D33C52">
        <w:rPr>
          <w:rFonts w:ascii="Book Antiqua" w:hAnsi="Book Antiqua"/>
        </w:rPr>
        <w:t xml:space="preserve">En ese contexto, resulta pertinente destacar el señalamiento realizado por la </w:t>
      </w:r>
      <w:r w:rsidRPr="00B4425A">
        <w:rPr>
          <w:rStyle w:val="Strong"/>
          <w:rFonts w:ascii="Book Antiqua" w:hAnsi="Book Antiqua"/>
          <w:b w:val="0"/>
          <w:bCs w:val="0"/>
        </w:rPr>
        <w:t>A</w:t>
      </w:r>
      <w:r w:rsidRPr="00121062">
        <w:rPr>
          <w:rStyle w:val="Strong"/>
          <w:rFonts w:ascii="Book Antiqua" w:hAnsi="Book Antiqua"/>
          <w:b w:val="0"/>
          <w:bCs w:val="0"/>
        </w:rPr>
        <w:t xml:space="preserve">sociación de </w:t>
      </w:r>
      <w:proofErr w:type="gramStart"/>
      <w:r w:rsidRPr="00121062">
        <w:rPr>
          <w:rStyle w:val="Strong"/>
          <w:rFonts w:ascii="Book Antiqua" w:hAnsi="Book Antiqua"/>
          <w:b w:val="0"/>
          <w:bCs w:val="0"/>
        </w:rPr>
        <w:t>Alcaldes</w:t>
      </w:r>
      <w:proofErr w:type="gramEnd"/>
      <w:r w:rsidRPr="00D33C52">
        <w:rPr>
          <w:rStyle w:val="Strong"/>
          <w:rFonts w:ascii="Book Antiqua" w:hAnsi="Book Antiqua"/>
        </w:rPr>
        <w:t xml:space="preserve"> </w:t>
      </w:r>
      <w:r w:rsidRPr="00D33C52">
        <w:rPr>
          <w:rFonts w:ascii="Book Antiqua" w:hAnsi="Book Antiqua"/>
        </w:rPr>
        <w:t xml:space="preserve">la cual advirtió que la </w:t>
      </w:r>
      <w:r w:rsidRPr="00121062">
        <w:rPr>
          <w:rStyle w:val="Strong"/>
          <w:rFonts w:ascii="Book Antiqua" w:hAnsi="Book Antiqua"/>
          <w:b w:val="0"/>
          <w:bCs w:val="0"/>
        </w:rPr>
        <w:t>Ley Núm. 22 de 2 de junio de 2025</w:t>
      </w:r>
      <w:r w:rsidRPr="00D33C52">
        <w:rPr>
          <w:rFonts w:ascii="Book Antiqua" w:hAnsi="Book Antiqua"/>
        </w:rPr>
        <w:t xml:space="preserve"> ya había enmendado el Artículo 2.048 del Código Municipal para </w:t>
      </w:r>
      <w:r w:rsidRPr="00B4425A">
        <w:rPr>
          <w:rStyle w:val="Strong"/>
          <w:rFonts w:ascii="Book Antiqua" w:hAnsi="Book Antiqua"/>
          <w:b w:val="0"/>
          <w:bCs w:val="0"/>
        </w:rPr>
        <w:t>re</w:t>
      </w:r>
      <w:r w:rsidRPr="00121062">
        <w:rPr>
          <w:rStyle w:val="Strong"/>
          <w:rFonts w:ascii="Book Antiqua" w:hAnsi="Book Antiqua"/>
          <w:b w:val="0"/>
          <w:bCs w:val="0"/>
        </w:rPr>
        <w:t>numerar los incisos del (1) al (7)</w:t>
      </w:r>
      <w:r w:rsidRPr="00121062">
        <w:rPr>
          <w:rFonts w:ascii="Book Antiqua" w:hAnsi="Book Antiqua"/>
          <w:b/>
          <w:bCs/>
        </w:rPr>
        <w:t xml:space="preserve">, </w:t>
      </w:r>
      <w:r w:rsidRPr="00121062">
        <w:rPr>
          <w:rStyle w:val="Strong"/>
          <w:rFonts w:ascii="Book Antiqua" w:hAnsi="Book Antiqua"/>
          <w:b w:val="0"/>
          <w:bCs w:val="0"/>
        </w:rPr>
        <w:t>incluir un nuevo inciso (4)</w:t>
      </w:r>
      <w:r w:rsidRPr="00121062">
        <w:rPr>
          <w:rFonts w:ascii="Book Antiqua" w:hAnsi="Book Antiqua"/>
          <w:b/>
          <w:bCs/>
        </w:rPr>
        <w:t xml:space="preserve">, </w:t>
      </w:r>
      <w:r w:rsidRPr="00D33C52">
        <w:rPr>
          <w:rFonts w:ascii="Book Antiqua" w:hAnsi="Book Antiqua"/>
        </w:rPr>
        <w:t xml:space="preserve">renumerar los subsiguientes incisos del (5) al (7), </w:t>
      </w:r>
      <w:r w:rsidRPr="00121062">
        <w:rPr>
          <w:rStyle w:val="Strong"/>
          <w:rFonts w:ascii="Book Antiqua" w:hAnsi="Book Antiqua"/>
          <w:b w:val="0"/>
          <w:bCs w:val="0"/>
        </w:rPr>
        <w:t>añadir un inciso (8)</w:t>
      </w:r>
      <w:r w:rsidRPr="00D33C52">
        <w:rPr>
          <w:rFonts w:ascii="Book Antiqua" w:hAnsi="Book Antiqua"/>
        </w:rPr>
        <w:t xml:space="preserve"> y </w:t>
      </w:r>
      <w:r w:rsidRPr="00121062">
        <w:rPr>
          <w:rStyle w:val="Strong"/>
          <w:rFonts w:ascii="Book Antiqua" w:hAnsi="Book Antiqua"/>
          <w:b w:val="0"/>
          <w:bCs w:val="0"/>
        </w:rPr>
        <w:t>modificar el número de causales aplicables de cinco (5) a seis (6)</w:t>
      </w:r>
      <w:r w:rsidRPr="00D33C52">
        <w:rPr>
          <w:rFonts w:ascii="Book Antiqua" w:hAnsi="Book Antiqua"/>
        </w:rPr>
        <w:t>. No obstante, dicha entidad</w:t>
      </w:r>
      <w:r w:rsidR="00121062">
        <w:rPr>
          <w:rFonts w:ascii="Book Antiqua" w:hAnsi="Book Antiqua"/>
        </w:rPr>
        <w:t xml:space="preserve">, no </w:t>
      </w:r>
      <w:r w:rsidR="00B4425A">
        <w:rPr>
          <w:rFonts w:ascii="Book Antiqua" w:hAnsi="Book Antiqua"/>
        </w:rPr>
        <w:t xml:space="preserve">menciona </w:t>
      </w:r>
      <w:r w:rsidR="00B4425A" w:rsidRPr="00D33C52">
        <w:rPr>
          <w:rFonts w:ascii="Book Antiqua" w:hAnsi="Book Antiqua"/>
        </w:rPr>
        <w:t>que</w:t>
      </w:r>
      <w:r w:rsidRPr="00D33C52">
        <w:rPr>
          <w:rFonts w:ascii="Book Antiqua" w:hAnsi="Book Antiqua"/>
        </w:rPr>
        <w:t xml:space="preserve"> </w:t>
      </w:r>
      <w:r w:rsidR="00B4425A">
        <w:rPr>
          <w:rFonts w:ascii="Book Antiqua" w:hAnsi="Book Antiqua"/>
        </w:rPr>
        <w:tab/>
      </w:r>
      <w:r w:rsidRPr="00D33C52">
        <w:rPr>
          <w:rFonts w:ascii="Book Antiqua" w:hAnsi="Book Antiqua"/>
        </w:rPr>
        <w:t xml:space="preserve">la confusión normativa surge porque la </w:t>
      </w:r>
      <w:r w:rsidRPr="00B4425A">
        <w:rPr>
          <w:rStyle w:val="Strong"/>
          <w:rFonts w:ascii="Book Antiqua" w:hAnsi="Book Antiqua"/>
          <w:b w:val="0"/>
          <w:bCs w:val="0"/>
        </w:rPr>
        <w:t>L</w:t>
      </w:r>
      <w:r w:rsidRPr="00121062">
        <w:rPr>
          <w:rStyle w:val="Strong"/>
          <w:rFonts w:ascii="Book Antiqua" w:hAnsi="Book Antiqua"/>
          <w:b w:val="0"/>
          <w:bCs w:val="0"/>
        </w:rPr>
        <w:t>ey Núm. 40 de 8 de julio de 2025</w:t>
      </w:r>
      <w:r w:rsidRPr="00D33C52">
        <w:rPr>
          <w:rFonts w:ascii="Book Antiqua" w:hAnsi="Book Antiqua"/>
        </w:rPr>
        <w:t>, una ley</w:t>
      </w:r>
      <w:r w:rsidRPr="00121062">
        <w:rPr>
          <w:rFonts w:ascii="Book Antiqua" w:hAnsi="Book Antiqua"/>
        </w:rPr>
        <w:t xml:space="preserve"> </w:t>
      </w:r>
      <w:r w:rsidRPr="00121062">
        <w:rPr>
          <w:rStyle w:val="Strong"/>
          <w:rFonts w:ascii="Book Antiqua" w:hAnsi="Book Antiqua"/>
        </w:rPr>
        <w:t>posterior</w:t>
      </w:r>
      <w:r w:rsidRPr="00121062">
        <w:rPr>
          <w:rFonts w:ascii="Book Antiqua" w:hAnsi="Book Antiqua"/>
        </w:rPr>
        <w:t xml:space="preserve"> </w:t>
      </w:r>
      <w:r w:rsidRPr="00D33C52">
        <w:rPr>
          <w:rFonts w:ascii="Book Antiqua" w:hAnsi="Book Antiqua"/>
        </w:rPr>
        <w:t xml:space="preserve">a la Ley 22-2025, </w:t>
      </w:r>
      <w:r w:rsidRPr="00121062">
        <w:rPr>
          <w:rStyle w:val="Strong"/>
          <w:rFonts w:ascii="Book Antiqua" w:hAnsi="Book Antiqua"/>
          <w:b w:val="0"/>
          <w:bCs w:val="0"/>
        </w:rPr>
        <w:t>eliminó el texto previamente incorporado</w:t>
      </w:r>
      <w:r w:rsidRPr="00121062">
        <w:rPr>
          <w:rFonts w:ascii="Book Antiqua" w:hAnsi="Book Antiqua"/>
          <w:b/>
          <w:bCs/>
        </w:rPr>
        <w:t>,</w:t>
      </w:r>
      <w:r w:rsidRPr="00D33C52">
        <w:rPr>
          <w:rFonts w:ascii="Book Antiqua" w:hAnsi="Book Antiqua"/>
        </w:rPr>
        <w:t xml:space="preserve"> según se desprende claramente de su Exposición de Motivos. Es precisamente esa eliminación posterior la que el P. de la C. 971 procura </w:t>
      </w:r>
      <w:r w:rsidRPr="00D33C52">
        <w:rPr>
          <w:rStyle w:val="Strong"/>
          <w:rFonts w:ascii="Book Antiqua" w:hAnsi="Book Antiqua"/>
        </w:rPr>
        <w:t>restablecer</w:t>
      </w:r>
      <w:r w:rsidRPr="00D33C52">
        <w:rPr>
          <w:rFonts w:ascii="Book Antiqua" w:hAnsi="Book Antiqua"/>
        </w:rPr>
        <w:t>, razón por la cual resulta jurídicamente necesario evaluar y aprobar esta medida de forma armonizada con ambas leyes, evitando duplicidades y asegurando coherencia en el ordenamiento jurídico.</w:t>
      </w:r>
    </w:p>
    <w:p w14:paraId="19AF3E9F" w14:textId="7E355FC2" w:rsidR="00D33C52" w:rsidRPr="00D33C52" w:rsidRDefault="00D33C52" w:rsidP="00D33C52">
      <w:pPr>
        <w:pStyle w:val="NormalWeb"/>
        <w:jc w:val="both"/>
        <w:rPr>
          <w:rFonts w:ascii="Book Antiqua" w:hAnsi="Book Antiqua"/>
        </w:rPr>
      </w:pPr>
      <w:r w:rsidRPr="00D33C52">
        <w:rPr>
          <w:rFonts w:ascii="Book Antiqua" w:hAnsi="Book Antiqua"/>
        </w:rPr>
        <w:t xml:space="preserve">Desde una perspectiva de </w:t>
      </w:r>
      <w:r w:rsidRPr="00121062">
        <w:rPr>
          <w:rStyle w:val="Strong"/>
          <w:rFonts w:ascii="Book Antiqua" w:hAnsi="Book Antiqua"/>
          <w:b w:val="0"/>
          <w:bCs w:val="0"/>
        </w:rPr>
        <w:t>armonización estatutaria</w:t>
      </w:r>
      <w:r w:rsidRPr="00121062">
        <w:rPr>
          <w:rFonts w:ascii="Book Antiqua" w:hAnsi="Book Antiqua"/>
          <w:b/>
          <w:bCs/>
        </w:rPr>
        <w:t>,</w:t>
      </w:r>
      <w:r w:rsidRPr="00D33C52">
        <w:rPr>
          <w:rFonts w:ascii="Book Antiqua" w:hAnsi="Book Antiqua"/>
        </w:rPr>
        <w:t xml:space="preserve"> el proyecto fortalece la coherencia </w:t>
      </w:r>
      <w:r w:rsidR="00121062">
        <w:rPr>
          <w:rFonts w:ascii="Book Antiqua" w:hAnsi="Book Antiqua"/>
        </w:rPr>
        <w:t>en el estado de derecho vigente</w:t>
      </w:r>
      <w:r w:rsidRPr="00D33C52">
        <w:rPr>
          <w:rFonts w:ascii="Book Antiqua" w:hAnsi="Book Antiqua"/>
        </w:rPr>
        <w:t>, reafirmando el rol rector de la OATRH en materia de habilitación de empleados públicos y evitando interpretaciones conflictivas o duplicidad de funciones entre agencias. Al restituir expresamente el lenguaje omitido por una ley posterior, se preserva la integridad del sistema de administración de recursos humanos del Gobierno de Puerto Rico y se garantiza que los municipios operen bajo principios uniformes de mérito, transparencia y legalidad.</w:t>
      </w:r>
    </w:p>
    <w:p w14:paraId="73020884" w14:textId="3DB9B9B6" w:rsidR="00D33C52" w:rsidRPr="00D33C52" w:rsidRDefault="00D33C52" w:rsidP="00D33C52">
      <w:pPr>
        <w:pStyle w:val="NormalWeb"/>
        <w:jc w:val="both"/>
        <w:rPr>
          <w:rFonts w:ascii="Book Antiqua" w:hAnsi="Book Antiqua"/>
        </w:rPr>
      </w:pPr>
      <w:r w:rsidRPr="00D33C52">
        <w:rPr>
          <w:rFonts w:ascii="Book Antiqua" w:hAnsi="Book Antiqua"/>
        </w:rPr>
        <w:t xml:space="preserve">En el ámbito legislativo, el P. de la C. 971 atiende un </w:t>
      </w:r>
      <w:r w:rsidRPr="00121062">
        <w:rPr>
          <w:rStyle w:val="Strong"/>
          <w:rFonts w:ascii="Book Antiqua" w:hAnsi="Book Antiqua"/>
          <w:b w:val="0"/>
          <w:bCs w:val="0"/>
        </w:rPr>
        <w:t>interés público</w:t>
      </w:r>
      <w:r w:rsidRPr="00121062">
        <w:rPr>
          <w:rFonts w:ascii="Book Antiqua" w:hAnsi="Book Antiqua"/>
          <w:b/>
          <w:bCs/>
        </w:rPr>
        <w:t xml:space="preserve"> </w:t>
      </w:r>
      <w:r w:rsidRPr="00D33C52">
        <w:rPr>
          <w:rFonts w:ascii="Book Antiqua" w:hAnsi="Book Antiqua"/>
        </w:rPr>
        <w:t xml:space="preserve">al reforzar los controles de integridad en los procesos de reclutamiento municipal. La reincorporación del requisito de que los aspirantes no hayan sometido ni intentado someter información falsa, incorrecta o engañosa en procesos de examen, reclutamiento o empleo, promueve la confianza ciudadana en la gestión gubernamental y protege la función pública de prácticas contrarias a la ética y a la buena administración. </w:t>
      </w:r>
    </w:p>
    <w:p w14:paraId="5F40B302" w14:textId="1716C3AF" w:rsidR="00D33C52" w:rsidRPr="00D33C52" w:rsidRDefault="00D33C52" w:rsidP="00D33C52">
      <w:pPr>
        <w:pStyle w:val="NormalWeb"/>
        <w:jc w:val="both"/>
        <w:rPr>
          <w:rFonts w:ascii="Book Antiqua" w:hAnsi="Book Antiqua"/>
        </w:rPr>
      </w:pPr>
      <w:r w:rsidRPr="00D33C52">
        <w:rPr>
          <w:rFonts w:ascii="Book Antiqua" w:hAnsi="Book Antiqua"/>
        </w:rPr>
        <w:t xml:space="preserve">Finalmente, la medida cuenta con </w:t>
      </w:r>
      <w:r w:rsidRPr="00121062">
        <w:rPr>
          <w:rStyle w:val="Strong"/>
          <w:rFonts w:ascii="Book Antiqua" w:hAnsi="Book Antiqua"/>
          <w:b w:val="0"/>
          <w:bCs w:val="0"/>
        </w:rPr>
        <w:t>respaldo institucional</w:t>
      </w:r>
      <w:r w:rsidRPr="00D33C52">
        <w:rPr>
          <w:rFonts w:ascii="Book Antiqua" w:hAnsi="Book Antiqua"/>
        </w:rPr>
        <w:t xml:space="preserve"> de las agencias con peritaje en la materia. La OATRH no presentó objeción alguna a su aprobación, y el DTRH concedió deferencia a la autoridad rectora en </w:t>
      </w:r>
      <w:r w:rsidR="00121062">
        <w:rPr>
          <w:rFonts w:ascii="Book Antiqua" w:hAnsi="Book Antiqua"/>
        </w:rPr>
        <w:t>el asunto ante consideración</w:t>
      </w:r>
      <w:r w:rsidRPr="00D33C52">
        <w:rPr>
          <w:rFonts w:ascii="Book Antiqua" w:hAnsi="Book Antiqua"/>
        </w:rPr>
        <w:t xml:space="preserve">. </w:t>
      </w:r>
    </w:p>
    <w:p w14:paraId="2C8F4DBC" w14:textId="77777777" w:rsidR="00721BCE" w:rsidRPr="00BC1282" w:rsidRDefault="00721BCE" w:rsidP="009962C2">
      <w:pPr>
        <w:jc w:val="both"/>
        <w:rPr>
          <w:rFonts w:ascii="Book Antiqua" w:hAnsi="Book Antiqua"/>
          <w:color w:val="EE0000"/>
          <w:szCs w:val="24"/>
          <w:lang w:val="es-PR"/>
        </w:rPr>
      </w:pPr>
    </w:p>
    <w:p w14:paraId="27A555E9" w14:textId="059730AB" w:rsidR="00A85717" w:rsidRPr="00A76B51" w:rsidRDefault="00F04A9A" w:rsidP="00476E5E">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lastRenderedPageBreak/>
        <w:t>Impacto Fiscal</w:t>
      </w:r>
    </w:p>
    <w:p w14:paraId="32E90FA0" w14:textId="77777777" w:rsidR="00476E5E" w:rsidRDefault="008E3F18" w:rsidP="00476E5E">
      <w:pPr>
        <w:jc w:val="both"/>
        <w:rPr>
          <w:rFonts w:ascii="Book Antiqua" w:hAnsi="Book Antiqua"/>
          <w:lang w:val="es-ES"/>
        </w:rPr>
      </w:pPr>
      <w:r w:rsidRPr="008E3F18">
        <w:rPr>
          <w:rFonts w:ascii="Book Antiqua" w:hAnsi="Book Antiqua"/>
          <w:lang w:val="es-ES"/>
        </w:rPr>
        <w:t xml:space="preserve">En cumplimiento con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64E4266F" w14:textId="32093F06" w:rsidR="004000AE" w:rsidRDefault="004000AE" w:rsidP="00476E5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7E1284FC" w14:textId="77777777" w:rsidR="007E3FE5" w:rsidRPr="00476E5E" w:rsidRDefault="007E3FE5" w:rsidP="004000AE">
      <w:pPr>
        <w:jc w:val="both"/>
        <w:rPr>
          <w:rFonts w:ascii="Book Antiqua" w:hAnsi="Book Antiqua" w:cs="Arial"/>
          <w:lang w:val="es-ES"/>
        </w:rPr>
      </w:pPr>
    </w:p>
    <w:p w14:paraId="693ABEB6" w14:textId="52E609E5"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DB2C23">
        <w:rPr>
          <w:rFonts w:ascii="Book Antiqua" w:hAnsi="Book Antiqua" w:cs="Arial"/>
          <w:lang w:val="es-ES"/>
        </w:rPr>
        <w:t>971</w:t>
      </w:r>
      <w:r>
        <w:rPr>
          <w:rFonts w:ascii="Book Antiqua" w:hAnsi="Book Antiqua" w:cs="Arial"/>
          <w:lang w:val="es-ES"/>
        </w:rPr>
        <w:t>, con las enmiendas que se incluyen en el entirillado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2D05C" w14:textId="77777777" w:rsidR="00CE601B" w:rsidRDefault="00CE601B" w:rsidP="006705DD">
      <w:r>
        <w:separator/>
      </w:r>
    </w:p>
  </w:endnote>
  <w:endnote w:type="continuationSeparator" w:id="0">
    <w:p w14:paraId="237C1B75" w14:textId="77777777" w:rsidR="00CE601B" w:rsidRDefault="00CE601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3615"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643B7" w14:textId="77777777" w:rsidR="00CE601B" w:rsidRDefault="00CE601B" w:rsidP="006705DD">
      <w:r>
        <w:separator/>
      </w:r>
    </w:p>
  </w:footnote>
  <w:footnote w:type="continuationSeparator" w:id="0">
    <w:p w14:paraId="69536BE7" w14:textId="77777777" w:rsidR="00CE601B" w:rsidRDefault="00CE601B"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E087241"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1AD00"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DB2C23">
      <w:rPr>
        <w:rStyle w:val="PageNumber"/>
        <w:rFonts w:ascii="Book Antiqua" w:hAnsi="Book Antiqua"/>
        <w:i/>
        <w:sz w:val="22"/>
        <w:szCs w:val="22"/>
        <w:lang w:val="es-PR"/>
      </w:rPr>
      <w:t>971</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B043D"/>
    <w:multiLevelType w:val="hybridMultilevel"/>
    <w:tmpl w:val="9460CA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8"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21"/>
  </w:num>
  <w:num w:numId="3" w16cid:durableId="150217024">
    <w:abstractNumId w:val="23"/>
  </w:num>
  <w:num w:numId="4" w16cid:durableId="1144077218">
    <w:abstractNumId w:val="14"/>
  </w:num>
  <w:num w:numId="5" w16cid:durableId="1391071492">
    <w:abstractNumId w:val="26"/>
  </w:num>
  <w:num w:numId="6" w16cid:durableId="1887521205">
    <w:abstractNumId w:val="25"/>
  </w:num>
  <w:num w:numId="7" w16cid:durableId="17200089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0"/>
  </w:num>
  <w:num w:numId="9" w16cid:durableId="978419079">
    <w:abstractNumId w:val="13"/>
  </w:num>
  <w:num w:numId="10" w16cid:durableId="1431662367">
    <w:abstractNumId w:val="9"/>
  </w:num>
  <w:num w:numId="11" w16cid:durableId="745687741">
    <w:abstractNumId w:val="12"/>
  </w:num>
  <w:num w:numId="12" w16cid:durableId="788547495">
    <w:abstractNumId w:val="28"/>
  </w:num>
  <w:num w:numId="13" w16cid:durableId="953445716">
    <w:abstractNumId w:val="27"/>
  </w:num>
  <w:num w:numId="14" w16cid:durableId="194583800">
    <w:abstractNumId w:val="10"/>
  </w:num>
  <w:num w:numId="15" w16cid:durableId="523634993">
    <w:abstractNumId w:val="6"/>
  </w:num>
  <w:num w:numId="16" w16cid:durableId="640503561">
    <w:abstractNumId w:val="15"/>
  </w:num>
  <w:num w:numId="17" w16cid:durableId="558250333">
    <w:abstractNumId w:val="11"/>
  </w:num>
  <w:num w:numId="18" w16cid:durableId="544635036">
    <w:abstractNumId w:val="31"/>
  </w:num>
  <w:num w:numId="19" w16cid:durableId="328294607">
    <w:abstractNumId w:val="30"/>
  </w:num>
  <w:num w:numId="20" w16cid:durableId="1746873194">
    <w:abstractNumId w:val="7"/>
  </w:num>
  <w:num w:numId="21" w16cid:durableId="796483149">
    <w:abstractNumId w:val="17"/>
  </w:num>
  <w:num w:numId="22" w16cid:durableId="2005666296">
    <w:abstractNumId w:val="4"/>
  </w:num>
  <w:num w:numId="23" w16cid:durableId="1935046073">
    <w:abstractNumId w:val="24"/>
  </w:num>
  <w:num w:numId="24" w16cid:durableId="1003436762">
    <w:abstractNumId w:val="3"/>
  </w:num>
  <w:num w:numId="25" w16cid:durableId="363680753">
    <w:abstractNumId w:val="8"/>
  </w:num>
  <w:num w:numId="26" w16cid:durableId="819734833">
    <w:abstractNumId w:val="22"/>
  </w:num>
  <w:num w:numId="27" w16cid:durableId="319966295">
    <w:abstractNumId w:val="0"/>
  </w:num>
  <w:num w:numId="28" w16cid:durableId="1320692743">
    <w:abstractNumId w:val="5"/>
  </w:num>
  <w:num w:numId="29" w16cid:durableId="1485123259">
    <w:abstractNumId w:val="16"/>
  </w:num>
  <w:num w:numId="30" w16cid:durableId="994458932">
    <w:abstractNumId w:val="29"/>
  </w:num>
  <w:num w:numId="31" w16cid:durableId="1152524602">
    <w:abstractNumId w:val="19"/>
  </w:num>
  <w:num w:numId="32" w16cid:durableId="2128505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40D4F"/>
    <w:rsid w:val="000412D4"/>
    <w:rsid w:val="0004232E"/>
    <w:rsid w:val="00046F97"/>
    <w:rsid w:val="000549AC"/>
    <w:rsid w:val="00055E65"/>
    <w:rsid w:val="0006127A"/>
    <w:rsid w:val="0006657A"/>
    <w:rsid w:val="00071193"/>
    <w:rsid w:val="000711C1"/>
    <w:rsid w:val="00075649"/>
    <w:rsid w:val="00076BE2"/>
    <w:rsid w:val="00084B35"/>
    <w:rsid w:val="000862D3"/>
    <w:rsid w:val="00093070"/>
    <w:rsid w:val="00093599"/>
    <w:rsid w:val="000A0DD0"/>
    <w:rsid w:val="000A1C03"/>
    <w:rsid w:val="000A3551"/>
    <w:rsid w:val="000A36B0"/>
    <w:rsid w:val="000A3926"/>
    <w:rsid w:val="000A3F06"/>
    <w:rsid w:val="000A55EE"/>
    <w:rsid w:val="000D4ACC"/>
    <w:rsid w:val="000E328C"/>
    <w:rsid w:val="000F7B85"/>
    <w:rsid w:val="00103081"/>
    <w:rsid w:val="00103ADD"/>
    <w:rsid w:val="00104793"/>
    <w:rsid w:val="00113F55"/>
    <w:rsid w:val="00115CCE"/>
    <w:rsid w:val="00121062"/>
    <w:rsid w:val="00126B90"/>
    <w:rsid w:val="001319DA"/>
    <w:rsid w:val="0014633D"/>
    <w:rsid w:val="00147634"/>
    <w:rsid w:val="00154E00"/>
    <w:rsid w:val="00163B5C"/>
    <w:rsid w:val="00165840"/>
    <w:rsid w:val="0017614C"/>
    <w:rsid w:val="00176B06"/>
    <w:rsid w:val="00182ED3"/>
    <w:rsid w:val="0018793D"/>
    <w:rsid w:val="0019634E"/>
    <w:rsid w:val="001A2FCD"/>
    <w:rsid w:val="001A3733"/>
    <w:rsid w:val="001A6010"/>
    <w:rsid w:val="001B612F"/>
    <w:rsid w:val="001C6904"/>
    <w:rsid w:val="001D0ABB"/>
    <w:rsid w:val="001E2BBC"/>
    <w:rsid w:val="001E51A0"/>
    <w:rsid w:val="001E58FE"/>
    <w:rsid w:val="00214189"/>
    <w:rsid w:val="002169FB"/>
    <w:rsid w:val="00222553"/>
    <w:rsid w:val="0022554E"/>
    <w:rsid w:val="0022643F"/>
    <w:rsid w:val="0023264E"/>
    <w:rsid w:val="002360B5"/>
    <w:rsid w:val="002370D3"/>
    <w:rsid w:val="00244C04"/>
    <w:rsid w:val="00245609"/>
    <w:rsid w:val="00252693"/>
    <w:rsid w:val="00276BDD"/>
    <w:rsid w:val="00276C3E"/>
    <w:rsid w:val="002808F0"/>
    <w:rsid w:val="00281A3B"/>
    <w:rsid w:val="00290C4B"/>
    <w:rsid w:val="00296D3F"/>
    <w:rsid w:val="002B3B61"/>
    <w:rsid w:val="002D1D70"/>
    <w:rsid w:val="002D4B38"/>
    <w:rsid w:val="002F2860"/>
    <w:rsid w:val="002F58EB"/>
    <w:rsid w:val="002F60E4"/>
    <w:rsid w:val="002F615B"/>
    <w:rsid w:val="00300512"/>
    <w:rsid w:val="00304C16"/>
    <w:rsid w:val="00326892"/>
    <w:rsid w:val="00327EDE"/>
    <w:rsid w:val="00330D59"/>
    <w:rsid w:val="003403CB"/>
    <w:rsid w:val="003428AA"/>
    <w:rsid w:val="00352C61"/>
    <w:rsid w:val="00353DB9"/>
    <w:rsid w:val="00361144"/>
    <w:rsid w:val="00364069"/>
    <w:rsid w:val="00364DCF"/>
    <w:rsid w:val="003700E9"/>
    <w:rsid w:val="003757D9"/>
    <w:rsid w:val="003822D7"/>
    <w:rsid w:val="00396560"/>
    <w:rsid w:val="00397AC7"/>
    <w:rsid w:val="003A69EF"/>
    <w:rsid w:val="003B644B"/>
    <w:rsid w:val="003B766F"/>
    <w:rsid w:val="003C1FA6"/>
    <w:rsid w:val="003D07D2"/>
    <w:rsid w:val="003F0372"/>
    <w:rsid w:val="003F2DE1"/>
    <w:rsid w:val="003F46BE"/>
    <w:rsid w:val="003F7352"/>
    <w:rsid w:val="003F7F49"/>
    <w:rsid w:val="004000AE"/>
    <w:rsid w:val="0040062C"/>
    <w:rsid w:val="00403A15"/>
    <w:rsid w:val="00415E27"/>
    <w:rsid w:val="0042474F"/>
    <w:rsid w:val="004315C4"/>
    <w:rsid w:val="00437BDC"/>
    <w:rsid w:val="00440C62"/>
    <w:rsid w:val="00451E85"/>
    <w:rsid w:val="004538A3"/>
    <w:rsid w:val="00462A7C"/>
    <w:rsid w:val="004641B9"/>
    <w:rsid w:val="00465358"/>
    <w:rsid w:val="004663D5"/>
    <w:rsid w:val="004719B8"/>
    <w:rsid w:val="00473250"/>
    <w:rsid w:val="004733FF"/>
    <w:rsid w:val="00476E5E"/>
    <w:rsid w:val="00487F38"/>
    <w:rsid w:val="004A40A5"/>
    <w:rsid w:val="004C0E27"/>
    <w:rsid w:val="004D44C1"/>
    <w:rsid w:val="004D66E8"/>
    <w:rsid w:val="004D7CDB"/>
    <w:rsid w:val="004F0D7E"/>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C5D02"/>
    <w:rsid w:val="005C6005"/>
    <w:rsid w:val="005D4247"/>
    <w:rsid w:val="005E345A"/>
    <w:rsid w:val="005F2117"/>
    <w:rsid w:val="005F3B18"/>
    <w:rsid w:val="00602E0C"/>
    <w:rsid w:val="00610D55"/>
    <w:rsid w:val="00620546"/>
    <w:rsid w:val="00624B6C"/>
    <w:rsid w:val="00625848"/>
    <w:rsid w:val="00633B31"/>
    <w:rsid w:val="00642D73"/>
    <w:rsid w:val="00650E7C"/>
    <w:rsid w:val="00651F6C"/>
    <w:rsid w:val="00663552"/>
    <w:rsid w:val="006679D2"/>
    <w:rsid w:val="006705DD"/>
    <w:rsid w:val="00677ADE"/>
    <w:rsid w:val="006A2E89"/>
    <w:rsid w:val="006A627D"/>
    <w:rsid w:val="006B0E23"/>
    <w:rsid w:val="006C6F08"/>
    <w:rsid w:val="006D2DAD"/>
    <w:rsid w:val="006E01C3"/>
    <w:rsid w:val="00716D4F"/>
    <w:rsid w:val="007202AB"/>
    <w:rsid w:val="00721BCE"/>
    <w:rsid w:val="00726C66"/>
    <w:rsid w:val="0073521E"/>
    <w:rsid w:val="00744889"/>
    <w:rsid w:val="007526B6"/>
    <w:rsid w:val="007540B2"/>
    <w:rsid w:val="00757B0E"/>
    <w:rsid w:val="0076466B"/>
    <w:rsid w:val="0076672E"/>
    <w:rsid w:val="00766BC6"/>
    <w:rsid w:val="007767FD"/>
    <w:rsid w:val="00787CC3"/>
    <w:rsid w:val="00796D86"/>
    <w:rsid w:val="007A3330"/>
    <w:rsid w:val="007A52BD"/>
    <w:rsid w:val="007B1F4C"/>
    <w:rsid w:val="007B284B"/>
    <w:rsid w:val="007B6A57"/>
    <w:rsid w:val="007B737C"/>
    <w:rsid w:val="007B75B4"/>
    <w:rsid w:val="007C1FB4"/>
    <w:rsid w:val="007C5402"/>
    <w:rsid w:val="007D483B"/>
    <w:rsid w:val="007D502B"/>
    <w:rsid w:val="007E3FE5"/>
    <w:rsid w:val="007F6BCF"/>
    <w:rsid w:val="00801DB3"/>
    <w:rsid w:val="0080494A"/>
    <w:rsid w:val="0083160D"/>
    <w:rsid w:val="00832BE1"/>
    <w:rsid w:val="00835666"/>
    <w:rsid w:val="00855DDC"/>
    <w:rsid w:val="008605D1"/>
    <w:rsid w:val="0086119E"/>
    <w:rsid w:val="00866623"/>
    <w:rsid w:val="00873014"/>
    <w:rsid w:val="00874229"/>
    <w:rsid w:val="0087700A"/>
    <w:rsid w:val="008945B2"/>
    <w:rsid w:val="008A3BFF"/>
    <w:rsid w:val="008B131A"/>
    <w:rsid w:val="008B5837"/>
    <w:rsid w:val="008C4E1E"/>
    <w:rsid w:val="008D3AED"/>
    <w:rsid w:val="008E3F18"/>
    <w:rsid w:val="008E3FE1"/>
    <w:rsid w:val="008E4C98"/>
    <w:rsid w:val="008F3240"/>
    <w:rsid w:val="00916851"/>
    <w:rsid w:val="0091696B"/>
    <w:rsid w:val="009170EF"/>
    <w:rsid w:val="00920655"/>
    <w:rsid w:val="00922DA1"/>
    <w:rsid w:val="009375FE"/>
    <w:rsid w:val="00944B6E"/>
    <w:rsid w:val="00950543"/>
    <w:rsid w:val="00953576"/>
    <w:rsid w:val="0095762D"/>
    <w:rsid w:val="0098155A"/>
    <w:rsid w:val="00986544"/>
    <w:rsid w:val="00986838"/>
    <w:rsid w:val="009912EA"/>
    <w:rsid w:val="00995340"/>
    <w:rsid w:val="009962C2"/>
    <w:rsid w:val="009A0D8D"/>
    <w:rsid w:val="009A24F9"/>
    <w:rsid w:val="009A375D"/>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5717"/>
    <w:rsid w:val="00AA4EE8"/>
    <w:rsid w:val="00AC0B45"/>
    <w:rsid w:val="00AC6688"/>
    <w:rsid w:val="00AD7C3F"/>
    <w:rsid w:val="00AE53C7"/>
    <w:rsid w:val="00AF630A"/>
    <w:rsid w:val="00B11907"/>
    <w:rsid w:val="00B25CAC"/>
    <w:rsid w:val="00B34FF4"/>
    <w:rsid w:val="00B41353"/>
    <w:rsid w:val="00B41EA0"/>
    <w:rsid w:val="00B4425A"/>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C4BF2"/>
    <w:rsid w:val="00BD740D"/>
    <w:rsid w:val="00BE62B2"/>
    <w:rsid w:val="00BF2933"/>
    <w:rsid w:val="00BF30CB"/>
    <w:rsid w:val="00C0097E"/>
    <w:rsid w:val="00C0489D"/>
    <w:rsid w:val="00C04CC4"/>
    <w:rsid w:val="00C05074"/>
    <w:rsid w:val="00C06BB6"/>
    <w:rsid w:val="00C20727"/>
    <w:rsid w:val="00C23448"/>
    <w:rsid w:val="00C2466C"/>
    <w:rsid w:val="00C364C6"/>
    <w:rsid w:val="00C445E0"/>
    <w:rsid w:val="00C54F93"/>
    <w:rsid w:val="00C55349"/>
    <w:rsid w:val="00C646DB"/>
    <w:rsid w:val="00C70147"/>
    <w:rsid w:val="00C72ADD"/>
    <w:rsid w:val="00C72BDF"/>
    <w:rsid w:val="00C746E5"/>
    <w:rsid w:val="00C93A19"/>
    <w:rsid w:val="00C971D6"/>
    <w:rsid w:val="00CA25B9"/>
    <w:rsid w:val="00CA25DD"/>
    <w:rsid w:val="00CB59F2"/>
    <w:rsid w:val="00CB7443"/>
    <w:rsid w:val="00CC0AC2"/>
    <w:rsid w:val="00CC169F"/>
    <w:rsid w:val="00CD6F6C"/>
    <w:rsid w:val="00CD7998"/>
    <w:rsid w:val="00CD7C8F"/>
    <w:rsid w:val="00CE50B0"/>
    <w:rsid w:val="00CE601B"/>
    <w:rsid w:val="00CE6859"/>
    <w:rsid w:val="00CE7FD0"/>
    <w:rsid w:val="00CF3279"/>
    <w:rsid w:val="00CF40DD"/>
    <w:rsid w:val="00D0286A"/>
    <w:rsid w:val="00D10164"/>
    <w:rsid w:val="00D33C52"/>
    <w:rsid w:val="00D36F4D"/>
    <w:rsid w:val="00D400B4"/>
    <w:rsid w:val="00D46E38"/>
    <w:rsid w:val="00D5160D"/>
    <w:rsid w:val="00D54D79"/>
    <w:rsid w:val="00D66F82"/>
    <w:rsid w:val="00D75329"/>
    <w:rsid w:val="00D905F2"/>
    <w:rsid w:val="00DA02ED"/>
    <w:rsid w:val="00DA09E1"/>
    <w:rsid w:val="00DA7015"/>
    <w:rsid w:val="00DB2939"/>
    <w:rsid w:val="00DB2C23"/>
    <w:rsid w:val="00DD3A6C"/>
    <w:rsid w:val="00DE2021"/>
    <w:rsid w:val="00E104AB"/>
    <w:rsid w:val="00E1059A"/>
    <w:rsid w:val="00E227DF"/>
    <w:rsid w:val="00E27A93"/>
    <w:rsid w:val="00E3046D"/>
    <w:rsid w:val="00E304DB"/>
    <w:rsid w:val="00E3239A"/>
    <w:rsid w:val="00E46361"/>
    <w:rsid w:val="00E46EC4"/>
    <w:rsid w:val="00E47CDB"/>
    <w:rsid w:val="00E501A0"/>
    <w:rsid w:val="00E53603"/>
    <w:rsid w:val="00E61D3F"/>
    <w:rsid w:val="00E662B1"/>
    <w:rsid w:val="00E66D25"/>
    <w:rsid w:val="00E70E1E"/>
    <w:rsid w:val="00E7435A"/>
    <w:rsid w:val="00E8150B"/>
    <w:rsid w:val="00E87DFC"/>
    <w:rsid w:val="00E90F3F"/>
    <w:rsid w:val="00E946CD"/>
    <w:rsid w:val="00EA0424"/>
    <w:rsid w:val="00EA1A07"/>
    <w:rsid w:val="00EA3EBA"/>
    <w:rsid w:val="00EA5C52"/>
    <w:rsid w:val="00EA7DC1"/>
    <w:rsid w:val="00EB166E"/>
    <w:rsid w:val="00EB1E3E"/>
    <w:rsid w:val="00EC6777"/>
    <w:rsid w:val="00EC745B"/>
    <w:rsid w:val="00ED418B"/>
    <w:rsid w:val="00ED6D04"/>
    <w:rsid w:val="00EE5D67"/>
    <w:rsid w:val="00EE6494"/>
    <w:rsid w:val="00EF07C1"/>
    <w:rsid w:val="00F043A8"/>
    <w:rsid w:val="00F04A9A"/>
    <w:rsid w:val="00F11058"/>
    <w:rsid w:val="00F173C8"/>
    <w:rsid w:val="00F179C6"/>
    <w:rsid w:val="00F21142"/>
    <w:rsid w:val="00F21769"/>
    <w:rsid w:val="00F24049"/>
    <w:rsid w:val="00F44081"/>
    <w:rsid w:val="00F46A5B"/>
    <w:rsid w:val="00F4737F"/>
    <w:rsid w:val="00F664B4"/>
    <w:rsid w:val="00F745F6"/>
    <w:rsid w:val="00F907CB"/>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B67776CE-5C2E-4C15-9626-A042C016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2564</Words>
  <Characters>13771</Characters>
  <Application>Microsoft Office Word</Application>
  <DocSecurity>4</DocSecurity>
  <Lines>245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2026-01-23T12:35:00Z</cp:lastPrinted>
  <dcterms:created xsi:type="dcterms:W3CDTF">2026-01-27T14:31:00Z</dcterms:created>
  <dcterms:modified xsi:type="dcterms:W3CDTF">2026-01-27T14:31:00Z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