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44EBCF98" w:rsidR="00DF7D86" w:rsidRPr="00250E7B"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250E7B">
        <w:rPr>
          <w:rFonts w:ascii="Book Antiqua" w:eastAsia="Book Antiqua" w:hAnsi="Book Antiqua" w:cs="Book Antiqua"/>
          <w:color w:val="000000" w:themeColor="text1"/>
          <w:spacing w:val="12"/>
          <w:sz w:val="28"/>
          <w:szCs w:val="28"/>
          <w:lang w:val="es-PR"/>
        </w:rPr>
        <w:t>GOBIERNO</w:t>
      </w:r>
      <w:r w:rsidR="0038510E" w:rsidRPr="00250E7B">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4355423D"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AB220C">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C54AD6" w:rsidRPr="001711E6">
        <w:rPr>
          <w:rFonts w:ascii="Book Antiqua" w:eastAsia="Book Antiqua" w:hAnsi="Book Antiqua" w:cs="Book Antiqua"/>
          <w:color w:val="000000" w:themeColor="text1"/>
          <w:lang w:val="es-PR"/>
        </w:rPr>
        <w:t>Asamblea</w:t>
      </w:r>
      <w:r w:rsidR="00C54AD6" w:rsidRPr="001711E6">
        <w:rPr>
          <w:rFonts w:ascii="Book Antiqua" w:eastAsia="Book Antiqua" w:hAnsi="Book Antiqua" w:cs="Book Antiqua"/>
          <w:color w:val="000000" w:themeColor="text1"/>
          <w:lang w:val="es-PR"/>
        </w:rPr>
        <w:tab/>
      </w:r>
      <w:r w:rsidR="00A47DEB">
        <w:rPr>
          <w:rFonts w:ascii="Book Antiqua" w:eastAsia="Book Antiqua" w:hAnsi="Book Antiqua" w:cs="Book Antiqua"/>
          <w:color w:val="000000" w:themeColor="text1"/>
          <w:lang w:val="es-PR"/>
        </w:rPr>
        <w:t>3</w:t>
      </w:r>
      <w:r w:rsidR="00AB220C">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38510E" w:rsidRPr="001711E6">
        <w:rPr>
          <w:rFonts w:ascii="Book Antiqua" w:eastAsia="Book Antiqua" w:hAnsi="Book Antiqua" w:cs="Book Antiqua"/>
          <w:color w:val="000000" w:themeColor="text1"/>
          <w:lang w:val="es-PR"/>
        </w:rPr>
        <w:t>Sesión</w:t>
      </w:r>
    </w:p>
    <w:p w14:paraId="703FA46E" w14:textId="397C8F29"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00596033">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0E7B"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0E7B">
        <w:rPr>
          <w:rFonts w:ascii="Book Antiqua" w:eastAsia="Book Antiqua" w:hAnsi="Book Antiqua" w:cs="Book Antiqua"/>
          <w:b/>
          <w:color w:val="000000" w:themeColor="text1"/>
          <w:spacing w:val="12"/>
          <w:sz w:val="36"/>
          <w:szCs w:val="36"/>
          <w:lang w:val="es-PR"/>
        </w:rPr>
        <w:t>CÁMARA DE REPRESENTANTES</w:t>
      </w:r>
    </w:p>
    <w:p w14:paraId="224C8555" w14:textId="085951BF"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A47DEB">
        <w:rPr>
          <w:rFonts w:ascii="Book Antiqua" w:eastAsia="Book Antiqua" w:hAnsi="Book Antiqua" w:cs="Book Antiqua"/>
          <w:b/>
          <w:color w:val="000000" w:themeColor="text1"/>
          <w:sz w:val="52"/>
          <w:szCs w:val="52"/>
          <w:lang w:val="es-PR"/>
        </w:rPr>
        <w:t>972</w:t>
      </w:r>
    </w:p>
    <w:p w14:paraId="6CA3DF2C" w14:textId="1E7276A3" w:rsidR="00DF7D86" w:rsidRPr="00AB220C"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AB220C">
        <w:rPr>
          <w:rFonts w:ascii="Book Antiqua" w:eastAsia="Book Antiqua" w:hAnsi="Book Antiqua" w:cs="Book Antiqua"/>
          <w:bCs/>
          <w:color w:val="000000" w:themeColor="text1"/>
          <w:spacing w:val="12"/>
          <w:sz w:val="28"/>
          <w:szCs w:val="28"/>
          <w:lang w:val="es-PR"/>
        </w:rPr>
        <w:t>INFORME</w:t>
      </w:r>
      <w:r w:rsidR="00AB220C" w:rsidRPr="00AB220C">
        <w:rPr>
          <w:rFonts w:ascii="Book Antiqua" w:eastAsia="Book Antiqua" w:hAnsi="Book Antiqua" w:cs="Book Antiqua"/>
          <w:bCs/>
          <w:color w:val="000000" w:themeColor="text1"/>
          <w:spacing w:val="12"/>
          <w:sz w:val="28"/>
          <w:szCs w:val="28"/>
          <w:lang w:val="es-PR"/>
        </w:rPr>
        <w:t xml:space="preserve"> POSITIVO</w:t>
      </w:r>
    </w:p>
    <w:p w14:paraId="65B59E42" w14:textId="5943510C" w:rsidR="00DF7D86" w:rsidRPr="001711E6" w:rsidRDefault="0037138D"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 xml:space="preserve">13 </w:t>
      </w:r>
      <w:r w:rsidR="0038510E" w:rsidRPr="001711E6">
        <w:rPr>
          <w:rFonts w:ascii="Book Antiqua" w:eastAsia="Book Antiqua" w:hAnsi="Book Antiqua" w:cs="Book Antiqua"/>
          <w:color w:val="000000" w:themeColor="text1"/>
          <w:lang w:val="es-PR"/>
        </w:rPr>
        <w:t xml:space="preserve">de </w:t>
      </w:r>
      <w:r w:rsidR="00501594">
        <w:rPr>
          <w:rFonts w:ascii="Book Antiqua" w:eastAsia="Book Antiqua" w:hAnsi="Book Antiqua" w:cs="Book Antiqua"/>
          <w:color w:val="000000" w:themeColor="text1"/>
          <w:lang w:val="es-PR"/>
        </w:rPr>
        <w:t>febrero</w:t>
      </w:r>
      <w:r w:rsidR="00C54AD6" w:rsidRPr="001711E6">
        <w:rPr>
          <w:rFonts w:ascii="Book Antiqua" w:eastAsia="Book Antiqua" w:hAnsi="Book Antiqua" w:cs="Book Antiqua"/>
          <w:color w:val="000000" w:themeColor="text1"/>
          <w:lang w:val="es-PR"/>
        </w:rPr>
        <w:t xml:space="preserve"> de 202</w:t>
      </w:r>
      <w:r w:rsidR="00A47DEB">
        <w:rPr>
          <w:rFonts w:ascii="Book Antiqua" w:eastAsia="Book Antiqua" w:hAnsi="Book Antiqua" w:cs="Book Antiqua"/>
          <w:color w:val="000000" w:themeColor="text1"/>
          <w:lang w:val="es-PR"/>
        </w:rPr>
        <w:t>6</w:t>
      </w:r>
    </w:p>
    <w:p w14:paraId="2714CB15" w14:textId="283E1C70" w:rsidR="00DF7D86" w:rsidRPr="00AB220C" w:rsidRDefault="0038510E">
      <w:pPr>
        <w:jc w:val="both"/>
        <w:rPr>
          <w:rFonts w:ascii="Book Antiqua" w:eastAsia="Book Antiqua" w:hAnsi="Book Antiqua" w:cs="Book Antiqua"/>
          <w:bCs/>
          <w:color w:val="000000" w:themeColor="text1"/>
          <w:spacing w:val="12"/>
          <w:lang w:val="es-PR"/>
        </w:rPr>
      </w:pPr>
      <w:r w:rsidRPr="00AB220C">
        <w:rPr>
          <w:rFonts w:ascii="Book Antiqua" w:eastAsia="Book Antiqua" w:hAnsi="Book Antiqua" w:cs="Book Antiqua"/>
          <w:bCs/>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48CACF04" w14:textId="1802A7F5" w:rsidR="00DF7D86" w:rsidRPr="001711E6" w:rsidRDefault="00F169E1" w:rsidP="000A6E42">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 la C</w:t>
      </w:r>
      <w:r w:rsidR="00954C22">
        <w:rPr>
          <w:rFonts w:ascii="Book Antiqua" w:eastAsia="Book Antiqua" w:hAnsi="Book Antiqua" w:cs="Book Antiqua"/>
          <w:color w:val="000000" w:themeColor="text1"/>
          <w:lang w:val="es-PR"/>
        </w:rPr>
        <w:t xml:space="preserve">ámara </w:t>
      </w:r>
      <w:r w:rsidR="00A47DEB">
        <w:rPr>
          <w:rFonts w:ascii="Book Antiqua" w:eastAsia="Book Antiqua" w:hAnsi="Book Antiqua" w:cs="Book Antiqua"/>
          <w:color w:val="000000" w:themeColor="text1"/>
          <w:lang w:val="es-PR"/>
        </w:rPr>
        <w:t>972</w:t>
      </w:r>
      <w:r w:rsidR="00383A2A">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 xml:space="preserve">(P. de la C. </w:t>
      </w:r>
      <w:r w:rsidR="00A47DEB">
        <w:rPr>
          <w:rFonts w:ascii="Book Antiqua" w:eastAsia="Book Antiqua" w:hAnsi="Book Antiqua" w:cs="Book Antiqua"/>
          <w:color w:val="000000" w:themeColor="text1"/>
          <w:lang w:val="es-PR"/>
        </w:rPr>
        <w:t>972</w:t>
      </w:r>
      <w:r w:rsidR="00A22725">
        <w:rPr>
          <w:rFonts w:ascii="Book Antiqua" w:eastAsia="Book Antiqua" w:hAnsi="Book Antiqua" w:cs="Book Antiqua"/>
          <w:color w:val="000000" w:themeColor="text1"/>
          <w:lang w:val="es-PR"/>
        </w:rPr>
        <w:t>)</w:t>
      </w:r>
      <w:r w:rsidR="009C7042">
        <w:rPr>
          <w:rFonts w:ascii="Book Antiqua" w:eastAsia="Book Antiqua" w:hAnsi="Book Antiqua" w:cs="Book Antiqua"/>
          <w:color w:val="000000" w:themeColor="text1"/>
          <w:lang w:val="es-PR"/>
        </w:rPr>
        <w:t>,</w:t>
      </w:r>
      <w:r w:rsidR="00A47DEB">
        <w:rPr>
          <w:rStyle w:val="FootnoteReference"/>
          <w:rFonts w:ascii="Book Antiqua" w:eastAsia="Book Antiqua" w:hAnsi="Book Antiqua" w:cs="Book Antiqua"/>
          <w:color w:val="000000" w:themeColor="text1"/>
          <w:lang w:val="es-PR"/>
        </w:rPr>
        <w:footnoteReference w:id="2"/>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250E7B">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B55DDB" w:rsidRPr="001711E6">
        <w:rPr>
          <w:rFonts w:ascii="Book Antiqua" w:eastAsia="Book Antiqua" w:hAnsi="Book Antiqua" w:cs="Book Antiqua"/>
          <w:color w:val="000000" w:themeColor="text1"/>
          <w:lang w:val="es-PR"/>
        </w:rPr>
        <w:t>entirillado</w:t>
      </w:r>
      <w:proofErr w:type="spellEnd"/>
      <w:r w:rsidR="00B55DDB" w:rsidRPr="001711E6">
        <w:rPr>
          <w:rFonts w:ascii="Book Antiqua" w:eastAsia="Book Antiqua" w:hAnsi="Book Antiqua" w:cs="Book Antiqua"/>
          <w:color w:val="000000" w:themeColor="text1"/>
          <w:lang w:val="es-PR"/>
        </w:rPr>
        <w:t xml:space="preserve"> electrónico que se acompaña. </w:t>
      </w:r>
    </w:p>
    <w:p w14:paraId="00C5E8B9" w14:textId="77777777" w:rsidR="003B38A4" w:rsidRPr="009C7042" w:rsidRDefault="003B38A4" w:rsidP="006116B9">
      <w:pPr>
        <w:spacing w:after="240"/>
        <w:jc w:val="center"/>
        <w:rPr>
          <w:rFonts w:ascii="Book Antiqua" w:eastAsia="Book Antiqua" w:hAnsi="Book Antiqua" w:cs="Book Antiqua"/>
          <w:color w:val="000000" w:themeColor="text1"/>
          <w:spacing w:val="12"/>
          <w:lang w:val="es-PR"/>
        </w:rPr>
      </w:pPr>
      <w:r w:rsidRPr="009C7042">
        <w:rPr>
          <w:rFonts w:ascii="Book Antiqua" w:eastAsia="Book Antiqua" w:hAnsi="Book Antiqua" w:cs="Book Antiqua"/>
          <w:color w:val="000000" w:themeColor="text1"/>
          <w:spacing w:val="12"/>
          <w:lang w:val="es-PR"/>
        </w:rPr>
        <w:t>ALCANCE DE LA MEDIDA</w:t>
      </w:r>
    </w:p>
    <w:p w14:paraId="60451303" w14:textId="03CEA501" w:rsidR="001015D5" w:rsidRDefault="003B38A4" w:rsidP="00250E7B">
      <w:pPr>
        <w:spacing w:line="288" w:lineRule="auto"/>
        <w:ind w:firstLine="720"/>
        <w:jc w:val="both"/>
        <w:rPr>
          <w:rFonts w:ascii="Book Antiqua" w:hAnsi="Book Antiqua"/>
          <w:color w:val="000000" w:themeColor="text1"/>
          <w:lang w:val="es-PR"/>
        </w:rPr>
      </w:pPr>
      <w:r w:rsidRPr="001711E6">
        <w:rPr>
          <w:rFonts w:ascii="Book Antiqua" w:eastAsia="Book Antiqua" w:hAnsi="Book Antiqua" w:cs="Book Antiqua"/>
          <w:color w:val="000000" w:themeColor="text1"/>
          <w:lang w:val="es-PR"/>
        </w:rPr>
        <w:t xml:space="preserve">El </w:t>
      </w:r>
      <w:r w:rsidR="00851E49" w:rsidRPr="001711E6">
        <w:rPr>
          <w:rFonts w:ascii="Book Antiqua" w:eastAsia="Book Antiqua" w:hAnsi="Book Antiqua" w:cs="Book Antiqua"/>
          <w:color w:val="000000" w:themeColor="text1"/>
          <w:lang w:val="es-PR"/>
        </w:rPr>
        <w:t>P</w:t>
      </w:r>
      <w:r w:rsidR="00382AD9">
        <w:rPr>
          <w:rFonts w:ascii="Book Antiqua" w:eastAsia="Book Antiqua" w:hAnsi="Book Antiqua" w:cs="Book Antiqua"/>
          <w:color w:val="000000" w:themeColor="text1"/>
          <w:lang w:val="es-PR"/>
        </w:rPr>
        <w:t xml:space="preserve">. de la C. </w:t>
      </w:r>
      <w:r w:rsidR="00A47DEB">
        <w:rPr>
          <w:rFonts w:ascii="Book Antiqua" w:eastAsia="Book Antiqua" w:hAnsi="Book Antiqua" w:cs="Book Antiqua"/>
          <w:color w:val="000000" w:themeColor="text1"/>
          <w:lang w:val="es-PR"/>
        </w:rPr>
        <w:t>972</w:t>
      </w:r>
      <w:r w:rsidRPr="001711E6">
        <w:rPr>
          <w:rFonts w:ascii="Book Antiqua" w:eastAsia="Book Antiqua" w:hAnsi="Book Antiqua" w:cs="Book Antiqua"/>
          <w:color w:val="000000" w:themeColor="text1"/>
          <w:lang w:val="es-PR"/>
        </w:rPr>
        <w:t xml:space="preserve"> tiene</w:t>
      </w:r>
      <w:r w:rsidR="00954C22">
        <w:rPr>
          <w:rFonts w:ascii="Book Antiqua" w:eastAsia="Book Antiqua" w:hAnsi="Book Antiqua" w:cs="Book Antiqua"/>
          <w:color w:val="000000" w:themeColor="text1"/>
          <w:lang w:val="es-PR"/>
        </w:rPr>
        <w:t xml:space="preserve"> como </w:t>
      </w:r>
      <w:r w:rsidR="00633335">
        <w:rPr>
          <w:rFonts w:ascii="Book Antiqua" w:eastAsia="Book Antiqua" w:hAnsi="Book Antiqua" w:cs="Book Antiqua"/>
          <w:color w:val="000000" w:themeColor="text1"/>
          <w:lang w:val="es-PR"/>
        </w:rPr>
        <w:t>propósito</w:t>
      </w:r>
      <w:r w:rsidR="00A22725">
        <w:rPr>
          <w:rFonts w:ascii="Book Antiqua" w:eastAsia="Book Antiqua" w:hAnsi="Book Antiqua" w:cs="Book Antiqua"/>
          <w:color w:val="000000" w:themeColor="text1"/>
          <w:lang w:val="es-PR"/>
        </w:rPr>
        <w:t xml:space="preserve"> </w:t>
      </w:r>
      <w:r w:rsidR="00A47DEB" w:rsidRPr="00095BF0">
        <w:rPr>
          <w:rFonts w:ascii="Book Antiqua" w:hAnsi="Book Antiqua"/>
          <w:lang w:val="es-PR"/>
        </w:rPr>
        <w:t>enmendar los artículos 11, 236, 237, 238, 280 de la Ley</w:t>
      </w:r>
      <w:r w:rsidR="009C7042">
        <w:rPr>
          <w:rFonts w:ascii="Book Antiqua" w:hAnsi="Book Antiqua"/>
          <w:lang w:val="es-PR"/>
        </w:rPr>
        <w:t xml:space="preserve"> Núm.</w:t>
      </w:r>
      <w:r w:rsidR="00A47DEB" w:rsidRPr="00095BF0">
        <w:rPr>
          <w:rFonts w:ascii="Book Antiqua" w:hAnsi="Book Antiqua"/>
          <w:lang w:val="es-PR"/>
        </w:rPr>
        <w:t xml:space="preserve"> 210-2015, según enmendada,</w:t>
      </w:r>
      <w:r w:rsidR="009C7042">
        <w:rPr>
          <w:rStyle w:val="FootnoteReference"/>
          <w:rFonts w:ascii="Book Antiqua" w:hAnsi="Book Antiqua"/>
          <w:lang w:val="es-PR"/>
        </w:rPr>
        <w:footnoteReference w:id="3"/>
      </w:r>
      <w:r w:rsidR="00A47DEB" w:rsidRPr="00095BF0">
        <w:rPr>
          <w:rFonts w:ascii="Book Antiqua" w:hAnsi="Book Antiqua"/>
          <w:lang w:val="es-PR"/>
        </w:rPr>
        <w:t xml:space="preserve"> a los fines de facilitar el tráfico jurídico y minimizar los costos de las transacciones jurídicas </w:t>
      </w:r>
      <w:r w:rsidR="00A47DEB" w:rsidRPr="00A47DEB">
        <w:rPr>
          <w:rFonts w:ascii="Book Antiqua" w:hAnsi="Book Antiqua"/>
          <w:lang w:val="es-PR"/>
        </w:rPr>
        <w:t>a la ciudadanía; actualizar los requisitos para ser nombrado Registrador de la Propiedad</w:t>
      </w:r>
      <w:r w:rsidR="00884545">
        <w:rPr>
          <w:rFonts w:ascii="Book Antiqua" w:hAnsi="Book Antiqua"/>
          <w:lang w:val="es-PR"/>
        </w:rPr>
        <w:t>.</w:t>
      </w:r>
      <w:r w:rsidR="001A76F7">
        <w:rPr>
          <w:rStyle w:val="FootnoteReference"/>
          <w:rFonts w:ascii="Book Antiqua" w:hAnsi="Book Antiqua"/>
          <w:color w:val="000000" w:themeColor="text1"/>
          <w:lang w:val="es-PR"/>
        </w:rPr>
        <w:footnoteReference w:id="4"/>
      </w:r>
      <w:r w:rsidR="00CB2B9A">
        <w:rPr>
          <w:rFonts w:ascii="Book Antiqua" w:hAnsi="Book Antiqua"/>
          <w:color w:val="000000" w:themeColor="text1"/>
          <w:lang w:val="es-PR"/>
        </w:rPr>
        <w:t xml:space="preserve"> </w:t>
      </w:r>
      <w:r w:rsidR="002D56FF">
        <w:rPr>
          <w:rFonts w:ascii="Book Antiqua" w:hAnsi="Book Antiqua"/>
          <w:color w:val="000000" w:themeColor="text1"/>
          <w:lang w:val="es-PR"/>
        </w:rPr>
        <w:t>D</w:t>
      </w:r>
      <w:r w:rsidR="00CB2B9A">
        <w:rPr>
          <w:rFonts w:ascii="Book Antiqua" w:hAnsi="Book Antiqua"/>
          <w:color w:val="000000" w:themeColor="text1"/>
          <w:lang w:val="es-PR"/>
        </w:rPr>
        <w:t>e conformidad con el estado de derecho actual, todo Registrador o Registradora de la Propiedad debe ser nombrado por la Gobernador</w:t>
      </w:r>
      <w:r w:rsidR="00C97BB5">
        <w:rPr>
          <w:rFonts w:ascii="Book Antiqua" w:hAnsi="Book Antiqua"/>
          <w:color w:val="000000" w:themeColor="text1"/>
          <w:lang w:val="es-PR"/>
        </w:rPr>
        <w:t>a</w:t>
      </w:r>
      <w:r w:rsidR="00CB2B9A">
        <w:rPr>
          <w:rFonts w:ascii="Book Antiqua" w:hAnsi="Book Antiqua"/>
          <w:color w:val="000000" w:themeColor="text1"/>
          <w:lang w:val="es-PR"/>
        </w:rPr>
        <w:t xml:space="preserve"> de Puerto Rico y confirmado por el Senado. Este trámite de </w:t>
      </w:r>
      <w:r w:rsidR="006F4FA9" w:rsidRPr="002D56FF">
        <w:rPr>
          <w:rFonts w:ascii="Book Antiqua" w:hAnsi="Book Antiqua"/>
          <w:color w:val="000000" w:themeColor="text1"/>
          <w:lang w:val="es-PR"/>
        </w:rPr>
        <w:t>confirmación</w:t>
      </w:r>
      <w:r w:rsidR="00CB2B9A" w:rsidRPr="002D56FF">
        <w:rPr>
          <w:rFonts w:ascii="Book Antiqua" w:hAnsi="Book Antiqua"/>
          <w:color w:val="000000" w:themeColor="text1"/>
          <w:lang w:val="es-PR"/>
        </w:rPr>
        <w:t>,</w:t>
      </w:r>
      <w:r w:rsidR="00CB2B9A">
        <w:rPr>
          <w:rFonts w:ascii="Book Antiqua" w:hAnsi="Book Antiqua"/>
          <w:color w:val="000000" w:themeColor="text1"/>
          <w:lang w:val="es-PR"/>
        </w:rPr>
        <w:t xml:space="preserve"> que emana de la necesidad de que estos funcionarios de la Rama Ejecutiva carguen con voluntad democrática indirecta, se mantiene de manera intacta con este proyecto de ley. </w:t>
      </w:r>
    </w:p>
    <w:p w14:paraId="6B0A48D4" w14:textId="77777777" w:rsidR="00884545" w:rsidRDefault="00884545" w:rsidP="00250E7B">
      <w:pPr>
        <w:spacing w:line="288" w:lineRule="auto"/>
        <w:ind w:firstLine="720"/>
        <w:jc w:val="both"/>
        <w:rPr>
          <w:rFonts w:ascii="Book Antiqua" w:eastAsia="Book Antiqua" w:hAnsi="Book Antiqua" w:cs="Book Antiqua"/>
          <w:color w:val="000000" w:themeColor="text1"/>
          <w:lang w:val="es-PR"/>
        </w:rPr>
      </w:pPr>
    </w:p>
    <w:p w14:paraId="0D041DCF" w14:textId="77777777" w:rsidR="00383A2A" w:rsidRDefault="00383A2A" w:rsidP="001015D5">
      <w:pPr>
        <w:ind w:firstLine="720"/>
        <w:jc w:val="both"/>
        <w:rPr>
          <w:rFonts w:ascii="Book Antiqua" w:eastAsia="Book Antiqua" w:hAnsi="Book Antiqua" w:cs="Book Antiqua"/>
          <w:color w:val="000000" w:themeColor="text1"/>
          <w:lang w:val="es-PR"/>
        </w:rPr>
      </w:pPr>
    </w:p>
    <w:p w14:paraId="21225F58" w14:textId="026DF86F" w:rsidR="001A76F7" w:rsidRPr="00323B0D" w:rsidRDefault="001A76F7" w:rsidP="001A76F7">
      <w:pPr>
        <w:spacing w:after="240"/>
        <w:jc w:val="center"/>
        <w:rPr>
          <w:rFonts w:ascii="Book Antiqua" w:eastAsia="Book Antiqua" w:hAnsi="Book Antiqua" w:cs="Book Antiqua"/>
          <w:color w:val="000000" w:themeColor="text1"/>
          <w:spacing w:val="12"/>
          <w:lang w:val="es-PR"/>
        </w:rPr>
      </w:pPr>
      <w:r w:rsidRPr="00323B0D">
        <w:rPr>
          <w:rFonts w:ascii="Book Antiqua" w:eastAsia="Book Antiqua" w:hAnsi="Book Antiqua" w:cs="Book Antiqua"/>
          <w:color w:val="000000" w:themeColor="text1"/>
          <w:spacing w:val="12"/>
          <w:lang w:val="es-PR"/>
        </w:rPr>
        <w:t>TRASFONDO PROCESAL</w:t>
      </w:r>
    </w:p>
    <w:p w14:paraId="14AE4694" w14:textId="0E8506A7" w:rsidR="00B9503B" w:rsidRDefault="00323B0D" w:rsidP="005D2AB9">
      <w:pPr>
        <w:spacing w:after="120" w:line="288" w:lineRule="auto"/>
        <w:ind w:firstLine="720"/>
        <w:jc w:val="both"/>
        <w:rPr>
          <w:rFonts w:ascii="Book Antiqua" w:hAnsi="Book Antiqua"/>
          <w:lang w:val="es-PR"/>
        </w:rPr>
      </w:pPr>
      <w:r>
        <w:rPr>
          <w:rFonts w:ascii="Book Antiqua" w:eastAsia="Book Antiqua" w:hAnsi="Book Antiqua" w:cs="Book Antiqua"/>
          <w:color w:val="000000" w:themeColor="text1"/>
          <w:lang w:val="es-PR"/>
        </w:rPr>
        <w:t>L</w:t>
      </w:r>
      <w:r w:rsidR="00B9503B">
        <w:rPr>
          <w:rFonts w:ascii="Book Antiqua" w:eastAsia="Book Antiqua" w:hAnsi="Book Antiqua" w:cs="Book Antiqua"/>
          <w:color w:val="000000" w:themeColor="text1"/>
          <w:lang w:val="es-PR"/>
        </w:rPr>
        <w:t>a Ley</w:t>
      </w:r>
      <w:r>
        <w:rPr>
          <w:rFonts w:ascii="Book Antiqua" w:eastAsia="Book Antiqua" w:hAnsi="Book Antiqua" w:cs="Book Antiqua"/>
          <w:color w:val="000000" w:themeColor="text1"/>
          <w:lang w:val="es-PR"/>
        </w:rPr>
        <w:t xml:space="preserve"> Núm.</w:t>
      </w:r>
      <w:r w:rsidR="00B9503B">
        <w:rPr>
          <w:rFonts w:ascii="Book Antiqua" w:eastAsia="Book Antiqua" w:hAnsi="Book Antiqua" w:cs="Book Antiqua"/>
          <w:color w:val="000000" w:themeColor="text1"/>
          <w:lang w:val="es-PR"/>
        </w:rPr>
        <w:t xml:space="preserve"> 210-2015 fue aprobada teniendo presente objetivos de política pública muy importantes para el mercado inmobiliario puertorriqueño. Dicho estatuto permitió, y continúa permitiendo: </w:t>
      </w:r>
      <w:r w:rsidR="00B9503B" w:rsidRPr="00095BF0">
        <w:rPr>
          <w:rFonts w:ascii="Book Antiqua" w:hAnsi="Book Antiqua"/>
          <w:lang w:val="es-PR"/>
        </w:rPr>
        <w:t>establecer un orden sistemático y coherente de los preceptos legales</w:t>
      </w:r>
      <w:r w:rsidR="0069232E">
        <w:rPr>
          <w:rFonts w:ascii="Book Antiqua" w:hAnsi="Book Antiqua"/>
          <w:lang w:val="es-PR"/>
        </w:rPr>
        <w:t>;</w:t>
      </w:r>
      <w:r w:rsidR="00B9503B" w:rsidRPr="00095BF0">
        <w:rPr>
          <w:rFonts w:ascii="Book Antiqua" w:hAnsi="Book Antiqua"/>
          <w:lang w:val="es-PR"/>
        </w:rPr>
        <w:t xml:space="preserve"> además de lograr la incorporación y estudio de la jurisprudencia del Tribunal </w:t>
      </w:r>
      <w:r w:rsidR="00B9503B" w:rsidRPr="00B9503B">
        <w:rPr>
          <w:rFonts w:ascii="Book Antiqua" w:hAnsi="Book Antiqua"/>
          <w:lang w:val="es-PR"/>
        </w:rPr>
        <w:t>Supremo, de las doctrinas reconocidas en esta materia y el análisis y reconocimiento a características y negocios de gran desarrollo en Puerto Rico</w:t>
      </w:r>
      <w:r w:rsidR="0069232E">
        <w:rPr>
          <w:rFonts w:ascii="Book Antiqua" w:hAnsi="Book Antiqua"/>
          <w:lang w:val="es-PR"/>
        </w:rPr>
        <w:t>;</w:t>
      </w:r>
      <w:r w:rsidR="00B9503B" w:rsidRPr="00B9503B">
        <w:rPr>
          <w:rFonts w:ascii="Book Antiqua" w:hAnsi="Book Antiqua"/>
          <w:lang w:val="es-PR"/>
        </w:rPr>
        <w:t xml:space="preserve"> así como la eliminación de aquellos que no eran propios de la actualidad. </w:t>
      </w:r>
      <w:r w:rsidR="0069232E">
        <w:rPr>
          <w:rFonts w:ascii="Book Antiqua" w:hAnsi="Book Antiqua"/>
          <w:lang w:val="es-PR"/>
        </w:rPr>
        <w:t xml:space="preserve">La </w:t>
      </w:r>
      <w:r w:rsidR="00B9503B" w:rsidRPr="00B9503B">
        <w:rPr>
          <w:rFonts w:ascii="Book Antiqua" w:hAnsi="Book Antiqua"/>
          <w:lang w:val="es-PR"/>
        </w:rPr>
        <w:t>Ley</w:t>
      </w:r>
      <w:r w:rsidR="0069232E">
        <w:rPr>
          <w:rFonts w:ascii="Book Antiqua" w:hAnsi="Book Antiqua"/>
          <w:lang w:val="es-PR"/>
        </w:rPr>
        <w:t xml:space="preserve"> </w:t>
      </w:r>
      <w:r w:rsidR="0069232E">
        <w:rPr>
          <w:rFonts w:ascii="Book Antiqua" w:eastAsia="Book Antiqua" w:hAnsi="Book Antiqua" w:cs="Book Antiqua"/>
          <w:color w:val="000000" w:themeColor="text1"/>
          <w:lang w:val="es-PR"/>
        </w:rPr>
        <w:t>Núm. 210-2015</w:t>
      </w:r>
      <w:r w:rsidR="00B9503B" w:rsidRPr="00B9503B">
        <w:rPr>
          <w:rFonts w:ascii="Book Antiqua" w:hAnsi="Book Antiqua"/>
          <w:lang w:val="es-PR"/>
        </w:rPr>
        <w:t xml:space="preserve"> permitió la modernización y digitalización de nuestro Registro de la Propiedad en un proceso que todavía continúa.</w:t>
      </w:r>
      <w:r w:rsidR="00B92004">
        <w:rPr>
          <w:rFonts w:ascii="Book Antiqua" w:hAnsi="Book Antiqua"/>
          <w:lang w:val="es-PR"/>
        </w:rPr>
        <w:t xml:space="preserve"> </w:t>
      </w:r>
      <w:r w:rsidR="00D27F4D">
        <w:rPr>
          <w:rFonts w:ascii="Book Antiqua" w:hAnsi="Book Antiqua"/>
          <w:lang w:val="es-PR"/>
        </w:rPr>
        <w:t xml:space="preserve">Esta </w:t>
      </w:r>
      <w:r w:rsidR="00B92004">
        <w:rPr>
          <w:rFonts w:ascii="Book Antiqua" w:hAnsi="Book Antiqua"/>
          <w:lang w:val="es-PR"/>
        </w:rPr>
        <w:t>dice que parte de su intención específica fue:</w:t>
      </w:r>
    </w:p>
    <w:p w14:paraId="1E46911E" w14:textId="77777777" w:rsidR="00B92004" w:rsidRPr="005D2AB9" w:rsidRDefault="00B92004" w:rsidP="005D2AB9">
      <w:pPr>
        <w:ind w:left="720" w:right="720" w:firstLine="720"/>
        <w:jc w:val="both"/>
        <w:rPr>
          <w:rFonts w:ascii="Book Antiqua" w:hAnsi="Book Antiqua"/>
          <w:szCs w:val="24"/>
        </w:rPr>
      </w:pPr>
      <w:r w:rsidRPr="005D2AB9">
        <w:rPr>
          <w:rFonts w:ascii="Book Antiqua" w:hAnsi="Book Antiqua"/>
          <w:szCs w:val="24"/>
          <w:lang w:val="es-PR"/>
        </w:rPr>
        <w:t xml:space="preserve">[introducir] </w:t>
      </w:r>
      <w:r w:rsidRPr="005D2AB9">
        <w:rPr>
          <w:rFonts w:ascii="Book Antiqua" w:hAnsi="Book Antiqua"/>
          <w:szCs w:val="24"/>
        </w:rPr>
        <w:t xml:space="preserve">importantes reformas en el Derecho Inmobiliario, armonizando debidamente los textos legales vigentes y abreviando el contenido de los asientos del Registro, sin afectar los principios fundamentales del sistema. Se establece un orden sistemático y coherente de los preceptos legales, además de lograrse la necesaria unidad de estilo. La base para todo esto ha sido, además de las disposiciones de la Ley Hipotecaria y su Reglamento, la incorporación y estudio de la jurisprudencia del Tribunal Supremo, de las doctrinas reconocidas en esta materia y el análisis y reconocimiento a características y negocios de gran desarrollo en Puerto </w:t>
      </w:r>
      <w:proofErr w:type="gramStart"/>
      <w:r w:rsidRPr="005D2AB9">
        <w:rPr>
          <w:rFonts w:ascii="Book Antiqua" w:hAnsi="Book Antiqua"/>
          <w:szCs w:val="24"/>
        </w:rPr>
        <w:t>Rico</w:t>
      </w:r>
      <w:proofErr w:type="gramEnd"/>
      <w:r w:rsidRPr="005D2AB9">
        <w:rPr>
          <w:rFonts w:ascii="Book Antiqua" w:hAnsi="Book Antiqua"/>
          <w:szCs w:val="24"/>
        </w:rPr>
        <w:t xml:space="preserve"> así como la eliminación de aquellos que no son propios del siglo actual.</w:t>
      </w:r>
    </w:p>
    <w:p w14:paraId="4CEA8C35" w14:textId="77777777" w:rsidR="00B92004" w:rsidRPr="005D2AB9" w:rsidRDefault="00B92004" w:rsidP="005D2AB9">
      <w:pPr>
        <w:spacing w:line="288" w:lineRule="auto"/>
        <w:ind w:left="720" w:right="720" w:firstLine="720"/>
        <w:jc w:val="both"/>
        <w:rPr>
          <w:rFonts w:ascii="Book Antiqua" w:hAnsi="Book Antiqua"/>
          <w:szCs w:val="24"/>
        </w:rPr>
      </w:pPr>
      <w:r w:rsidRPr="005D2AB9">
        <w:rPr>
          <w:rFonts w:ascii="Book Antiqua" w:hAnsi="Book Antiqua"/>
          <w:szCs w:val="24"/>
        </w:rPr>
        <w:t>…</w:t>
      </w:r>
    </w:p>
    <w:p w14:paraId="5BB4AC38" w14:textId="7C4D323B" w:rsidR="00B92004" w:rsidRDefault="00B92004" w:rsidP="005D2AB9">
      <w:pPr>
        <w:ind w:left="720" w:right="720" w:firstLine="720"/>
        <w:jc w:val="both"/>
        <w:rPr>
          <w:rFonts w:ascii="Book Antiqua" w:hAnsi="Book Antiqua"/>
          <w:szCs w:val="24"/>
        </w:rPr>
      </w:pPr>
      <w:r w:rsidRPr="005D2AB9">
        <w:rPr>
          <w:rFonts w:ascii="Book Antiqua" w:hAnsi="Book Antiqua"/>
          <w:szCs w:val="24"/>
        </w:rPr>
        <w:t>En resumen, esta Asamblea Legislativa es consciente de la importancia que tiene el Registro de la Propiedad como vehículo para viabilizar el tráfico jurídico de los bienes inmuebles al asegurar la certeza y publicidad de los derechos que allí constan inscritos o anotados. Reconoce por tanto la necesidad de establecer una base jurídica moderna, atemperada a los nuevos desarrollos jurisprudenciales y a los nuevos modos de hacer negocios. Así, para que el Registro de la Propiedad de Puerto Rico se inserte en el concierto de naciones del mundo con un derecho y sistema registral inmobiliario de primer orden, se adopta esta Ley para el beneficio y como aportación significativa al desarrollo económico de todo [Puerto Rico].</w:t>
      </w:r>
      <w:r w:rsidR="00D27F4D" w:rsidRPr="005D2AB9">
        <w:rPr>
          <w:rStyle w:val="FootnoteReference"/>
          <w:rFonts w:ascii="Book Antiqua" w:hAnsi="Book Antiqua"/>
          <w:szCs w:val="24"/>
        </w:rPr>
        <w:footnoteReference w:id="5"/>
      </w:r>
      <w:r w:rsidRPr="005D2AB9">
        <w:rPr>
          <w:rFonts w:ascii="Book Antiqua" w:hAnsi="Book Antiqua"/>
          <w:szCs w:val="24"/>
        </w:rPr>
        <w:t xml:space="preserve"> </w:t>
      </w:r>
    </w:p>
    <w:p w14:paraId="21BC0D12" w14:textId="77777777" w:rsidR="005D2AB9" w:rsidRDefault="005D2AB9" w:rsidP="005D2AB9">
      <w:pPr>
        <w:ind w:left="720" w:right="720" w:firstLine="720"/>
        <w:jc w:val="both"/>
        <w:rPr>
          <w:rFonts w:ascii="Book Antiqua" w:hAnsi="Book Antiqua"/>
          <w:szCs w:val="24"/>
        </w:rPr>
      </w:pPr>
    </w:p>
    <w:p w14:paraId="520DF69F" w14:textId="77777777" w:rsidR="005D2AB9" w:rsidRPr="00B92004" w:rsidRDefault="005D2AB9" w:rsidP="005D2AB9">
      <w:pPr>
        <w:ind w:left="720" w:right="720" w:firstLine="720"/>
        <w:jc w:val="both"/>
        <w:rPr>
          <w:rFonts w:ascii="Book Antiqua" w:hAnsi="Book Antiqua"/>
          <w:szCs w:val="24"/>
          <w:lang w:val="es-PR"/>
        </w:rPr>
      </w:pPr>
    </w:p>
    <w:p w14:paraId="4DAE05A6" w14:textId="77777777" w:rsidR="00B9503B" w:rsidRDefault="00B9503B" w:rsidP="00AB70A8">
      <w:pPr>
        <w:spacing w:line="288" w:lineRule="auto"/>
        <w:ind w:firstLine="720"/>
        <w:jc w:val="both"/>
        <w:rPr>
          <w:rFonts w:ascii="Book Antiqua" w:hAnsi="Book Antiqua"/>
          <w:lang w:val="es-PR"/>
        </w:rPr>
      </w:pPr>
    </w:p>
    <w:p w14:paraId="2F8FE903" w14:textId="63F022A2" w:rsidR="00B92004" w:rsidRDefault="007C66FD" w:rsidP="007B4FE1">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 xml:space="preserve">La Ley Núm. 210-2015 </w:t>
      </w:r>
      <w:r w:rsidR="00B92004">
        <w:rPr>
          <w:rFonts w:ascii="Book Antiqua" w:eastAsia="Book Antiqua" w:hAnsi="Book Antiqua" w:cs="Book Antiqua"/>
          <w:color w:val="000000" w:themeColor="text1"/>
          <w:lang w:val="es-PR"/>
        </w:rPr>
        <w:t xml:space="preserve">fue producto de un análisis minucioso ante la Cámara de Representantes y el Senado de Puerto Rico. </w:t>
      </w:r>
      <w:r>
        <w:rPr>
          <w:rFonts w:ascii="Book Antiqua" w:eastAsia="Book Antiqua" w:hAnsi="Book Antiqua" w:cs="Book Antiqua"/>
          <w:color w:val="000000" w:themeColor="text1"/>
          <w:lang w:val="es-PR"/>
        </w:rPr>
        <w:t>E</w:t>
      </w:r>
      <w:r w:rsidR="00B92004">
        <w:rPr>
          <w:rFonts w:ascii="Book Antiqua" w:eastAsia="Book Antiqua" w:hAnsi="Book Antiqua" w:cs="Book Antiqua"/>
          <w:color w:val="000000" w:themeColor="text1"/>
          <w:lang w:val="es-PR"/>
        </w:rPr>
        <w:t xml:space="preserve">se análisis incluyó una mirada técnica al contexto histórico de nuestro estado de derecho hasta el momento, así como la necesidad de cambios fundamentales en la forma y manera en que se operaba </w:t>
      </w:r>
      <w:r>
        <w:rPr>
          <w:rFonts w:ascii="Book Antiqua" w:eastAsia="Book Antiqua" w:hAnsi="Book Antiqua" w:cs="Book Antiqua"/>
          <w:color w:val="000000" w:themeColor="text1"/>
          <w:lang w:val="es-PR"/>
        </w:rPr>
        <w:t>—</w:t>
      </w:r>
      <w:r w:rsidR="00B92004">
        <w:rPr>
          <w:rFonts w:ascii="Book Antiqua" w:eastAsia="Book Antiqua" w:hAnsi="Book Antiqua" w:cs="Book Antiqua"/>
          <w:color w:val="000000" w:themeColor="text1"/>
          <w:lang w:val="es-PR"/>
        </w:rPr>
        <w:t>y la aspiración de cómo se debería operar y administrar esta importante herramienta de nuestro acervo jurídico. Dice así, en lo aquí pertinente, el informe de la comisión con jurisdicción primaria, que atendió este tema hace casi 11 años:</w:t>
      </w:r>
    </w:p>
    <w:p w14:paraId="43037E4C" w14:textId="77777777" w:rsidR="00B01031" w:rsidRPr="007B4FE1" w:rsidRDefault="00B01031" w:rsidP="00DC00A3">
      <w:pPr>
        <w:autoSpaceDE w:val="0"/>
        <w:autoSpaceDN w:val="0"/>
        <w:adjustRightInd w:val="0"/>
        <w:ind w:left="540" w:right="720" w:firstLine="360"/>
        <w:jc w:val="both"/>
        <w:rPr>
          <w:rFonts w:ascii="Book Antiqua" w:hAnsi="Book Antiqua" w:cs="Courier"/>
          <w:szCs w:val="24"/>
          <w:lang w:val="es-PR"/>
        </w:rPr>
      </w:pPr>
      <w:r w:rsidRPr="007B4FE1">
        <w:rPr>
          <w:rFonts w:ascii="Book Antiqua" w:hAnsi="Book Antiqua" w:cs="Courier"/>
          <w:szCs w:val="24"/>
          <w:lang w:val="es-PR"/>
        </w:rPr>
        <w:t xml:space="preserve">No cabe duda de que el sistema registral inmobiliario puertorriqueño, así como el derecho hipotecario ha operado por más de un siglo utilizando mecanismos, conceptos y procedimientos que son más propios para la época en que la tecnología aplicable se circunscribía a una pluma fuente, una jarra de tinta china y las destrezas caligráficas de un escribano.  </w:t>
      </w:r>
    </w:p>
    <w:p w14:paraId="7810F44F" w14:textId="77777777" w:rsidR="00B01031" w:rsidRPr="007B4FE1" w:rsidRDefault="00B01031" w:rsidP="00DC00A3">
      <w:pPr>
        <w:autoSpaceDE w:val="0"/>
        <w:autoSpaceDN w:val="0"/>
        <w:adjustRightInd w:val="0"/>
        <w:ind w:left="540" w:right="720" w:firstLine="360"/>
        <w:jc w:val="both"/>
        <w:rPr>
          <w:rFonts w:ascii="Book Antiqua" w:hAnsi="Book Antiqua" w:cs="Courier"/>
          <w:szCs w:val="24"/>
          <w:lang w:val="es-PR"/>
        </w:rPr>
      </w:pPr>
      <w:r w:rsidRPr="007B4FE1">
        <w:rPr>
          <w:rFonts w:ascii="Book Antiqua" w:hAnsi="Book Antiqua" w:cs="Courier"/>
          <w:szCs w:val="24"/>
          <w:lang w:val="es-PR"/>
        </w:rPr>
        <w:t>La sociedad y sus negocios han seguido el curso lógico del paso de los tiempos mientras que la institución principal para asegurar la publicidad de las transacciones con bienes inmuebles ha quedado tan rezagada en su desempeño que se ha convertido en un serio obstáculo para el desarrollo del País.</w:t>
      </w:r>
    </w:p>
    <w:p w14:paraId="3D797E93" w14:textId="77777777" w:rsidR="00B01031" w:rsidRPr="007B4FE1" w:rsidRDefault="00B01031" w:rsidP="00DC00A3">
      <w:pPr>
        <w:autoSpaceDE w:val="0"/>
        <w:autoSpaceDN w:val="0"/>
        <w:adjustRightInd w:val="0"/>
        <w:ind w:left="540" w:right="720" w:firstLine="360"/>
        <w:jc w:val="both"/>
        <w:rPr>
          <w:rFonts w:ascii="Book Antiqua" w:hAnsi="Book Antiqua"/>
          <w:szCs w:val="24"/>
          <w:lang w:val="es-ES_tradnl"/>
        </w:rPr>
      </w:pPr>
      <w:r w:rsidRPr="007B4FE1">
        <w:rPr>
          <w:rFonts w:ascii="Book Antiqua" w:hAnsi="Book Antiqua" w:cs="Courier"/>
          <w:b/>
          <w:bCs/>
          <w:szCs w:val="24"/>
          <w:lang w:val="es-PR"/>
        </w:rPr>
        <w:t xml:space="preserve">En este nuevo milenio las instituciones del Estado tienen que estar al día y operar conforme los requerimientos contemporáneos. Ahora más que nunca, cuando enfrentamos una grave crisis económica, se hace necesario que actualicemos una entidad cuya operación es imprescindible para el buen funcionamiento de </w:t>
      </w:r>
      <w:r w:rsidRPr="007B4FE1">
        <w:rPr>
          <w:rFonts w:ascii="Book Antiqua" w:hAnsi="Book Antiqua"/>
          <w:b/>
          <w:bCs/>
          <w:szCs w:val="24"/>
          <w:lang w:val="es-ES_tradnl"/>
        </w:rPr>
        <w:t>nuestra economía</w:t>
      </w:r>
      <w:r w:rsidRPr="007B4FE1">
        <w:rPr>
          <w:rFonts w:ascii="Book Antiqua" w:hAnsi="Book Antiqua"/>
          <w:szCs w:val="24"/>
          <w:lang w:val="es-ES_tradnl"/>
        </w:rPr>
        <w:t>. De ahí la necesidad de atender este asunto con la seriedad que se le ha impartido.</w:t>
      </w:r>
    </w:p>
    <w:p w14:paraId="78F99B40" w14:textId="4DB44148" w:rsidR="00B01031" w:rsidRPr="007B4FE1" w:rsidRDefault="00B01031" w:rsidP="00DC00A3">
      <w:pPr>
        <w:autoSpaceDE w:val="0"/>
        <w:autoSpaceDN w:val="0"/>
        <w:adjustRightInd w:val="0"/>
        <w:ind w:left="540" w:right="720" w:firstLine="360"/>
        <w:jc w:val="both"/>
        <w:rPr>
          <w:rFonts w:ascii="Book Antiqua" w:hAnsi="Book Antiqua"/>
          <w:szCs w:val="24"/>
          <w:lang w:val="es-ES_tradnl"/>
        </w:rPr>
      </w:pPr>
      <w:r w:rsidRPr="007B4FE1">
        <w:rPr>
          <w:rFonts w:ascii="Book Antiqua" w:hAnsi="Book Antiqua"/>
          <w:szCs w:val="24"/>
          <w:lang w:val="es-ES_tradnl"/>
        </w:rPr>
        <w:t xml:space="preserve">Por décadas todos los sectores interesados en la materia han estado de acuerdo </w:t>
      </w:r>
      <w:r w:rsidR="00665E35" w:rsidRPr="007B4FE1">
        <w:rPr>
          <w:rFonts w:ascii="Book Antiqua" w:hAnsi="Book Antiqua"/>
          <w:szCs w:val="24"/>
          <w:lang w:val="es-ES_tradnl"/>
        </w:rPr>
        <w:t>en</w:t>
      </w:r>
      <w:r w:rsidRPr="007B4FE1">
        <w:rPr>
          <w:rFonts w:ascii="Book Antiqua" w:hAnsi="Book Antiqua"/>
          <w:szCs w:val="24"/>
          <w:lang w:val="es-ES_tradnl"/>
        </w:rPr>
        <w:t xml:space="preserve"> que era imprescindible </w:t>
      </w:r>
      <w:r w:rsidR="00665E35" w:rsidRPr="007B4FE1">
        <w:rPr>
          <w:rFonts w:ascii="Book Antiqua" w:hAnsi="Book Antiqua"/>
          <w:szCs w:val="24"/>
          <w:lang w:val="es-ES_tradnl"/>
        </w:rPr>
        <w:t>llevar</w:t>
      </w:r>
      <w:r w:rsidRPr="007B4FE1">
        <w:rPr>
          <w:rFonts w:ascii="Book Antiqua" w:hAnsi="Book Antiqua"/>
          <w:szCs w:val="24"/>
          <w:lang w:val="es-ES_tradnl"/>
        </w:rPr>
        <w:t xml:space="preserve"> a cabo un cambio total del sistema y la ley hipotecaria. Pero después del</w:t>
      </w:r>
      <w:r w:rsidRPr="007B4FE1">
        <w:rPr>
          <w:rFonts w:ascii="Book Antiqua" w:hAnsi="Book Antiqua"/>
          <w:szCs w:val="24"/>
          <w:lang w:val="es-PR"/>
        </w:rPr>
        <w:t xml:space="preserve"> 8 de agosto de 1979, no se había concretado una acción reformadora como esta.</w:t>
      </w:r>
      <w:r w:rsidRPr="007B4FE1">
        <w:rPr>
          <w:rFonts w:ascii="Book Antiqua" w:hAnsi="Book Antiqua"/>
          <w:szCs w:val="24"/>
          <w:lang w:val="es-ES_tradnl"/>
        </w:rPr>
        <w:t xml:space="preserve"> </w:t>
      </w:r>
    </w:p>
    <w:p w14:paraId="1AC5DBE4" w14:textId="14BFE07E" w:rsidR="00B01031" w:rsidRPr="007B4FE1" w:rsidRDefault="00B01031" w:rsidP="00DC00A3">
      <w:pPr>
        <w:autoSpaceDE w:val="0"/>
        <w:autoSpaceDN w:val="0"/>
        <w:adjustRightInd w:val="0"/>
        <w:ind w:left="540" w:right="720" w:firstLine="360"/>
        <w:jc w:val="both"/>
        <w:rPr>
          <w:rFonts w:ascii="Book Antiqua" w:hAnsi="Book Antiqua"/>
          <w:szCs w:val="24"/>
          <w:lang w:val="es-PR"/>
        </w:rPr>
      </w:pPr>
      <w:r w:rsidRPr="007B4FE1">
        <w:rPr>
          <w:rFonts w:ascii="Book Antiqua" w:hAnsi="Book Antiqua"/>
          <w:szCs w:val="24"/>
          <w:lang w:val="es-ES_tradnl"/>
        </w:rPr>
        <w:t>Recientemente un grupo de personas versadas en el asunto tom</w:t>
      </w:r>
      <w:r w:rsidR="00324DEF">
        <w:rPr>
          <w:rFonts w:ascii="Book Antiqua" w:hAnsi="Book Antiqua"/>
          <w:szCs w:val="24"/>
          <w:lang w:val="es-ES_tradnl"/>
        </w:rPr>
        <w:t>ó</w:t>
      </w:r>
      <w:r w:rsidRPr="007B4FE1">
        <w:rPr>
          <w:rFonts w:ascii="Book Antiqua" w:hAnsi="Book Antiqua"/>
          <w:szCs w:val="24"/>
          <w:lang w:val="es-ES_tradnl"/>
        </w:rPr>
        <w:t xml:space="preserve"> la iniciativa. Con unidad de propósito y obviando aquel proverbio que reza </w:t>
      </w:r>
      <w:r w:rsidRPr="007B4FE1">
        <w:rPr>
          <w:rFonts w:ascii="Book Antiqua" w:hAnsi="Book Antiqua"/>
          <w:i/>
          <w:szCs w:val="24"/>
          <w:lang w:val="es-PR"/>
        </w:rPr>
        <w:t>“el que aguarda para hacer mucho de una vez, nunca hará nada”</w:t>
      </w:r>
      <w:r w:rsidRPr="007B4FE1">
        <w:rPr>
          <w:rFonts w:ascii="Book Antiqua" w:hAnsi="Book Antiqua"/>
          <w:szCs w:val="24"/>
          <w:lang w:val="es-PR"/>
        </w:rPr>
        <w:t xml:space="preserve"> decidieron agarrar el toro por los cuernos y sentarse a redactar una nueva legislación que permitiera al sistema llegar hasta este nuevo siglo. Es por ello </w:t>
      </w:r>
      <w:proofErr w:type="gramStart"/>
      <w:r w:rsidRPr="007B4FE1">
        <w:rPr>
          <w:rFonts w:ascii="Book Antiqua" w:hAnsi="Book Antiqua"/>
          <w:szCs w:val="24"/>
          <w:lang w:val="es-PR"/>
        </w:rPr>
        <w:t>que</w:t>
      </w:r>
      <w:proofErr w:type="gramEnd"/>
      <w:r w:rsidRPr="007B4FE1">
        <w:rPr>
          <w:rFonts w:ascii="Book Antiqua" w:hAnsi="Book Antiqua"/>
          <w:szCs w:val="24"/>
          <w:lang w:val="es-PR"/>
        </w:rPr>
        <w:t xml:space="preserve"> hay que reconocer la grandeza de esta gesta.</w:t>
      </w:r>
    </w:p>
    <w:p w14:paraId="33917433" w14:textId="05F1ED8E" w:rsidR="00B01031" w:rsidRPr="007B4FE1" w:rsidRDefault="00B01031" w:rsidP="00DC00A3">
      <w:pPr>
        <w:autoSpaceDE w:val="0"/>
        <w:autoSpaceDN w:val="0"/>
        <w:adjustRightInd w:val="0"/>
        <w:spacing w:after="120"/>
        <w:ind w:left="547" w:right="720" w:firstLine="360"/>
        <w:jc w:val="both"/>
        <w:rPr>
          <w:rFonts w:ascii="Book Antiqua" w:hAnsi="Book Antiqua"/>
          <w:szCs w:val="24"/>
          <w:lang w:val="es-PR"/>
        </w:rPr>
      </w:pPr>
      <w:r w:rsidRPr="007B4FE1">
        <w:rPr>
          <w:rFonts w:ascii="Book Antiqua" w:hAnsi="Book Antiqua"/>
          <w:szCs w:val="24"/>
          <w:lang w:val="es-PR"/>
        </w:rPr>
        <w:t xml:space="preserve">   Por otro</w:t>
      </w:r>
      <w:r w:rsidRPr="007B4FE1">
        <w:rPr>
          <w:rFonts w:ascii="Book Antiqua" w:hAnsi="Book Antiqua"/>
          <w:szCs w:val="24"/>
          <w:lang w:val="es-ES_tradnl"/>
        </w:rPr>
        <w:t xml:space="preserve"> lado, estamos conscientes de que toda recomendación y análisis que reciba esta Asamblea Legislativa siempre es </w:t>
      </w:r>
      <w:r w:rsidR="00324DEF" w:rsidRPr="007B4FE1">
        <w:rPr>
          <w:rFonts w:ascii="Book Antiqua" w:hAnsi="Book Antiqua"/>
          <w:szCs w:val="24"/>
          <w:lang w:val="es-ES_tradnl"/>
        </w:rPr>
        <w:t>bienvenida,</w:t>
      </w:r>
      <w:r w:rsidRPr="007B4FE1">
        <w:rPr>
          <w:rFonts w:ascii="Book Antiqua" w:hAnsi="Book Antiqua"/>
          <w:szCs w:val="24"/>
          <w:lang w:val="es-ES_tradnl"/>
        </w:rPr>
        <w:t xml:space="preserve"> pero, ante la situación que enfrentamos, la gerencia prudente sugiere que se hace impostergable</w:t>
      </w:r>
      <w:r w:rsidRPr="007B4FE1">
        <w:rPr>
          <w:rFonts w:ascii="Book Antiqua" w:hAnsi="Book Antiqua"/>
          <w:szCs w:val="24"/>
          <w:lang w:val="es-PR"/>
        </w:rPr>
        <w:t xml:space="preserve"> el análisis de esta medida por más tiempo. A manera de ilustrar las complejidades, retrasos, gastos descontrolados y complicaciones de distinta naturaleza que generan las discusiones, evaluaciones o estudios prolongados, es preciso recordar a </w:t>
      </w:r>
      <w:r w:rsidRPr="007B4FE1">
        <w:rPr>
          <w:rFonts w:ascii="Book Antiqua" w:hAnsi="Book Antiqua" w:cs="Arial"/>
          <w:bCs/>
          <w:szCs w:val="24"/>
          <w:shd w:val="clear" w:color="auto" w:fill="FFFFFF"/>
          <w:lang w:val="es-PR"/>
        </w:rPr>
        <w:t xml:space="preserve">Sir Alexander Arnold Constantine Issigonis, célebre diseñador británico de automóviles, quien en una ocasión </w:t>
      </w:r>
      <w:r w:rsidRPr="007B4FE1">
        <w:rPr>
          <w:rFonts w:ascii="Book Antiqua" w:hAnsi="Book Antiqua" w:cs="Arial"/>
          <w:bCs/>
          <w:szCs w:val="24"/>
          <w:shd w:val="clear" w:color="auto" w:fill="FFFFFF"/>
          <w:lang w:val="es-PR"/>
        </w:rPr>
        <w:lastRenderedPageBreak/>
        <w:t xml:space="preserve">comento que </w:t>
      </w:r>
      <w:r w:rsidRPr="007B4FE1">
        <w:rPr>
          <w:rFonts w:ascii="Book Antiqua" w:hAnsi="Book Antiqua" w:cs="Arial"/>
          <w:bCs/>
          <w:i/>
          <w:szCs w:val="24"/>
          <w:shd w:val="clear" w:color="auto" w:fill="FFFFFF"/>
          <w:lang w:val="es-PR"/>
        </w:rPr>
        <w:t>“un camello era un caballo diseñado por un comité”,</w:t>
      </w:r>
      <w:r w:rsidRPr="007B4FE1">
        <w:rPr>
          <w:rFonts w:ascii="Book Antiqua" w:hAnsi="Book Antiqua" w:cs="Arial"/>
          <w:bCs/>
          <w:szCs w:val="24"/>
          <w:shd w:val="clear" w:color="auto" w:fill="FFFFFF"/>
          <w:lang w:val="es-PR"/>
        </w:rPr>
        <w:t xml:space="preserve"> en clara analogía al fracaso en el desarrollo de un concepto, producto de excesivo análisis.</w:t>
      </w:r>
    </w:p>
    <w:p w14:paraId="5F2240FD" w14:textId="7D0BFF76" w:rsidR="002E4267" w:rsidRPr="007B4FE1" w:rsidRDefault="00B01031" w:rsidP="00441684">
      <w:pPr>
        <w:autoSpaceDE w:val="0"/>
        <w:autoSpaceDN w:val="0"/>
        <w:adjustRightInd w:val="0"/>
        <w:spacing w:line="288" w:lineRule="auto"/>
        <w:ind w:firstLine="720"/>
        <w:jc w:val="both"/>
        <w:rPr>
          <w:rFonts w:ascii="Book Antiqua" w:hAnsi="Book Antiqua" w:cs="Courier"/>
          <w:szCs w:val="24"/>
          <w:lang w:val="es-PR"/>
        </w:rPr>
      </w:pPr>
      <w:r w:rsidRPr="007B4FE1">
        <w:rPr>
          <w:rFonts w:ascii="Book Antiqua" w:hAnsi="Book Antiqua"/>
          <w:szCs w:val="24"/>
          <w:lang w:val="es-ES_tradnl"/>
        </w:rPr>
        <w:t xml:space="preserve">  </w:t>
      </w:r>
      <w:r w:rsidR="0084232D">
        <w:rPr>
          <w:rFonts w:ascii="Book Antiqua" w:hAnsi="Book Antiqua"/>
          <w:szCs w:val="24"/>
          <w:lang w:val="es-ES_tradnl"/>
        </w:rPr>
        <w:t>L</w:t>
      </w:r>
      <w:r w:rsidRPr="007B4FE1">
        <w:rPr>
          <w:rFonts w:ascii="Book Antiqua" w:hAnsi="Book Antiqua"/>
          <w:szCs w:val="24"/>
          <w:lang w:val="es-ES_tradnl"/>
        </w:rPr>
        <w:t xml:space="preserve">a mayor parte de las recomendaciones de los distinguidos deponentes y las entidades llamadas a opinar al respecto fueron acogidas e incluidas en el proyecto ante nuestra consideración. </w:t>
      </w:r>
      <w:r w:rsidR="0084232D">
        <w:rPr>
          <w:rFonts w:ascii="Book Antiqua" w:hAnsi="Book Antiqua"/>
          <w:szCs w:val="24"/>
          <w:lang w:val="es-ES_tradnl"/>
        </w:rPr>
        <w:t>E</w:t>
      </w:r>
      <w:r w:rsidRPr="007B4FE1">
        <w:rPr>
          <w:rFonts w:ascii="Book Antiqua" w:hAnsi="Book Antiqua"/>
          <w:szCs w:val="24"/>
          <w:lang w:val="es-ES_tradnl"/>
        </w:rPr>
        <w:t xml:space="preserve">stas aportaciones </w:t>
      </w:r>
      <w:r w:rsidR="0084232D">
        <w:rPr>
          <w:rFonts w:ascii="Book Antiqua" w:hAnsi="Book Antiqua"/>
          <w:szCs w:val="24"/>
          <w:lang w:val="es-ES_tradnl"/>
        </w:rPr>
        <w:t xml:space="preserve">sirvieron </w:t>
      </w:r>
      <w:r w:rsidRPr="007B4FE1">
        <w:rPr>
          <w:rFonts w:ascii="Book Antiqua" w:hAnsi="Book Antiqua"/>
          <w:szCs w:val="24"/>
          <w:lang w:val="es-ES_tradnl"/>
        </w:rPr>
        <w:t xml:space="preserve">para mejorar aún más esta medida y han ayudado a crear un instrumento de trabajo más efectivo para los registradores y notarios de este </w:t>
      </w:r>
      <w:r w:rsidR="001B32C7">
        <w:rPr>
          <w:rFonts w:ascii="Book Antiqua" w:hAnsi="Book Antiqua"/>
          <w:szCs w:val="24"/>
          <w:lang w:val="es-ES_tradnl"/>
        </w:rPr>
        <w:t>territorio</w:t>
      </w:r>
      <w:r w:rsidRPr="007B4FE1">
        <w:rPr>
          <w:rFonts w:ascii="Book Antiqua" w:hAnsi="Book Antiqua"/>
          <w:szCs w:val="24"/>
          <w:lang w:val="es-ES_tradnl"/>
        </w:rPr>
        <w:t>.</w:t>
      </w:r>
      <w:r w:rsidR="007B4FE1" w:rsidRPr="007B4FE1">
        <w:rPr>
          <w:rStyle w:val="FootnoteReference"/>
          <w:rFonts w:ascii="Book Antiqua" w:hAnsi="Book Antiqua"/>
          <w:szCs w:val="24"/>
          <w:lang w:val="es-ES_tradnl"/>
        </w:rPr>
        <w:footnoteReference w:id="6"/>
      </w:r>
      <w:r w:rsidRPr="007B4FE1">
        <w:rPr>
          <w:rFonts w:ascii="Book Antiqua" w:hAnsi="Book Antiqua" w:cs="Courier"/>
          <w:szCs w:val="24"/>
          <w:lang w:val="es-PR"/>
        </w:rPr>
        <w:t xml:space="preserve"> </w:t>
      </w:r>
    </w:p>
    <w:p w14:paraId="128B834F" w14:textId="592AC0CD" w:rsidR="002E4267" w:rsidRDefault="00B01031" w:rsidP="00441684">
      <w:pPr>
        <w:spacing w:after="160" w:line="288" w:lineRule="auto"/>
        <w:ind w:firstLine="720"/>
        <w:jc w:val="both"/>
        <w:rPr>
          <w:lang w:val="es-ES"/>
        </w:rPr>
      </w:pPr>
      <w:r>
        <w:rPr>
          <w:rFonts w:ascii="Book Antiqua" w:eastAsia="Book Antiqua" w:hAnsi="Book Antiqua" w:cs="Book Antiqua"/>
          <w:color w:val="000000" w:themeColor="text1"/>
          <w:lang w:val="es-PR"/>
        </w:rPr>
        <w:t xml:space="preserve">Debemos tener presente el marco en que se aprobó esta legislación hace ya más de una década: su intención de modernización y actualización de los procesos, </w:t>
      </w:r>
      <w:r w:rsidR="00501594">
        <w:rPr>
          <w:rFonts w:ascii="Book Antiqua" w:eastAsia="Book Antiqua" w:hAnsi="Book Antiqua" w:cs="Book Antiqua"/>
          <w:color w:val="000000" w:themeColor="text1"/>
          <w:lang w:val="es-PR"/>
        </w:rPr>
        <w:t>sin perder de perspectiva los beneficios de su historia para nuestro acervo jur</w:t>
      </w:r>
      <w:r w:rsidR="00501594" w:rsidRPr="00501594">
        <w:rPr>
          <w:rFonts w:ascii="Book Antiqua" w:eastAsia="Book Antiqua" w:hAnsi="Book Antiqua" w:cs="Book Antiqua"/>
          <w:color w:val="000000" w:themeColor="text1"/>
          <w:lang w:val="es-PR"/>
        </w:rPr>
        <w:t>í</w:t>
      </w:r>
      <w:r w:rsidR="00501594">
        <w:rPr>
          <w:rFonts w:ascii="Book Antiqua" w:eastAsia="Book Antiqua" w:hAnsi="Book Antiqua" w:cs="Book Antiqua"/>
          <w:color w:val="000000" w:themeColor="text1"/>
          <w:lang w:val="es-PR"/>
        </w:rPr>
        <w:t xml:space="preserve">dico, </w:t>
      </w:r>
      <w:r>
        <w:rPr>
          <w:rFonts w:ascii="Book Antiqua" w:eastAsia="Book Antiqua" w:hAnsi="Book Antiqua" w:cs="Book Antiqua"/>
          <w:color w:val="000000" w:themeColor="text1"/>
          <w:lang w:val="es-PR"/>
        </w:rPr>
        <w:t>todavía parece ser necesaria; o al menos es lo que podemos destilar de la intención legislativa de las enmiendas que procura hacer el P. de la C. 972</w:t>
      </w:r>
      <w:r w:rsidR="009440BF">
        <w:rPr>
          <w:rFonts w:ascii="Book Antiqua" w:hAnsi="Book Antiqua"/>
          <w:lang w:val="es-ES"/>
        </w:rPr>
        <w:t xml:space="preserve">. </w:t>
      </w:r>
    </w:p>
    <w:p w14:paraId="1C9D566C" w14:textId="5206D18C" w:rsidR="000A6E42" w:rsidRPr="00610C72" w:rsidRDefault="003B38A4" w:rsidP="001925F8">
      <w:pPr>
        <w:spacing w:after="240"/>
        <w:jc w:val="center"/>
        <w:rPr>
          <w:rFonts w:ascii="Book Antiqua" w:eastAsia="Book Antiqua" w:hAnsi="Book Antiqua" w:cs="Book Antiqua"/>
          <w:color w:val="000000" w:themeColor="text1"/>
          <w:lang w:val="es-PR"/>
        </w:rPr>
      </w:pPr>
      <w:r w:rsidRPr="00610C72">
        <w:rPr>
          <w:rFonts w:ascii="Book Antiqua" w:eastAsia="Book Antiqua" w:hAnsi="Book Antiqua" w:cs="Book Antiqua"/>
          <w:color w:val="000000" w:themeColor="text1"/>
          <w:spacing w:val="12"/>
          <w:lang w:val="es-PR"/>
        </w:rPr>
        <w:t>ANÁLISIS DE LA MEDIDA</w:t>
      </w:r>
    </w:p>
    <w:p w14:paraId="54868DDF" w14:textId="6DE20012" w:rsidR="00AF449A" w:rsidRPr="00FE4E67" w:rsidRDefault="00596033" w:rsidP="00231F20">
      <w:pPr>
        <w:spacing w:after="120" w:line="288" w:lineRule="auto"/>
        <w:ind w:firstLine="720"/>
        <w:jc w:val="both"/>
        <w:rPr>
          <w:rFonts w:ascii="Book Antiqua" w:eastAsia="Book Antiqua" w:hAnsi="Book Antiqua" w:cs="Book Antiqua"/>
          <w:color w:val="000000" w:themeColor="text1"/>
          <w:lang w:val="es-PR"/>
        </w:rPr>
      </w:pPr>
      <w:r w:rsidRPr="00FE4E67">
        <w:rPr>
          <w:rFonts w:ascii="Book Antiqua" w:eastAsia="Book Antiqua" w:hAnsi="Book Antiqua" w:cs="Book Antiqua"/>
          <w:color w:val="000000" w:themeColor="text1"/>
          <w:lang w:val="es-PR"/>
        </w:rPr>
        <w:t>Como</w:t>
      </w:r>
      <w:r w:rsidR="00954C22" w:rsidRPr="00FE4E67">
        <w:rPr>
          <w:rFonts w:ascii="Book Antiqua" w:eastAsia="Book Antiqua" w:hAnsi="Book Antiqua" w:cs="Book Antiqua"/>
          <w:color w:val="000000" w:themeColor="text1"/>
          <w:lang w:val="es-PR"/>
        </w:rPr>
        <w:t xml:space="preserve"> parte de la evaluación del P. de la C. </w:t>
      </w:r>
      <w:r w:rsidR="00B01031">
        <w:rPr>
          <w:rFonts w:ascii="Book Antiqua" w:eastAsia="Book Antiqua" w:hAnsi="Book Antiqua" w:cs="Book Antiqua"/>
          <w:color w:val="000000" w:themeColor="text1"/>
          <w:lang w:val="es-PR"/>
        </w:rPr>
        <w:t>972</w:t>
      </w:r>
      <w:r w:rsidR="00954C22" w:rsidRPr="00FE4E67">
        <w:rPr>
          <w:rFonts w:ascii="Book Antiqua" w:eastAsia="Book Antiqua" w:hAnsi="Book Antiqua" w:cs="Book Antiqua"/>
          <w:color w:val="000000" w:themeColor="text1"/>
          <w:lang w:val="es-PR"/>
        </w:rPr>
        <w:t xml:space="preserve">, </w:t>
      </w:r>
      <w:r w:rsidR="009E5945" w:rsidRPr="00FE4E67">
        <w:rPr>
          <w:rFonts w:ascii="Book Antiqua" w:eastAsia="Book Antiqua" w:hAnsi="Book Antiqua" w:cs="Book Antiqua"/>
          <w:color w:val="000000" w:themeColor="text1"/>
          <w:lang w:val="es-PR"/>
        </w:rPr>
        <w:t xml:space="preserve">esta </w:t>
      </w:r>
      <w:r w:rsidR="003A286E">
        <w:rPr>
          <w:rFonts w:ascii="Book Antiqua" w:eastAsia="Book Antiqua" w:hAnsi="Book Antiqua" w:cs="Book Antiqua"/>
          <w:color w:val="000000" w:themeColor="text1"/>
          <w:lang w:val="es-PR"/>
        </w:rPr>
        <w:t>c</w:t>
      </w:r>
      <w:r w:rsidR="009E5945" w:rsidRPr="00FE4E67">
        <w:rPr>
          <w:rFonts w:ascii="Book Antiqua" w:eastAsia="Book Antiqua" w:hAnsi="Book Antiqua" w:cs="Book Antiqua"/>
          <w:color w:val="000000" w:themeColor="text1"/>
          <w:lang w:val="es-PR"/>
        </w:rPr>
        <w:t xml:space="preserve">omisión </w:t>
      </w:r>
      <w:r w:rsidR="007E50D1" w:rsidRPr="00FE4E67">
        <w:rPr>
          <w:rFonts w:ascii="Book Antiqua" w:eastAsia="Book Antiqua" w:hAnsi="Book Antiqua" w:cs="Book Antiqua"/>
          <w:color w:val="000000" w:themeColor="text1"/>
          <w:lang w:val="es-PR"/>
        </w:rPr>
        <w:t xml:space="preserve">contó con </w:t>
      </w:r>
      <w:r w:rsidR="00954C22" w:rsidRPr="00FE4E67">
        <w:rPr>
          <w:rFonts w:ascii="Book Antiqua" w:eastAsia="Book Antiqua" w:hAnsi="Book Antiqua" w:cs="Book Antiqua"/>
          <w:color w:val="000000" w:themeColor="text1"/>
          <w:lang w:val="es-PR"/>
        </w:rPr>
        <w:t xml:space="preserve">la comparecencia de: </w:t>
      </w:r>
      <w:r w:rsidR="009E5945" w:rsidRPr="00FE4E67">
        <w:rPr>
          <w:rFonts w:ascii="Book Antiqua" w:eastAsia="Book Antiqua" w:hAnsi="Book Antiqua" w:cs="Book Antiqua"/>
          <w:color w:val="000000" w:themeColor="text1"/>
          <w:lang w:val="es-PR"/>
        </w:rPr>
        <w:t>(</w:t>
      </w:r>
      <w:r w:rsidR="00954C22" w:rsidRPr="00FE4E67">
        <w:rPr>
          <w:rFonts w:ascii="Book Antiqua" w:eastAsia="Book Antiqua" w:hAnsi="Book Antiqua" w:cs="Book Antiqua"/>
          <w:color w:val="000000" w:themeColor="text1"/>
          <w:lang w:val="es-PR"/>
        </w:rPr>
        <w:t xml:space="preserve">1) </w:t>
      </w:r>
      <w:r w:rsidR="00B5035B">
        <w:rPr>
          <w:rFonts w:ascii="Book Antiqua" w:eastAsia="Book Antiqua" w:hAnsi="Book Antiqua" w:cs="Book Antiqua"/>
          <w:color w:val="000000" w:themeColor="text1"/>
          <w:lang w:val="es-PR"/>
        </w:rPr>
        <w:t xml:space="preserve">el Colegio de </w:t>
      </w:r>
      <w:r w:rsidR="00090AC9">
        <w:rPr>
          <w:rFonts w:ascii="Book Antiqua" w:eastAsia="Book Antiqua" w:hAnsi="Book Antiqua" w:cs="Book Antiqua"/>
          <w:color w:val="000000" w:themeColor="text1"/>
          <w:lang w:val="es-PR"/>
        </w:rPr>
        <w:t>Registradores de la Propiedad de Puerto Rico</w:t>
      </w:r>
      <w:r w:rsidR="00501594">
        <w:rPr>
          <w:rFonts w:ascii="Book Antiqua" w:eastAsia="Book Antiqua" w:hAnsi="Book Antiqua" w:cs="Book Antiqua"/>
          <w:color w:val="000000" w:themeColor="text1"/>
          <w:lang w:val="es-PR"/>
        </w:rPr>
        <w:t xml:space="preserve">, (2) el Colegio de Notarios, (3) el Colegio de </w:t>
      </w:r>
      <w:proofErr w:type="gramStart"/>
      <w:r w:rsidR="00501594">
        <w:rPr>
          <w:rFonts w:ascii="Book Antiqua" w:eastAsia="Book Antiqua" w:hAnsi="Book Antiqua" w:cs="Book Antiqua"/>
          <w:color w:val="000000" w:themeColor="text1"/>
          <w:lang w:val="es-PR"/>
        </w:rPr>
        <w:t>Abogados y Abogadas</w:t>
      </w:r>
      <w:proofErr w:type="gramEnd"/>
      <w:r w:rsidR="00501594">
        <w:rPr>
          <w:rFonts w:ascii="Book Antiqua" w:eastAsia="Book Antiqua" w:hAnsi="Book Antiqua" w:cs="Book Antiqua"/>
          <w:color w:val="000000" w:themeColor="text1"/>
          <w:lang w:val="es-PR"/>
        </w:rPr>
        <w:t xml:space="preserve"> de Puerto Rico, y </w:t>
      </w:r>
      <w:r w:rsidR="009E5945" w:rsidRPr="00FE4E67">
        <w:rPr>
          <w:rFonts w:ascii="Book Antiqua" w:eastAsia="Book Antiqua" w:hAnsi="Book Antiqua" w:cs="Book Antiqua"/>
          <w:color w:val="000000" w:themeColor="text1"/>
          <w:lang w:val="es-PR"/>
        </w:rPr>
        <w:t>(</w:t>
      </w:r>
      <w:r w:rsidR="00501594">
        <w:rPr>
          <w:rFonts w:ascii="Book Antiqua" w:eastAsia="Book Antiqua" w:hAnsi="Book Antiqua" w:cs="Book Antiqua"/>
          <w:color w:val="000000" w:themeColor="text1"/>
          <w:lang w:val="es-PR"/>
        </w:rPr>
        <w:t>4</w:t>
      </w:r>
      <w:r w:rsidR="009E5945" w:rsidRPr="00FE4E67">
        <w:rPr>
          <w:rFonts w:ascii="Book Antiqua" w:eastAsia="Book Antiqua" w:hAnsi="Book Antiqua" w:cs="Book Antiqua"/>
          <w:color w:val="000000" w:themeColor="text1"/>
          <w:lang w:val="es-PR"/>
        </w:rPr>
        <w:t xml:space="preserve">) </w:t>
      </w:r>
      <w:r w:rsidR="00090AC9">
        <w:rPr>
          <w:rFonts w:ascii="Book Antiqua" w:eastAsia="Book Antiqua" w:hAnsi="Book Antiqua" w:cs="Book Antiqua"/>
          <w:color w:val="000000" w:themeColor="text1"/>
          <w:lang w:val="es-PR"/>
        </w:rPr>
        <w:t>el Departamento de Justici</w:t>
      </w:r>
      <w:r w:rsidR="00501594">
        <w:rPr>
          <w:rFonts w:ascii="Book Antiqua" w:eastAsia="Book Antiqua" w:hAnsi="Book Antiqua" w:cs="Book Antiqua"/>
          <w:color w:val="000000" w:themeColor="text1"/>
          <w:lang w:val="es-PR"/>
        </w:rPr>
        <w:t xml:space="preserve">a. </w:t>
      </w:r>
      <w:r w:rsidR="009E5945" w:rsidRPr="00FE4E67">
        <w:rPr>
          <w:rFonts w:ascii="Book Antiqua" w:eastAsia="Book Antiqua" w:hAnsi="Book Antiqua" w:cs="Book Antiqua"/>
          <w:color w:val="000000" w:themeColor="text1"/>
          <w:lang w:val="es-PR"/>
        </w:rPr>
        <w:t xml:space="preserve">Examinados lo comentarios, documentos y argumentos de estas entidades, procedemos a discutir los puntos más importantes de sus respectivas posiciones. </w:t>
      </w:r>
    </w:p>
    <w:p w14:paraId="0DD2C665" w14:textId="53F4016D" w:rsidR="00164E0B" w:rsidRPr="00FE4E67" w:rsidRDefault="00356EE6" w:rsidP="00090AC9">
      <w:pPr>
        <w:spacing w:after="240"/>
        <w:jc w:val="center"/>
        <w:rPr>
          <w:rFonts w:ascii="Book Antiqua" w:hAnsi="Book Antiqua"/>
          <w:b/>
          <w:color w:val="000000"/>
          <w:szCs w:val="24"/>
          <w:shd w:val="clear" w:color="auto" w:fill="FFFFFF"/>
          <w:lang w:val="es-PR"/>
        </w:rPr>
      </w:pPr>
      <w:r w:rsidRPr="00090AC9">
        <w:rPr>
          <w:rFonts w:ascii="Book Antiqua" w:eastAsia="Book Antiqua" w:hAnsi="Book Antiqua" w:cs="Book Antiqua"/>
          <w:b/>
          <w:bCs/>
          <w:color w:val="000000" w:themeColor="text1"/>
          <w:lang w:val="es-PR"/>
        </w:rPr>
        <w:t xml:space="preserve">Colegio </w:t>
      </w:r>
      <w:r w:rsidR="00090AC9" w:rsidRPr="00090AC9">
        <w:rPr>
          <w:rFonts w:ascii="Book Antiqua" w:eastAsia="Book Antiqua" w:hAnsi="Book Antiqua" w:cs="Book Antiqua"/>
          <w:b/>
          <w:bCs/>
          <w:color w:val="000000" w:themeColor="text1"/>
          <w:lang w:val="es-PR"/>
        </w:rPr>
        <w:t>de Registradores de la Propiedad de Puerto Rico</w:t>
      </w:r>
      <w:r w:rsidR="00090AC9" w:rsidRPr="000E30B7">
        <w:rPr>
          <w:rFonts w:ascii="Book Antiqua" w:hAnsi="Book Antiqua"/>
          <w:bCs/>
          <w:color w:val="000000"/>
          <w:szCs w:val="24"/>
          <w:shd w:val="clear" w:color="auto" w:fill="FFFFFF"/>
          <w:lang w:val="es-PR"/>
        </w:rPr>
        <w:t xml:space="preserve"> </w:t>
      </w:r>
      <w:r w:rsidR="009E5945" w:rsidRPr="000E30B7">
        <w:rPr>
          <w:rFonts w:ascii="Book Antiqua" w:hAnsi="Book Antiqua"/>
          <w:bCs/>
          <w:color w:val="000000"/>
          <w:szCs w:val="24"/>
          <w:shd w:val="clear" w:color="auto" w:fill="FFFFFF"/>
          <w:lang w:val="es-PR"/>
        </w:rPr>
        <w:t>(</w:t>
      </w:r>
      <w:r>
        <w:rPr>
          <w:rFonts w:ascii="Book Antiqua" w:hAnsi="Book Antiqua"/>
          <w:bCs/>
          <w:color w:val="000000"/>
          <w:szCs w:val="24"/>
          <w:shd w:val="clear" w:color="auto" w:fill="FFFFFF"/>
          <w:lang w:val="es-PR"/>
        </w:rPr>
        <w:t>Colegio</w:t>
      </w:r>
      <w:r w:rsidR="009E5945" w:rsidRPr="000E30B7">
        <w:rPr>
          <w:rFonts w:ascii="Book Antiqua" w:hAnsi="Book Antiqua"/>
          <w:bCs/>
          <w:color w:val="000000"/>
          <w:szCs w:val="24"/>
          <w:shd w:val="clear" w:color="auto" w:fill="FFFFFF"/>
          <w:lang w:val="es-PR"/>
        </w:rPr>
        <w:t>)</w:t>
      </w:r>
    </w:p>
    <w:p w14:paraId="3B3C481D" w14:textId="77777777" w:rsidR="00441684" w:rsidRDefault="00356EE6" w:rsidP="00675201">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Colegio </w:t>
      </w:r>
      <w:r w:rsidR="006931CC">
        <w:rPr>
          <w:rFonts w:ascii="Book Antiqua" w:eastAsia="Book Antiqua" w:hAnsi="Book Antiqua" w:cs="Book Antiqua"/>
          <w:color w:val="000000" w:themeColor="text1"/>
          <w:lang w:val="es-PR"/>
        </w:rPr>
        <w:t xml:space="preserve">está </w:t>
      </w:r>
      <w:r w:rsidR="000B2D03">
        <w:rPr>
          <w:rFonts w:ascii="Book Antiqua" w:eastAsia="Book Antiqua" w:hAnsi="Book Antiqua" w:cs="Book Antiqua"/>
          <w:color w:val="000000" w:themeColor="text1"/>
          <w:lang w:val="es-PR"/>
        </w:rPr>
        <w:t xml:space="preserve">en </w:t>
      </w:r>
      <w:r w:rsidR="006931CC">
        <w:rPr>
          <w:rFonts w:ascii="Book Antiqua" w:eastAsia="Book Antiqua" w:hAnsi="Book Antiqua" w:cs="Book Antiqua"/>
          <w:color w:val="000000" w:themeColor="text1"/>
          <w:lang w:val="es-PR"/>
        </w:rPr>
        <w:t>de</w:t>
      </w:r>
      <w:r w:rsidR="000B2D03">
        <w:rPr>
          <w:rFonts w:ascii="Book Antiqua" w:eastAsia="Book Antiqua" w:hAnsi="Book Antiqua" w:cs="Book Antiqua"/>
          <w:color w:val="000000" w:themeColor="text1"/>
          <w:lang w:val="es-PR"/>
        </w:rPr>
        <w:t>s</w:t>
      </w:r>
      <w:r w:rsidR="006931CC">
        <w:rPr>
          <w:rFonts w:ascii="Book Antiqua" w:eastAsia="Book Antiqua" w:hAnsi="Book Antiqua" w:cs="Book Antiqua"/>
          <w:color w:val="000000" w:themeColor="text1"/>
          <w:lang w:val="es-PR"/>
        </w:rPr>
        <w:t>acuerdo con las cinco propuestas de enmiendas que hace este proyecto</w:t>
      </w:r>
      <w:r w:rsidR="00F15FEC">
        <w:rPr>
          <w:rFonts w:ascii="Book Antiqua" w:eastAsia="Book Antiqua" w:hAnsi="Book Antiqua" w:cs="Book Antiqua"/>
          <w:color w:val="000000" w:themeColor="text1"/>
          <w:lang w:val="es-PR"/>
        </w:rPr>
        <w:t>.</w:t>
      </w:r>
      <w:r w:rsidR="009B40CF">
        <w:rPr>
          <w:rStyle w:val="FootnoteReference"/>
          <w:rFonts w:ascii="Book Antiqua" w:eastAsia="Book Antiqua" w:hAnsi="Book Antiqua" w:cs="Book Antiqua"/>
          <w:color w:val="000000" w:themeColor="text1"/>
          <w:lang w:val="es-PR"/>
        </w:rPr>
        <w:footnoteReference w:id="7"/>
      </w:r>
      <w:r w:rsidR="00F15FEC">
        <w:rPr>
          <w:rFonts w:ascii="Book Antiqua" w:eastAsia="Book Antiqua" w:hAnsi="Book Antiqua" w:cs="Book Antiqua"/>
          <w:color w:val="000000" w:themeColor="text1"/>
          <w:lang w:val="es-PR"/>
        </w:rPr>
        <w:t xml:space="preserve"> </w:t>
      </w:r>
    </w:p>
    <w:p w14:paraId="087DFBBC" w14:textId="77777777" w:rsidR="00441684" w:rsidRDefault="00441684" w:rsidP="00675201">
      <w:pPr>
        <w:spacing w:after="120" w:line="288" w:lineRule="auto"/>
        <w:ind w:firstLine="720"/>
        <w:jc w:val="both"/>
        <w:rPr>
          <w:rFonts w:ascii="Book Antiqua" w:eastAsia="Book Antiqua" w:hAnsi="Book Antiqua" w:cs="Book Antiqua"/>
          <w:color w:val="000000" w:themeColor="text1"/>
          <w:lang w:val="es-PR"/>
        </w:rPr>
      </w:pPr>
    </w:p>
    <w:p w14:paraId="47928FA6" w14:textId="77777777" w:rsidR="00441684" w:rsidRDefault="00441684" w:rsidP="00675201">
      <w:pPr>
        <w:spacing w:after="120" w:line="288" w:lineRule="auto"/>
        <w:ind w:firstLine="720"/>
        <w:jc w:val="both"/>
        <w:rPr>
          <w:rFonts w:ascii="Book Antiqua" w:eastAsia="Book Antiqua" w:hAnsi="Book Antiqua" w:cs="Book Antiqua"/>
          <w:color w:val="000000" w:themeColor="text1"/>
          <w:lang w:val="es-PR"/>
        </w:rPr>
      </w:pPr>
    </w:p>
    <w:p w14:paraId="6414F118" w14:textId="511FAF3D" w:rsidR="00675201" w:rsidRDefault="006931CC" w:rsidP="00675201">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10963D29" w14:textId="268A47F6" w:rsidR="00F15FEC" w:rsidRDefault="00F15FEC" w:rsidP="00F15FEC">
      <w:pPr>
        <w:pStyle w:val="ListParagraph"/>
        <w:numPr>
          <w:ilvl w:val="0"/>
          <w:numId w:val="23"/>
        </w:numPr>
        <w:spacing w:after="120" w:line="288" w:lineRule="auto"/>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 xml:space="preserve">Sobre las enmiendas al </w:t>
      </w:r>
      <w:r w:rsidR="009B40CF">
        <w:rPr>
          <w:rFonts w:ascii="Book Antiqua" w:eastAsia="Book Antiqua" w:hAnsi="Book Antiqua" w:cs="Book Antiqua"/>
          <w:color w:val="000000" w:themeColor="text1"/>
          <w:lang w:val="es-PR"/>
        </w:rPr>
        <w:t>artículo</w:t>
      </w:r>
      <w:r>
        <w:rPr>
          <w:rFonts w:ascii="Book Antiqua" w:eastAsia="Book Antiqua" w:hAnsi="Book Antiqua" w:cs="Book Antiqua"/>
          <w:color w:val="000000" w:themeColor="text1"/>
          <w:lang w:val="es-PR"/>
        </w:rPr>
        <w:t xml:space="preserve"> 11:</w:t>
      </w:r>
    </w:p>
    <w:p w14:paraId="23454DBA" w14:textId="0F6100A3" w:rsidR="00F15FEC" w:rsidRPr="00F15FEC" w:rsidRDefault="00F15FEC" w:rsidP="003600C7">
      <w:pPr>
        <w:pStyle w:val="ListParagraph"/>
        <w:spacing w:after="160" w:line="288" w:lineRule="auto"/>
        <w:ind w:left="1440"/>
        <w:contextualSpacing w:val="0"/>
        <w:jc w:val="both"/>
        <w:rPr>
          <w:rFonts w:ascii="Book Antiqua" w:eastAsia="Book Antiqua" w:hAnsi="Book Antiqua" w:cs="Book Antiqua"/>
          <w:color w:val="000000" w:themeColor="text1"/>
          <w:sz w:val="22"/>
          <w:szCs w:val="22"/>
          <w:lang w:val="es-PR"/>
        </w:rPr>
      </w:pPr>
      <w:r w:rsidRPr="005D456F">
        <w:rPr>
          <w:rFonts w:ascii="Book Antiqua" w:eastAsia="Book Antiqua" w:hAnsi="Book Antiqua" w:cs="Book Antiqua"/>
          <w:color w:val="000000" w:themeColor="text1"/>
          <w:szCs w:val="24"/>
        </w:rPr>
        <w:t>La enmienda propuesta excluiría las sentencia y resoluciones de Tribunales Estatales de Estados Unidos del procedimiento de exequatur. Ello conllevaría excluir de la revisión y rigor judicial sentencias dictadas en tribunales de estados, lo cual puede generar confusión, sobre todo en casos de familia y sucesiones, entre otros.</w:t>
      </w:r>
    </w:p>
    <w:p w14:paraId="6B003051" w14:textId="66540681" w:rsidR="00F15FEC" w:rsidRDefault="00F15FEC" w:rsidP="00F15FEC">
      <w:pPr>
        <w:pStyle w:val="ListParagraph"/>
        <w:numPr>
          <w:ilvl w:val="0"/>
          <w:numId w:val="23"/>
        </w:numPr>
        <w:spacing w:after="120" w:line="288" w:lineRule="auto"/>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Colegio está en contra de las enmiendas propuestas a los </w:t>
      </w:r>
      <w:r w:rsidR="00EF69E9">
        <w:rPr>
          <w:rFonts w:ascii="Book Antiqua" w:eastAsia="Book Antiqua" w:hAnsi="Book Antiqua" w:cs="Book Antiqua"/>
          <w:color w:val="000000" w:themeColor="text1"/>
          <w:lang w:val="es-PR"/>
        </w:rPr>
        <w:t>a</w:t>
      </w:r>
      <w:r>
        <w:rPr>
          <w:rFonts w:ascii="Book Antiqua" w:eastAsia="Book Antiqua" w:hAnsi="Book Antiqua" w:cs="Book Antiqua"/>
          <w:color w:val="000000" w:themeColor="text1"/>
          <w:lang w:val="es-PR"/>
        </w:rPr>
        <w:t>rtículos 236-238:</w:t>
      </w:r>
    </w:p>
    <w:p w14:paraId="5878F5BA" w14:textId="6095D20C" w:rsidR="00F15FEC" w:rsidRDefault="00F15FEC" w:rsidP="00F15FEC">
      <w:pPr>
        <w:pStyle w:val="ListParagraph"/>
        <w:spacing w:after="120" w:line="288" w:lineRule="auto"/>
        <w:ind w:left="1440"/>
        <w:contextualSpacing w:val="0"/>
        <w:jc w:val="both"/>
        <w:rPr>
          <w:rFonts w:ascii="Book Antiqua" w:eastAsia="Book Antiqua" w:hAnsi="Book Antiqua" w:cs="Book Antiqua"/>
          <w:color w:val="000000" w:themeColor="text1"/>
          <w:szCs w:val="24"/>
        </w:rPr>
      </w:pPr>
      <w:r w:rsidRPr="00C8403D">
        <w:rPr>
          <w:rFonts w:ascii="Book Antiqua" w:eastAsia="Book Antiqua" w:hAnsi="Book Antiqua" w:cs="Book Antiqua"/>
          <w:color w:val="000000" w:themeColor="text1"/>
          <w:szCs w:val="24"/>
        </w:rPr>
        <w:t xml:space="preserve">Primeramente, la enmienda propone darle oficialidad a un procedimiento extraoficial. Añade la Exposición de Motivos que con “las enmiendas propuestas se facilita el tráfico jurídico y se minimizan los costos de las transacciones jurídica a la ciudadanía.” No obstante, la enmienda aquí propuesta tendría el efecto contrario ya que extendería el termino para corregir una falta notificada a más de ciento veinte (120) días o cuatro (4) meses, complicando el tráfico jurídico de bienes inmuebles y aumentando el costo para su trámite. Se trata de un proceso adicional innecesario que muy bien podría llevar al Registro de la Propiedad a un nuevo atraso, luego de todos los esfuerzos empleados en los últimos años para poner al Registro de la Propiedad al día. Además, estos cambios conllevarían reformular y/o reprogramar el Sistema Karibe, ya que este no está programado ni configurado para esto. La incertidumbre y la posible falta de uniformidad en los procesos provocaría extrema confusión, tanto sobre los notarios como la comunidad en general. Con estos cambios, según propuestos, se estaría complicando innecesariamente el proceso de notificación; esto en la medida que tengamos que retener los documentos por sesenta (60) días previo a expedir una Notificación de Faltas “oficial”, y tener que esperar sesenta (60) días adicionales, una vez notificados. Lo único que esto haría es atrasar todo lo que hemos logrado, en detrimento del servicio que el Registro de la Propiedad ofrece a los ciudadanos, así como a importantes industrias, como lo es la banca hipotecaria. La Ley Núm. 210-2015, supra, es clara al requerir una Notificación de Faltas bien fundamentada en derecho; una que active los términos legales disponibles para que las partes corrijan o procedan a solicitar la recalificación del documento en cuestión o, eventualmente, recurran ante el Tribunal Supremo de Puerto Rico contra la calificación final del documento, mediante la presentación de un recurso gubernativo. Como </w:t>
      </w:r>
      <w:r w:rsidRPr="00C8403D">
        <w:rPr>
          <w:rFonts w:ascii="Book Antiqua" w:eastAsia="Book Antiqua" w:hAnsi="Book Antiqua" w:cs="Book Antiqua"/>
          <w:color w:val="000000" w:themeColor="text1"/>
          <w:szCs w:val="24"/>
        </w:rPr>
        <w:lastRenderedPageBreak/>
        <w:t>si fuera poco, de aprobarse la enmienda propuesta, nos corremos el riesgo de que la comunidad notarial haga caso omiso a Notificaciones de Faltas “extraoficiales”, ya que ello no acarrea consecuencias, extendiendo el término para corregir a ciento (120) días, atrasando, como ya hemos dicho, los procedimientos ante el Registro de la Propiedad. El hecho de que algunos compañeros registradores o técnicos del Registro de la Propiedad tengan la “cortesía” de comunicarse con notarios o personal de sus oficinas para tratar un asunto especifico, no justifica el oficializar dicho procedimiento, en detrimento de la eficiencia y, en ocasiones, urgencia, del proceso de calificación. El Colegio entiende que esta enmienda es innecesaria al no atender un problema real que afecte el proceso registral.</w:t>
      </w:r>
    </w:p>
    <w:p w14:paraId="52984A73" w14:textId="3EE85B30" w:rsidR="006931CC" w:rsidRDefault="00F15FEC" w:rsidP="00B31532">
      <w:pPr>
        <w:pStyle w:val="ListParagraph"/>
        <w:numPr>
          <w:ilvl w:val="0"/>
          <w:numId w:val="23"/>
        </w:numPr>
        <w:spacing w:after="120" w:line="288" w:lineRule="auto"/>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Por último, esta institución se opone a la reducción del tiempo de experiencia que requeriría un abogado-notario en Puerto Rico para poder fungir como Registrador de la Propiedad, tal y como propone </w:t>
      </w:r>
      <w:r w:rsidR="00B31532">
        <w:rPr>
          <w:rFonts w:ascii="Book Antiqua" w:eastAsia="Book Antiqua" w:hAnsi="Book Antiqua" w:cs="Book Antiqua"/>
          <w:color w:val="000000" w:themeColor="text1"/>
          <w:lang w:val="es-PR"/>
        </w:rPr>
        <w:t xml:space="preserve">la enmienda al </w:t>
      </w:r>
      <w:r w:rsidR="00B212AF">
        <w:rPr>
          <w:rFonts w:ascii="Book Antiqua" w:eastAsia="Book Antiqua" w:hAnsi="Book Antiqua" w:cs="Book Antiqua"/>
          <w:color w:val="000000" w:themeColor="text1"/>
          <w:lang w:val="es-PR"/>
        </w:rPr>
        <w:t>artículo</w:t>
      </w:r>
      <w:r w:rsidR="00B31532">
        <w:rPr>
          <w:rFonts w:ascii="Book Antiqua" w:eastAsia="Book Antiqua" w:hAnsi="Book Antiqua" w:cs="Book Antiqua"/>
          <w:color w:val="000000" w:themeColor="text1"/>
          <w:lang w:val="es-PR"/>
        </w:rPr>
        <w:t xml:space="preserve"> 280</w:t>
      </w:r>
      <w:r w:rsidR="00B212AF">
        <w:rPr>
          <w:rFonts w:ascii="Book Antiqua" w:eastAsia="Book Antiqua" w:hAnsi="Book Antiqua" w:cs="Book Antiqua"/>
          <w:color w:val="000000" w:themeColor="text1"/>
          <w:lang w:val="es-PR"/>
        </w:rPr>
        <w:t>:</w:t>
      </w:r>
      <w:r w:rsidR="00B31532">
        <w:rPr>
          <w:rFonts w:ascii="Book Antiqua" w:eastAsia="Book Antiqua" w:hAnsi="Book Antiqua" w:cs="Book Antiqua"/>
          <w:color w:val="000000" w:themeColor="text1"/>
          <w:lang w:val="es-PR"/>
        </w:rPr>
        <w:t xml:space="preserve"> </w:t>
      </w:r>
    </w:p>
    <w:p w14:paraId="22F0171A" w14:textId="549F4EF8" w:rsidR="00B31532" w:rsidRPr="00B31532" w:rsidRDefault="00B31532" w:rsidP="00B31532">
      <w:pPr>
        <w:pStyle w:val="ListParagraph"/>
        <w:spacing w:after="120" w:line="288" w:lineRule="auto"/>
        <w:ind w:left="1440"/>
        <w:jc w:val="both"/>
        <w:rPr>
          <w:rFonts w:ascii="Book Antiqua" w:eastAsia="Book Antiqua" w:hAnsi="Book Antiqua" w:cs="Book Antiqua"/>
          <w:color w:val="000000" w:themeColor="text1"/>
          <w:sz w:val="22"/>
          <w:szCs w:val="22"/>
          <w:lang w:val="es-PR"/>
        </w:rPr>
      </w:pPr>
      <w:r w:rsidRPr="00B212AF">
        <w:rPr>
          <w:rFonts w:ascii="Book Antiqua" w:eastAsia="Book Antiqua" w:hAnsi="Book Antiqua" w:cs="Book Antiqua"/>
          <w:color w:val="000000" w:themeColor="text1"/>
          <w:szCs w:val="24"/>
        </w:rPr>
        <w:t xml:space="preserve">Los registradores de la propiedad son funcionarios muy comprometidos con su labor. La renovación (“turnover”) de dichos funcionarios es mínima, ya que una vez son nombrados se mantienen es sus plazas hasta tanto son reemplazados o se retiran. El conocimiento desarrollado por los registradores durante su incumbencia permite que lleven a cabo un trabajo eficiente y efectivo en cuanto al desarrollo económico de Puerto Rico. Es por esto por lo que existiendo ánimo de enmendar la ley 210, entendemos meritorio y respetuosamente sugerimos enmendarla de forma tal el término de nombramiento de un registrador de la propiedad sea extendido, de doce (12) a dieciséis (16) años, equiparándolos, no solo en salario, sino que también en cuanto a la longevidad de sus términos, con los jueces. De esta manera se estaría maximizando el término durante el cual estos honorables funcionarios públicos pueden poner sus conocimientos y destrezas a la disposición de una óptima operación del Registro de la Propiedad. Disminuir el requisito para ser registrador, de diez (10) años de experiencia como abogado y notario, a solo cinco (5), conllevaría riesgos a la hora de que sean nombrados y confirmados en sus puestos a profesionales del derecho sin los conocimientos y destrezas necesarias y sin el grado de madurez que requiere el puesto. El conocimiento de las leyes requerido para ejercer las funciones de un registrador de la propiedad se adquiere en </w:t>
      </w:r>
      <w:r w:rsidRPr="00B212AF">
        <w:rPr>
          <w:rFonts w:ascii="Book Antiqua" w:eastAsia="Book Antiqua" w:hAnsi="Book Antiqua" w:cs="Book Antiqua"/>
          <w:color w:val="000000" w:themeColor="text1"/>
          <w:szCs w:val="24"/>
        </w:rPr>
        <w:lastRenderedPageBreak/>
        <w:t>la academia, pero, sin lugar a duda se perfecciona con la práctica y por conducto de la experiencia, mayormente adquirida en el ejercicio de la autorización de instrumentos públicos, entre otros. Mientras más extensa sea la práctica, más extenso, preciso y útil será el conocimiento del potencial candidato. Lo contrario redundará adversamente en nuestra institución; potenciando a profesionales sin suficiente experiencia a ejercer una función calificadora. Por último, pero no menos importante, debemos señalar que, a nuestro juicio, no existe un problema de reclutamiento de registradores de la propiedad que justifique reducir de manera, a todas luces, injustificada, drástica y peligrosa el término de experiencia requerido a los aspirantes al cargo de registrador de la propiedad. El Colegio de Registradores de Puerto Rico considera que la enmienda es innecesaria por no atender un problema real de reclutamiento de registradores. El Art. 280 Ley Núm. 210-2015, ante. establece diáfanamente los requisitos para ser considerado al cargo de registrador, sin que se requiera enmienda alguna. Respetuosamente, entendemos que el proyecto propuesto no atiende problemática alguna existente en la operación, funcionamiento y buenos resultados en el Registro de la Propiedad.</w:t>
      </w:r>
    </w:p>
    <w:p w14:paraId="0F15F26D" w14:textId="4FD35E81" w:rsidR="00B31532" w:rsidRDefault="00B31532" w:rsidP="00B31532">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A pesar de lo anterior, </w:t>
      </w:r>
      <w:r w:rsidR="00356EE6">
        <w:rPr>
          <w:rFonts w:ascii="Book Antiqua" w:eastAsia="Book Antiqua" w:hAnsi="Book Antiqua" w:cs="Book Antiqua"/>
          <w:color w:val="000000" w:themeColor="text1"/>
        </w:rPr>
        <w:t xml:space="preserve">el Colegio </w:t>
      </w:r>
      <w:r w:rsidR="009A4B72">
        <w:rPr>
          <w:rFonts w:ascii="Book Antiqua" w:eastAsia="Book Antiqua" w:hAnsi="Book Antiqua" w:cs="Book Antiqua"/>
          <w:color w:val="000000" w:themeColor="text1"/>
        </w:rPr>
        <w:t xml:space="preserve">se mostró dispuesto </w:t>
      </w:r>
      <w:r>
        <w:rPr>
          <w:rFonts w:ascii="Book Antiqua" w:eastAsia="Book Antiqua" w:hAnsi="Book Antiqua" w:cs="Book Antiqua"/>
          <w:color w:val="000000" w:themeColor="text1"/>
        </w:rPr>
        <w:t xml:space="preserve">para discutir otros aspectos que a su juicio ameritan enmiendas a la </w:t>
      </w:r>
      <w:r w:rsidR="009A4B72">
        <w:rPr>
          <w:rFonts w:ascii="Book Antiqua" w:eastAsia="Book Antiqua" w:hAnsi="Book Antiqua" w:cs="Book Antiqua"/>
          <w:color w:val="000000" w:themeColor="text1"/>
        </w:rPr>
        <w:t>l</w:t>
      </w:r>
      <w:r>
        <w:rPr>
          <w:rFonts w:ascii="Book Antiqua" w:eastAsia="Book Antiqua" w:hAnsi="Book Antiqua" w:cs="Book Antiqua"/>
          <w:color w:val="000000" w:themeColor="text1"/>
        </w:rPr>
        <w:t>ey. Sin embargo</w:t>
      </w:r>
      <w:r w:rsidR="00382F43">
        <w:rPr>
          <w:rFonts w:ascii="Book Antiqua" w:eastAsia="Book Antiqua" w:hAnsi="Book Antiqua" w:cs="Book Antiqua"/>
          <w:color w:val="000000" w:themeColor="text1"/>
        </w:rPr>
        <w:t>,</w:t>
      </w:r>
      <w:r>
        <w:rPr>
          <w:rFonts w:ascii="Book Antiqua" w:eastAsia="Book Antiqua" w:hAnsi="Book Antiqua" w:cs="Book Antiqua"/>
          <w:color w:val="000000" w:themeColor="text1"/>
        </w:rPr>
        <w:t xml:space="preserve"> el Colegio no detall</w:t>
      </w:r>
      <w:r w:rsidR="009A4B72">
        <w:rPr>
          <w:rFonts w:ascii="Book Antiqua" w:eastAsia="Book Antiqua" w:hAnsi="Book Antiqua" w:cs="Book Antiqua"/>
          <w:color w:val="000000" w:themeColor="text1"/>
        </w:rPr>
        <w:t>ó</w:t>
      </w:r>
      <w:r>
        <w:rPr>
          <w:rFonts w:ascii="Book Antiqua" w:eastAsia="Book Antiqua" w:hAnsi="Book Antiqua" w:cs="Book Antiqua"/>
          <w:color w:val="000000" w:themeColor="text1"/>
        </w:rPr>
        <w:t xml:space="preserve"> esos temas. </w:t>
      </w:r>
      <w:r w:rsidR="00356EE6">
        <w:rPr>
          <w:rFonts w:ascii="Book Antiqua" w:eastAsia="Book Antiqua" w:hAnsi="Book Antiqua" w:cs="Book Antiqua"/>
          <w:color w:val="000000" w:themeColor="text1"/>
        </w:rPr>
        <w:t xml:space="preserve"> </w:t>
      </w:r>
    </w:p>
    <w:p w14:paraId="4E0FC992" w14:textId="0CCBCE34" w:rsidR="00382F43" w:rsidRDefault="00B31532" w:rsidP="00B31532">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Es menester señalar que la extensión del término de los Registradores de la Propiedad ya se encuentra ante la consideración de esta Asamblea Legislativa. Se trata del Proyecto de la Camara 1019, así como el Proyecto del Senado 917, medida legislativa de Administración 92, presentada en ambos cuerpos legislativos el pasado 12 de enero. </w:t>
      </w:r>
      <w:r w:rsidR="00501594">
        <w:rPr>
          <w:rFonts w:ascii="Book Antiqua" w:eastAsia="Book Antiqua" w:hAnsi="Book Antiqua" w:cs="Book Antiqua"/>
          <w:color w:val="000000" w:themeColor="text1"/>
        </w:rPr>
        <w:t>Dichos proyectos</w:t>
      </w:r>
      <w:r>
        <w:rPr>
          <w:rFonts w:ascii="Book Antiqua" w:eastAsia="Book Antiqua" w:hAnsi="Book Antiqua" w:cs="Book Antiqua"/>
          <w:color w:val="000000" w:themeColor="text1"/>
        </w:rPr>
        <w:t xml:space="preserve"> será</w:t>
      </w:r>
      <w:r w:rsidR="00501594">
        <w:rPr>
          <w:rFonts w:ascii="Book Antiqua" w:eastAsia="Book Antiqua" w:hAnsi="Book Antiqua" w:cs="Book Antiqua"/>
          <w:color w:val="000000" w:themeColor="text1"/>
        </w:rPr>
        <w:t>n</w:t>
      </w:r>
      <w:r>
        <w:rPr>
          <w:rFonts w:ascii="Book Antiqua" w:eastAsia="Book Antiqua" w:hAnsi="Book Antiqua" w:cs="Book Antiqua"/>
          <w:color w:val="000000" w:themeColor="text1"/>
        </w:rPr>
        <w:t xml:space="preserve"> objeto de análisis posterior,</w:t>
      </w:r>
      <w:r w:rsidR="00501594">
        <w:rPr>
          <w:rFonts w:ascii="Book Antiqua" w:eastAsia="Book Antiqua" w:hAnsi="Book Antiqua" w:cs="Book Antiqua"/>
          <w:color w:val="000000" w:themeColor="text1"/>
        </w:rPr>
        <w:t xml:space="preserve"> y destacamos que el P. de la C. 1019 </w:t>
      </w:r>
      <w:r>
        <w:rPr>
          <w:rFonts w:ascii="Book Antiqua" w:eastAsia="Book Antiqua" w:hAnsi="Book Antiqua" w:cs="Book Antiqua"/>
          <w:color w:val="000000" w:themeColor="text1"/>
        </w:rPr>
        <w:t>fue referid</w:t>
      </w:r>
      <w:r w:rsidR="00501594">
        <w:rPr>
          <w:rFonts w:ascii="Book Antiqua" w:eastAsia="Book Antiqua" w:hAnsi="Book Antiqua" w:cs="Book Antiqua"/>
          <w:color w:val="000000" w:themeColor="text1"/>
        </w:rPr>
        <w:t xml:space="preserve">o </w:t>
      </w:r>
      <w:r>
        <w:rPr>
          <w:rFonts w:ascii="Book Antiqua" w:eastAsia="Book Antiqua" w:hAnsi="Book Antiqua" w:cs="Book Antiqua"/>
          <w:color w:val="000000" w:themeColor="text1"/>
        </w:rPr>
        <w:t xml:space="preserve">a </w:t>
      </w:r>
      <w:r w:rsidR="00382F43">
        <w:rPr>
          <w:rFonts w:ascii="Book Antiqua" w:eastAsia="Book Antiqua" w:hAnsi="Book Antiqua" w:cs="Book Antiqua"/>
          <w:color w:val="000000" w:themeColor="text1"/>
        </w:rPr>
        <w:t>esta</w:t>
      </w:r>
      <w:r>
        <w:rPr>
          <w:rFonts w:ascii="Book Antiqua" w:eastAsia="Book Antiqua" w:hAnsi="Book Antiqua" w:cs="Book Antiqua"/>
          <w:color w:val="000000" w:themeColor="text1"/>
        </w:rPr>
        <w:t xml:space="preserve"> </w:t>
      </w:r>
      <w:r w:rsidR="00382F43">
        <w:rPr>
          <w:rFonts w:ascii="Book Antiqua" w:eastAsia="Book Antiqua" w:hAnsi="Book Antiqua" w:cs="Book Antiqua"/>
          <w:color w:val="000000" w:themeColor="text1"/>
        </w:rPr>
        <w:t>c</w:t>
      </w:r>
      <w:r>
        <w:rPr>
          <w:rFonts w:ascii="Book Antiqua" w:eastAsia="Book Antiqua" w:hAnsi="Book Antiqua" w:cs="Book Antiqua"/>
          <w:color w:val="000000" w:themeColor="text1"/>
        </w:rPr>
        <w:t xml:space="preserve">omisión ese mismo día. Sin embargo, hacemos esta mención ya que esta idea que nos trajo el </w:t>
      </w:r>
      <w:r w:rsidR="00501594">
        <w:rPr>
          <w:rFonts w:ascii="Book Antiqua" w:eastAsia="Book Antiqua" w:hAnsi="Book Antiqua" w:cs="Book Antiqua"/>
          <w:color w:val="000000" w:themeColor="text1"/>
        </w:rPr>
        <w:t>Colegio</w:t>
      </w:r>
      <w:r>
        <w:rPr>
          <w:rFonts w:ascii="Book Antiqua" w:eastAsia="Book Antiqua" w:hAnsi="Book Antiqua" w:cs="Book Antiqua"/>
          <w:color w:val="000000" w:themeColor="text1"/>
        </w:rPr>
        <w:t xml:space="preserve"> será atendida por esta Asamblea Legislativa, pues compartimos el interés</w:t>
      </w:r>
      <w:r w:rsidR="00501594">
        <w:rPr>
          <w:rFonts w:ascii="Book Antiqua" w:eastAsia="Book Antiqua" w:hAnsi="Book Antiqua" w:cs="Book Antiqua"/>
          <w:color w:val="000000" w:themeColor="text1"/>
        </w:rPr>
        <w:t xml:space="preserve"> de esta organización, así como de toda la comunidad jurídica en Puerto Rico de </w:t>
      </w:r>
      <w:r>
        <w:rPr>
          <w:rFonts w:ascii="Book Antiqua" w:eastAsia="Book Antiqua" w:hAnsi="Book Antiqua" w:cs="Book Antiqua"/>
          <w:color w:val="000000" w:themeColor="text1"/>
        </w:rPr>
        <w:t>continuar mejorando el Registro de la Propiedad.</w:t>
      </w:r>
    </w:p>
    <w:p w14:paraId="7F264589" w14:textId="77777777" w:rsidR="00441684" w:rsidRDefault="00441684" w:rsidP="00B31532">
      <w:pPr>
        <w:spacing w:after="120" w:line="288" w:lineRule="auto"/>
        <w:ind w:firstLine="720"/>
        <w:jc w:val="both"/>
        <w:rPr>
          <w:rFonts w:ascii="Book Antiqua" w:eastAsia="Book Antiqua" w:hAnsi="Book Antiqua" w:cs="Book Antiqua"/>
          <w:color w:val="000000" w:themeColor="text1"/>
        </w:rPr>
      </w:pPr>
    </w:p>
    <w:p w14:paraId="1A9C6A07" w14:textId="77777777" w:rsidR="00441684" w:rsidRDefault="00441684" w:rsidP="00B31532">
      <w:pPr>
        <w:spacing w:after="120" w:line="288" w:lineRule="auto"/>
        <w:ind w:firstLine="720"/>
        <w:jc w:val="both"/>
        <w:rPr>
          <w:rFonts w:ascii="Book Antiqua" w:eastAsia="Book Antiqua" w:hAnsi="Book Antiqua" w:cs="Book Antiqua"/>
          <w:color w:val="000000" w:themeColor="text1"/>
        </w:rPr>
      </w:pPr>
    </w:p>
    <w:p w14:paraId="5ED8AD3D" w14:textId="77777777" w:rsidR="00441684" w:rsidRDefault="00441684" w:rsidP="00B31532">
      <w:pPr>
        <w:spacing w:after="120" w:line="288" w:lineRule="auto"/>
        <w:ind w:firstLine="720"/>
        <w:jc w:val="both"/>
        <w:rPr>
          <w:rFonts w:ascii="Book Antiqua" w:eastAsia="Book Antiqua" w:hAnsi="Book Antiqua" w:cs="Book Antiqua"/>
          <w:color w:val="000000" w:themeColor="text1"/>
        </w:rPr>
      </w:pPr>
    </w:p>
    <w:p w14:paraId="59E98D8D" w14:textId="77777777" w:rsidR="00441684" w:rsidRDefault="00441684" w:rsidP="00B31532">
      <w:pPr>
        <w:spacing w:after="120" w:line="288" w:lineRule="auto"/>
        <w:ind w:firstLine="720"/>
        <w:jc w:val="both"/>
        <w:rPr>
          <w:rFonts w:ascii="Book Antiqua" w:eastAsia="Book Antiqua" w:hAnsi="Book Antiqua" w:cs="Book Antiqua"/>
          <w:color w:val="000000" w:themeColor="text1"/>
        </w:rPr>
      </w:pPr>
    </w:p>
    <w:p w14:paraId="507CB39E" w14:textId="49C90992" w:rsidR="00563407" w:rsidRPr="00FE4E67" w:rsidRDefault="00563407" w:rsidP="00563407">
      <w:pPr>
        <w:spacing w:after="240"/>
        <w:jc w:val="center"/>
        <w:rPr>
          <w:rFonts w:ascii="Book Antiqua" w:hAnsi="Book Antiqua"/>
          <w:b/>
          <w:color w:val="000000"/>
          <w:szCs w:val="24"/>
          <w:shd w:val="clear" w:color="auto" w:fill="FFFFFF"/>
          <w:lang w:val="es-PR"/>
        </w:rPr>
      </w:pPr>
      <w:r w:rsidRPr="00090AC9">
        <w:rPr>
          <w:rFonts w:ascii="Book Antiqua" w:eastAsia="Book Antiqua" w:hAnsi="Book Antiqua" w:cs="Book Antiqua"/>
          <w:b/>
          <w:bCs/>
          <w:color w:val="000000" w:themeColor="text1"/>
          <w:lang w:val="es-PR"/>
        </w:rPr>
        <w:lastRenderedPageBreak/>
        <w:t xml:space="preserve">Colegio </w:t>
      </w:r>
      <w:r>
        <w:rPr>
          <w:rFonts w:ascii="Book Antiqua" w:eastAsia="Book Antiqua" w:hAnsi="Book Antiqua" w:cs="Book Antiqua"/>
          <w:b/>
          <w:bCs/>
          <w:color w:val="000000" w:themeColor="text1"/>
          <w:lang w:val="es-PR"/>
        </w:rPr>
        <w:t>Notarial de Puerto Rico</w:t>
      </w:r>
      <w:r w:rsidRPr="000E30B7">
        <w:rPr>
          <w:rFonts w:ascii="Book Antiqua" w:hAnsi="Book Antiqua"/>
          <w:bCs/>
          <w:color w:val="000000"/>
          <w:szCs w:val="24"/>
          <w:shd w:val="clear" w:color="auto" w:fill="FFFFFF"/>
          <w:lang w:val="es-PR"/>
        </w:rPr>
        <w:t xml:space="preserve"> (</w:t>
      </w:r>
      <w:r>
        <w:rPr>
          <w:rFonts w:ascii="Book Antiqua" w:hAnsi="Book Antiqua"/>
          <w:bCs/>
          <w:color w:val="000000"/>
          <w:szCs w:val="24"/>
          <w:shd w:val="clear" w:color="auto" w:fill="FFFFFF"/>
          <w:lang w:val="es-PR"/>
        </w:rPr>
        <w:t>Colegio de Notarios</w:t>
      </w:r>
      <w:r w:rsidRPr="000E30B7">
        <w:rPr>
          <w:rFonts w:ascii="Book Antiqua" w:hAnsi="Book Antiqua"/>
          <w:bCs/>
          <w:color w:val="000000"/>
          <w:szCs w:val="24"/>
          <w:shd w:val="clear" w:color="auto" w:fill="FFFFFF"/>
          <w:lang w:val="es-PR"/>
        </w:rPr>
        <w:t>)</w:t>
      </w:r>
    </w:p>
    <w:p w14:paraId="77CD95B8" w14:textId="421B616E" w:rsidR="00563407" w:rsidRDefault="00563407" w:rsidP="006C7F9F">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Colegio de Notarios sólo endosa la </w:t>
      </w:r>
      <w:r w:rsidR="009B5319">
        <w:rPr>
          <w:rFonts w:ascii="Book Antiqua" w:eastAsia="Book Antiqua" w:hAnsi="Book Antiqua" w:cs="Book Antiqua"/>
          <w:color w:val="000000" w:themeColor="text1"/>
          <w:lang w:val="es-PR"/>
        </w:rPr>
        <w:t>s</w:t>
      </w:r>
      <w:r>
        <w:rPr>
          <w:rFonts w:ascii="Book Antiqua" w:eastAsia="Book Antiqua" w:hAnsi="Book Antiqua" w:cs="Book Antiqua"/>
          <w:color w:val="000000" w:themeColor="text1"/>
          <w:lang w:val="es-PR"/>
        </w:rPr>
        <w:t>ección 1 de esta pieza legislativa, la cual enmienda el</w:t>
      </w:r>
      <w:r w:rsidR="009B5319">
        <w:rPr>
          <w:rFonts w:ascii="Book Antiqua" w:eastAsia="Book Antiqua" w:hAnsi="Book Antiqua" w:cs="Book Antiqua"/>
          <w:color w:val="000000" w:themeColor="text1"/>
          <w:lang w:val="es-PR"/>
        </w:rPr>
        <w:t xml:space="preserve"> artículo</w:t>
      </w:r>
      <w:r>
        <w:rPr>
          <w:rFonts w:ascii="Book Antiqua" w:eastAsia="Book Antiqua" w:hAnsi="Book Antiqua" w:cs="Book Antiqua"/>
          <w:color w:val="000000" w:themeColor="text1"/>
          <w:lang w:val="es-PR"/>
        </w:rPr>
        <w:t xml:space="preserve"> 11</w:t>
      </w:r>
      <w:r w:rsidR="00521A10">
        <w:rPr>
          <w:rFonts w:ascii="Book Antiqua" w:eastAsia="Book Antiqua" w:hAnsi="Book Antiqua" w:cs="Book Antiqua"/>
          <w:color w:val="000000" w:themeColor="text1"/>
          <w:lang w:val="es-PR"/>
        </w:rPr>
        <w:t>.</w:t>
      </w:r>
      <w:r w:rsidR="00521A10">
        <w:rPr>
          <w:rStyle w:val="FootnoteReference"/>
          <w:rFonts w:ascii="Book Antiqua" w:eastAsia="Book Antiqua" w:hAnsi="Book Antiqua" w:cs="Book Antiqua"/>
          <w:color w:val="000000" w:themeColor="text1"/>
          <w:lang w:val="es-PR"/>
        </w:rPr>
        <w:footnoteReference w:id="8"/>
      </w:r>
      <w:r>
        <w:rPr>
          <w:rFonts w:ascii="Book Antiqua" w:eastAsia="Book Antiqua" w:hAnsi="Book Antiqua" w:cs="Book Antiqua"/>
          <w:color w:val="000000" w:themeColor="text1"/>
          <w:lang w:val="es-PR"/>
        </w:rPr>
        <w:t xml:space="preserve"> </w:t>
      </w:r>
      <w:r w:rsidR="00521A10">
        <w:rPr>
          <w:rFonts w:ascii="Book Antiqua" w:eastAsia="Book Antiqua" w:hAnsi="Book Antiqua" w:cs="Book Antiqua"/>
          <w:color w:val="000000" w:themeColor="text1"/>
          <w:lang w:val="es-PR"/>
        </w:rPr>
        <w:t xml:space="preserve">La enmienda </w:t>
      </w:r>
      <w:r>
        <w:rPr>
          <w:rFonts w:ascii="Book Antiqua" w:eastAsia="Book Antiqua" w:hAnsi="Book Antiqua" w:cs="Book Antiqua"/>
          <w:color w:val="000000" w:themeColor="text1"/>
          <w:lang w:val="es-PR"/>
        </w:rPr>
        <w:t xml:space="preserve">adelanta la agilidad del tráfico jurídico sin comprometer la seguridad jurídica. Sin embargo, </w:t>
      </w:r>
      <w:r w:rsidR="00521A10">
        <w:rPr>
          <w:rFonts w:ascii="Book Antiqua" w:eastAsia="Book Antiqua" w:hAnsi="Book Antiqua" w:cs="Book Antiqua"/>
          <w:color w:val="000000" w:themeColor="text1"/>
          <w:lang w:val="es-PR"/>
        </w:rPr>
        <w:t xml:space="preserve">el Colegio de Notarios </w:t>
      </w:r>
      <w:r>
        <w:rPr>
          <w:rFonts w:ascii="Book Antiqua" w:eastAsia="Book Antiqua" w:hAnsi="Book Antiqua" w:cs="Book Antiqua"/>
          <w:color w:val="000000" w:themeColor="text1"/>
          <w:lang w:val="es-PR"/>
        </w:rPr>
        <w:t xml:space="preserve">entiende que se debe </w:t>
      </w:r>
      <w:r w:rsidRPr="00563407">
        <w:rPr>
          <w:rFonts w:ascii="Book Antiqua" w:eastAsia="Book Antiqua" w:hAnsi="Book Antiqua" w:cs="Book Antiqua"/>
          <w:color w:val="000000" w:themeColor="text1"/>
        </w:rPr>
        <w:t xml:space="preserve">mantener una referencia clara y explícita al exequátur en el </w:t>
      </w:r>
      <w:r w:rsidR="00521A10">
        <w:rPr>
          <w:rFonts w:ascii="Book Antiqua" w:eastAsia="Book Antiqua" w:hAnsi="Book Antiqua" w:cs="Book Antiqua"/>
          <w:color w:val="000000" w:themeColor="text1"/>
        </w:rPr>
        <w:t>a</w:t>
      </w:r>
      <w:r w:rsidRPr="00563407">
        <w:rPr>
          <w:rFonts w:ascii="Book Antiqua" w:eastAsia="Book Antiqua" w:hAnsi="Book Antiqua" w:cs="Book Antiqua"/>
          <w:color w:val="000000" w:themeColor="text1"/>
        </w:rPr>
        <w:t>rtículo 11</w:t>
      </w:r>
      <w:r>
        <w:rPr>
          <w:rFonts w:ascii="Book Antiqua" w:eastAsia="Book Antiqua" w:hAnsi="Book Antiqua" w:cs="Book Antiqua"/>
          <w:color w:val="000000" w:themeColor="text1"/>
        </w:rPr>
        <w:t>, pues ésta sería e</w:t>
      </w:r>
      <w:r w:rsidRPr="00563407">
        <w:rPr>
          <w:rFonts w:ascii="Book Antiqua" w:eastAsia="Book Antiqua" w:hAnsi="Book Antiqua" w:cs="Book Antiqua"/>
          <w:color w:val="000000" w:themeColor="text1"/>
        </w:rPr>
        <w:t xml:space="preserve">sencial para garantizar uniformidad en los criterios de calificación de los Registradores de la Propiedad. </w:t>
      </w:r>
      <w:r>
        <w:rPr>
          <w:rFonts w:ascii="Book Antiqua" w:eastAsia="Book Antiqua" w:hAnsi="Book Antiqua" w:cs="Book Antiqua"/>
          <w:color w:val="000000" w:themeColor="text1"/>
        </w:rPr>
        <w:t>Según su posición una</w:t>
      </w:r>
      <w:r w:rsidRPr="00563407">
        <w:rPr>
          <w:rFonts w:ascii="Book Antiqua" w:eastAsia="Book Antiqua" w:hAnsi="Book Antiqua" w:cs="Book Antiqua"/>
          <w:color w:val="000000" w:themeColor="text1"/>
        </w:rPr>
        <w:t xml:space="preserve"> norma precisa evita divergencias interpretativas entre las distintas secciones del Registro de la Propiedad y reduce el riesgo de criterios dispares en torno al uso de sentencias extranjeras o estatales para acreditar el estado civil de los comparecientes. </w:t>
      </w:r>
      <w:r>
        <w:rPr>
          <w:rFonts w:ascii="Book Antiqua" w:eastAsia="Book Antiqua" w:hAnsi="Book Antiqua" w:cs="Book Antiqua"/>
          <w:color w:val="000000" w:themeColor="text1"/>
          <w:lang w:val="es-PR"/>
        </w:rPr>
        <w:t xml:space="preserve"> Plantean que su endoso está condicionado “siempre que su alcance se mantenga estrictamente limitado al propósito de acreditar estado civil en los términos descritos”. No obstante, el Colegio de Notarios no favorece el resto de esta pieza legislativa</w:t>
      </w:r>
      <w:r w:rsidR="006C7F9F">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w:t>
      </w:r>
    </w:p>
    <w:p w14:paraId="628716C7" w14:textId="6650204D" w:rsidR="00563407" w:rsidRDefault="00563407" w:rsidP="003600C7">
      <w:pPr>
        <w:spacing w:after="120"/>
        <w:ind w:left="720" w:right="720"/>
        <w:jc w:val="both"/>
        <w:rPr>
          <w:rFonts w:ascii="Book Antiqua" w:hAnsi="Book Antiqua"/>
          <w:color w:val="000000"/>
          <w:szCs w:val="24"/>
        </w:rPr>
      </w:pPr>
      <w:r w:rsidRPr="006C7F9F">
        <w:rPr>
          <w:rFonts w:ascii="Book Antiqua" w:eastAsia="Book Antiqua" w:hAnsi="Book Antiqua" w:cs="Book Antiqua"/>
          <w:color w:val="000000" w:themeColor="text1"/>
          <w:szCs w:val="24"/>
        </w:rPr>
        <w:t>En cuanto a las modificaciones propuestas a los Artículos 236, 237 y 238, el CNPR entiende que, en su redacción actual, no es posible emitir un endoso institucional. La Exposición de Motivos no identifica con precisión la problemática que se pretende atender, ni demuestra el beneficio operativo o jurídico que justificaría la implantación de una etapa intermedia de “notificación extraoficial”. Tampoco se expone cómo la estructura propuesta se traduciría en una reducción de costos, un manejo más eficiente de los términos o una mayor uniformidad en el proceso de calificación registral.</w:t>
      </w:r>
      <w:r w:rsidR="00EB2D33" w:rsidRPr="006C7F9F">
        <w:rPr>
          <w:rFonts w:ascii="Book Antiqua" w:eastAsia="Book Antiqua" w:hAnsi="Book Antiqua" w:cs="Book Antiqua"/>
          <w:color w:val="000000" w:themeColor="text1"/>
          <w:szCs w:val="24"/>
        </w:rPr>
        <w:t xml:space="preserve"> </w:t>
      </w:r>
      <w:r w:rsidR="00EB2D33" w:rsidRPr="006C7F9F">
        <w:rPr>
          <w:rFonts w:ascii="Book Antiqua" w:hAnsi="Book Antiqua"/>
          <w:color w:val="000000"/>
          <w:szCs w:val="24"/>
        </w:rPr>
        <w:t>Por ello, el Colegio enfatiza la necesidad de que el expediente legislativo incorpore, como condición mínima, una explicación detallada respaldada por datos objetivos—incluyendo estadísticas sobre defectos notificados, tiempos promedio de calificación e impacto operacional estimado—así como un análisis sobre la interacción de los términos, interrupciones y caducidades que resultarían del esquema propuesto.</w:t>
      </w:r>
      <w:r w:rsidR="00F1651D">
        <w:rPr>
          <w:rStyle w:val="FootnoteReference"/>
          <w:rFonts w:ascii="Book Antiqua" w:hAnsi="Book Antiqua"/>
          <w:color w:val="000000"/>
          <w:szCs w:val="24"/>
        </w:rPr>
        <w:footnoteReference w:id="9"/>
      </w:r>
      <w:r w:rsidR="00EB2D33" w:rsidRPr="006C7F9F">
        <w:rPr>
          <w:rFonts w:ascii="Book Antiqua" w:hAnsi="Book Antiqua"/>
          <w:color w:val="000000"/>
          <w:szCs w:val="24"/>
        </w:rPr>
        <w:t xml:space="preserve"> </w:t>
      </w:r>
    </w:p>
    <w:p w14:paraId="4DB79AAF" w14:textId="77777777" w:rsidR="002A1454" w:rsidRDefault="002A1454" w:rsidP="003600C7">
      <w:pPr>
        <w:spacing w:after="120"/>
        <w:ind w:left="720" w:right="720"/>
        <w:jc w:val="both"/>
        <w:rPr>
          <w:rFonts w:ascii="Book Antiqua" w:hAnsi="Book Antiqua"/>
          <w:color w:val="000000"/>
          <w:szCs w:val="24"/>
        </w:rPr>
      </w:pPr>
    </w:p>
    <w:p w14:paraId="2EF1415F" w14:textId="77777777" w:rsidR="002A1454" w:rsidRDefault="002A1454" w:rsidP="003600C7">
      <w:pPr>
        <w:spacing w:after="120"/>
        <w:ind w:left="720" w:right="720"/>
        <w:jc w:val="both"/>
        <w:rPr>
          <w:rFonts w:ascii="Book Antiqua" w:hAnsi="Book Antiqua"/>
          <w:color w:val="000000"/>
          <w:szCs w:val="24"/>
        </w:rPr>
      </w:pPr>
    </w:p>
    <w:p w14:paraId="0EA003A3" w14:textId="77777777" w:rsidR="002A1454" w:rsidRPr="006C7F9F" w:rsidRDefault="002A1454" w:rsidP="003600C7">
      <w:pPr>
        <w:spacing w:after="120"/>
        <w:ind w:left="720" w:right="720"/>
        <w:jc w:val="both"/>
        <w:rPr>
          <w:rFonts w:ascii="Book Antiqua" w:eastAsia="Book Antiqua" w:hAnsi="Book Antiqua" w:cs="Book Antiqua"/>
          <w:color w:val="000000" w:themeColor="text1"/>
          <w:szCs w:val="24"/>
        </w:rPr>
      </w:pPr>
    </w:p>
    <w:p w14:paraId="7D811CAA" w14:textId="2ADE10AF" w:rsidR="00563407" w:rsidRDefault="00EB2D33" w:rsidP="00EB2D33">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lang w:val="es-PR"/>
        </w:rPr>
        <w:lastRenderedPageBreak/>
        <w:t xml:space="preserve">Con relación a </w:t>
      </w:r>
      <w:r w:rsidRPr="00EB2D33">
        <w:rPr>
          <w:rFonts w:ascii="Book Antiqua" w:eastAsia="Book Antiqua" w:hAnsi="Book Antiqua" w:cs="Book Antiqua"/>
          <w:color w:val="000000" w:themeColor="text1"/>
        </w:rPr>
        <w:t xml:space="preserve">la enmienda </w:t>
      </w:r>
      <w:r w:rsidR="00F1651D">
        <w:rPr>
          <w:rFonts w:ascii="Book Antiqua" w:eastAsia="Book Antiqua" w:hAnsi="Book Antiqua" w:cs="Book Antiqua"/>
          <w:color w:val="000000" w:themeColor="text1"/>
        </w:rPr>
        <w:t>de</w:t>
      </w:r>
      <w:r w:rsidRPr="00EB2D33">
        <w:rPr>
          <w:rFonts w:ascii="Book Antiqua" w:eastAsia="Book Antiqua" w:hAnsi="Book Antiqua" w:cs="Book Antiqua"/>
          <w:color w:val="000000" w:themeColor="text1"/>
        </w:rPr>
        <w:t xml:space="preserve">l </w:t>
      </w:r>
      <w:r w:rsidR="00F1651D">
        <w:rPr>
          <w:rFonts w:ascii="Book Antiqua" w:eastAsia="Book Antiqua" w:hAnsi="Book Antiqua" w:cs="Book Antiqua"/>
          <w:color w:val="000000" w:themeColor="text1"/>
        </w:rPr>
        <w:t>a</w:t>
      </w:r>
      <w:r w:rsidRPr="00EB2D33">
        <w:rPr>
          <w:rFonts w:ascii="Book Antiqua" w:eastAsia="Book Antiqua" w:hAnsi="Book Antiqua" w:cs="Book Antiqua"/>
          <w:color w:val="000000" w:themeColor="text1"/>
        </w:rPr>
        <w:t xml:space="preserve">rtículo 280 </w:t>
      </w:r>
      <w:r w:rsidR="007021A1">
        <w:rPr>
          <w:rFonts w:ascii="Book Antiqua" w:eastAsia="Book Antiqua" w:hAnsi="Book Antiqua" w:cs="Book Antiqua"/>
          <w:color w:val="000000" w:themeColor="text1"/>
        </w:rPr>
        <w:t>—</w:t>
      </w:r>
      <w:r w:rsidRPr="00EB2D33">
        <w:rPr>
          <w:rFonts w:ascii="Book Antiqua" w:eastAsia="Book Antiqua" w:hAnsi="Book Antiqua" w:cs="Book Antiqua"/>
          <w:color w:val="000000" w:themeColor="text1"/>
        </w:rPr>
        <w:t>que propone reducir de diez (10) a cinco (5) años el requisito de experiencia para ocupar el cargo de Registrador de la Propiedad</w:t>
      </w:r>
      <w:r w:rsidR="007021A1">
        <w:rPr>
          <w:rFonts w:ascii="Book Antiqua" w:eastAsia="Book Antiqua" w:hAnsi="Book Antiqua" w:cs="Book Antiqua"/>
          <w:color w:val="000000" w:themeColor="text1"/>
        </w:rPr>
        <w:t>—</w:t>
      </w:r>
      <w:r w:rsidRPr="00EB2D33">
        <w:rPr>
          <w:rFonts w:ascii="Book Antiqua" w:eastAsia="Book Antiqua" w:hAnsi="Book Antiqua" w:cs="Book Antiqua"/>
          <w:color w:val="000000" w:themeColor="text1"/>
        </w:rPr>
        <w:t xml:space="preserve"> el Colegio </w:t>
      </w:r>
      <w:r>
        <w:rPr>
          <w:rFonts w:ascii="Book Antiqua" w:eastAsia="Book Antiqua" w:hAnsi="Book Antiqua" w:cs="Book Antiqua"/>
          <w:color w:val="000000" w:themeColor="text1"/>
        </w:rPr>
        <w:t>de Notarios no identific</w:t>
      </w:r>
      <w:r w:rsidR="007021A1">
        <w:rPr>
          <w:rFonts w:ascii="Book Antiqua" w:eastAsia="Book Antiqua" w:hAnsi="Book Antiqua" w:cs="Book Antiqua"/>
          <w:color w:val="000000" w:themeColor="text1"/>
        </w:rPr>
        <w:t>ó</w:t>
      </w:r>
      <w:r>
        <w:rPr>
          <w:rFonts w:ascii="Book Antiqua" w:eastAsia="Book Antiqua" w:hAnsi="Book Antiqua" w:cs="Book Antiqua"/>
          <w:color w:val="000000" w:themeColor="text1"/>
        </w:rPr>
        <w:t xml:space="preserve"> </w:t>
      </w:r>
      <w:r w:rsidRPr="00EB2D33">
        <w:rPr>
          <w:rFonts w:ascii="Book Antiqua" w:eastAsia="Book Antiqua" w:hAnsi="Book Antiqua" w:cs="Book Antiqua"/>
          <w:color w:val="000000" w:themeColor="text1"/>
        </w:rPr>
        <w:t xml:space="preserve">fundamento suficiente que justifique dicho cambio. La Exposición de Motivos no especifica la necesidad institucional que se pretende atender —ya sea escasez de personal elegible, dificultades de reclutamiento u otras consideraciones— ni provee una evaluación sobre el posible efecto de la reducción en la calidad y consistencia del proceso de calificación registral. Asimismo, no se plantean salvaguardas que garanticen la continuidad del rigor técnico–jurídico que caracteriza el quehacer registral. </w:t>
      </w:r>
      <w:r>
        <w:rPr>
          <w:rFonts w:ascii="Book Antiqua" w:eastAsia="Book Antiqua" w:hAnsi="Book Antiqua" w:cs="Book Antiqua"/>
          <w:color w:val="000000" w:themeColor="text1"/>
        </w:rPr>
        <w:t>Debido a lo que a su juicio es el rol</w:t>
      </w:r>
      <w:r w:rsidRPr="00EB2D33">
        <w:rPr>
          <w:rFonts w:ascii="Book Antiqua" w:eastAsia="Book Antiqua" w:hAnsi="Book Antiqua" w:cs="Book Antiqua"/>
          <w:color w:val="000000" w:themeColor="text1"/>
        </w:rPr>
        <w:t xml:space="preserve"> esencial del Registrador </w:t>
      </w:r>
      <w:r>
        <w:rPr>
          <w:rFonts w:ascii="Book Antiqua" w:eastAsia="Book Antiqua" w:hAnsi="Book Antiqua" w:cs="Book Antiqua"/>
          <w:color w:val="000000" w:themeColor="text1"/>
        </w:rPr>
        <w:t>“</w:t>
      </w:r>
      <w:r w:rsidRPr="00EB2D33">
        <w:rPr>
          <w:rFonts w:ascii="Book Antiqua" w:eastAsia="Book Antiqua" w:hAnsi="Book Antiqua" w:cs="Book Antiqua"/>
          <w:color w:val="000000" w:themeColor="text1"/>
        </w:rPr>
        <w:t>en la protección del principio de legalidad y en la preservación de la seguridad del tráfico jurídico inmobiliario</w:t>
      </w:r>
      <w:r>
        <w:rPr>
          <w:rFonts w:ascii="Book Antiqua" w:eastAsia="Book Antiqua" w:hAnsi="Book Antiqua" w:cs="Book Antiqua"/>
          <w:color w:val="000000" w:themeColor="text1"/>
        </w:rPr>
        <w:t>”</w:t>
      </w:r>
      <w:r w:rsidRPr="00EB2D33">
        <w:rPr>
          <w:rFonts w:ascii="Book Antiqua" w:eastAsia="Book Antiqua" w:hAnsi="Book Antiqua" w:cs="Book Antiqua"/>
          <w:color w:val="000000" w:themeColor="text1"/>
        </w:rPr>
        <w:t xml:space="preserve">, </w:t>
      </w:r>
      <w:r>
        <w:rPr>
          <w:rFonts w:ascii="Book Antiqua" w:eastAsia="Book Antiqua" w:hAnsi="Book Antiqua" w:cs="Book Antiqua"/>
          <w:color w:val="000000" w:themeColor="text1"/>
        </w:rPr>
        <w:t>esta institución</w:t>
      </w:r>
      <w:r w:rsidRPr="00EB2D33">
        <w:rPr>
          <w:rFonts w:ascii="Book Antiqua" w:eastAsia="Book Antiqua" w:hAnsi="Book Antiqua" w:cs="Book Antiqua"/>
          <w:color w:val="000000" w:themeColor="text1"/>
        </w:rPr>
        <w:t xml:space="preserve"> considera que una modificación de esta naturaleza requiere un fundamento explícito y un análisis de impacto adecuado</w:t>
      </w:r>
      <w:r w:rsidR="00CC39E1">
        <w:rPr>
          <w:rFonts w:ascii="Book Antiqua" w:eastAsia="Book Antiqua" w:hAnsi="Book Antiqua" w:cs="Book Antiqua"/>
          <w:color w:val="000000" w:themeColor="text1"/>
        </w:rPr>
        <w:t>.</w:t>
      </w:r>
      <w:r w:rsidRPr="00EB2D33">
        <w:rPr>
          <w:rFonts w:ascii="Book Antiqua" w:eastAsia="Book Antiqua" w:hAnsi="Book Antiqua" w:cs="Book Antiqua"/>
          <w:color w:val="000000" w:themeColor="text1"/>
        </w:rPr>
        <w:t xml:space="preserve"> </w:t>
      </w:r>
      <w:r w:rsidR="00CC39E1">
        <w:rPr>
          <w:rFonts w:ascii="Book Antiqua" w:eastAsia="Book Antiqua" w:hAnsi="Book Antiqua" w:cs="Book Antiqua"/>
          <w:color w:val="000000" w:themeColor="text1"/>
        </w:rPr>
        <w:t xml:space="preserve">No identificó tales </w:t>
      </w:r>
      <w:r w:rsidRPr="00EB2D33">
        <w:rPr>
          <w:rFonts w:ascii="Book Antiqua" w:eastAsia="Book Antiqua" w:hAnsi="Book Antiqua" w:cs="Book Antiqua"/>
          <w:color w:val="000000" w:themeColor="text1"/>
        </w:rPr>
        <w:t>elementos</w:t>
      </w:r>
      <w:r>
        <w:rPr>
          <w:rFonts w:ascii="Book Antiqua" w:eastAsia="Book Antiqua" w:hAnsi="Book Antiqua" w:cs="Book Antiqua"/>
          <w:color w:val="000000" w:themeColor="text1"/>
        </w:rPr>
        <w:t xml:space="preserve"> en el texto del P. de la C. 972</w:t>
      </w:r>
      <w:r w:rsidRPr="00EB2D33">
        <w:rPr>
          <w:rFonts w:ascii="Book Antiqua" w:eastAsia="Book Antiqua" w:hAnsi="Book Antiqua" w:cs="Book Antiqua"/>
          <w:color w:val="000000" w:themeColor="text1"/>
        </w:rPr>
        <w:t>.</w:t>
      </w:r>
    </w:p>
    <w:p w14:paraId="7FA03F36" w14:textId="2432C405" w:rsidR="00EB2D33" w:rsidRPr="00FE4E67" w:rsidRDefault="00EB2D33" w:rsidP="00EB2D33">
      <w:pPr>
        <w:spacing w:after="240"/>
        <w:jc w:val="center"/>
        <w:rPr>
          <w:rFonts w:ascii="Book Antiqua" w:hAnsi="Book Antiqua"/>
          <w:b/>
          <w:color w:val="000000"/>
          <w:szCs w:val="24"/>
          <w:shd w:val="clear" w:color="auto" w:fill="FFFFFF"/>
          <w:lang w:val="es-PR"/>
        </w:rPr>
      </w:pPr>
      <w:r>
        <w:rPr>
          <w:rFonts w:ascii="Book Antiqua" w:eastAsia="Book Antiqua" w:hAnsi="Book Antiqua" w:cs="Book Antiqua"/>
          <w:b/>
          <w:bCs/>
          <w:color w:val="000000" w:themeColor="text1"/>
          <w:lang w:val="es-PR"/>
        </w:rPr>
        <w:t xml:space="preserve">Colegio de </w:t>
      </w:r>
      <w:proofErr w:type="gramStart"/>
      <w:r>
        <w:rPr>
          <w:rFonts w:ascii="Book Antiqua" w:eastAsia="Book Antiqua" w:hAnsi="Book Antiqua" w:cs="Book Antiqua"/>
          <w:b/>
          <w:bCs/>
          <w:color w:val="000000" w:themeColor="text1"/>
          <w:lang w:val="es-PR"/>
        </w:rPr>
        <w:t>Abogados y Abogadas</w:t>
      </w:r>
      <w:proofErr w:type="gramEnd"/>
      <w:r>
        <w:rPr>
          <w:rFonts w:ascii="Book Antiqua" w:eastAsia="Book Antiqua" w:hAnsi="Book Antiqua" w:cs="Book Antiqua"/>
          <w:b/>
          <w:bCs/>
          <w:color w:val="000000" w:themeColor="text1"/>
          <w:lang w:val="es-PR"/>
        </w:rPr>
        <w:t xml:space="preserve"> de Puerto Rico</w:t>
      </w:r>
      <w:r w:rsidRPr="000E30B7">
        <w:rPr>
          <w:rFonts w:ascii="Book Antiqua" w:hAnsi="Book Antiqua"/>
          <w:bCs/>
          <w:color w:val="000000"/>
          <w:szCs w:val="24"/>
          <w:shd w:val="clear" w:color="auto" w:fill="FFFFFF"/>
          <w:lang w:val="es-PR"/>
        </w:rPr>
        <w:t xml:space="preserve"> (</w:t>
      </w:r>
      <w:r>
        <w:rPr>
          <w:rFonts w:ascii="Book Antiqua" w:hAnsi="Book Antiqua"/>
          <w:bCs/>
          <w:color w:val="000000"/>
          <w:szCs w:val="24"/>
          <w:shd w:val="clear" w:color="auto" w:fill="FFFFFF"/>
          <w:lang w:val="es-PR"/>
        </w:rPr>
        <w:t>CAAPR</w:t>
      </w:r>
      <w:r w:rsidRPr="000E30B7">
        <w:rPr>
          <w:rFonts w:ascii="Book Antiqua" w:hAnsi="Book Antiqua"/>
          <w:bCs/>
          <w:color w:val="000000"/>
          <w:szCs w:val="24"/>
          <w:shd w:val="clear" w:color="auto" w:fill="FFFFFF"/>
          <w:lang w:val="es-PR"/>
        </w:rPr>
        <w:t>)</w:t>
      </w:r>
    </w:p>
    <w:p w14:paraId="2E9B326B" w14:textId="7E8F05AC" w:rsidR="00291E04" w:rsidRDefault="00EB2D33" w:rsidP="00EB2D33">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El CAAPR</w:t>
      </w:r>
      <w:r>
        <w:rPr>
          <w:rStyle w:val="FootnoteReference"/>
          <w:rFonts w:ascii="Book Antiqua" w:eastAsia="Book Antiqua" w:hAnsi="Book Antiqua" w:cs="Book Antiqua"/>
          <w:color w:val="000000" w:themeColor="text1"/>
          <w:lang w:val="es-PR"/>
        </w:rPr>
        <w:footnoteReference w:id="10"/>
      </w:r>
      <w:r>
        <w:rPr>
          <w:rFonts w:ascii="Book Antiqua" w:eastAsia="Book Antiqua" w:hAnsi="Book Antiqua" w:cs="Book Antiqua"/>
          <w:color w:val="000000" w:themeColor="text1"/>
          <w:lang w:val="es-PR"/>
        </w:rPr>
        <w:t xml:space="preserve"> </w:t>
      </w:r>
      <w:r w:rsidR="00291E04">
        <w:rPr>
          <w:rFonts w:ascii="Book Antiqua" w:eastAsia="Book Antiqua" w:hAnsi="Book Antiqua" w:cs="Book Antiqua"/>
          <w:color w:val="000000" w:themeColor="text1"/>
          <w:lang w:val="es-PR"/>
        </w:rPr>
        <w:t xml:space="preserve"> no tienen objeciones mayores a la aprobación de este proyecto de ley</w:t>
      </w:r>
      <w:r>
        <w:rPr>
          <w:rFonts w:ascii="Book Antiqua" w:eastAsia="Book Antiqua" w:hAnsi="Book Antiqua" w:cs="Book Antiqua"/>
          <w:color w:val="000000" w:themeColor="text1"/>
          <w:lang w:val="es-PR"/>
        </w:rPr>
        <w:t xml:space="preserve">. </w:t>
      </w:r>
      <w:r w:rsidR="00CC39E1">
        <w:rPr>
          <w:rFonts w:ascii="Book Antiqua" w:eastAsia="Book Antiqua" w:hAnsi="Book Antiqua" w:cs="Book Antiqua"/>
          <w:color w:val="000000" w:themeColor="text1"/>
          <w:lang w:val="es-PR"/>
        </w:rPr>
        <w:t xml:space="preserve">Si recomendó </w:t>
      </w:r>
      <w:r w:rsidR="00291E04">
        <w:rPr>
          <w:rFonts w:ascii="Book Antiqua" w:eastAsia="Book Antiqua" w:hAnsi="Book Antiqua" w:cs="Book Antiqua"/>
          <w:color w:val="000000" w:themeColor="text1"/>
          <w:lang w:val="es-PR"/>
        </w:rPr>
        <w:t>enmienda</w:t>
      </w:r>
      <w:r w:rsidR="00CC39E1">
        <w:rPr>
          <w:rFonts w:ascii="Book Antiqua" w:eastAsia="Book Antiqua" w:hAnsi="Book Antiqua" w:cs="Book Antiqua"/>
          <w:color w:val="000000" w:themeColor="text1"/>
          <w:lang w:val="es-PR"/>
        </w:rPr>
        <w:t>s</w:t>
      </w:r>
      <w:r w:rsidR="00291E04">
        <w:rPr>
          <w:rFonts w:ascii="Book Antiqua" w:eastAsia="Book Antiqua" w:hAnsi="Book Antiqua" w:cs="Book Antiqua"/>
          <w:color w:val="000000" w:themeColor="text1"/>
          <w:lang w:val="es-PR"/>
        </w:rPr>
        <w:t xml:space="preserve">, en particular sobre el texto del </w:t>
      </w:r>
      <w:r w:rsidR="00FA4D54">
        <w:rPr>
          <w:rFonts w:ascii="Book Antiqua" w:eastAsia="Book Antiqua" w:hAnsi="Book Antiqua" w:cs="Book Antiqua"/>
          <w:color w:val="000000" w:themeColor="text1"/>
          <w:lang w:val="es-PR"/>
        </w:rPr>
        <w:t xml:space="preserve">artículo </w:t>
      </w:r>
      <w:r w:rsidR="00291E04">
        <w:rPr>
          <w:rFonts w:ascii="Book Antiqua" w:eastAsia="Book Antiqua" w:hAnsi="Book Antiqua" w:cs="Book Antiqua"/>
          <w:color w:val="000000" w:themeColor="text1"/>
          <w:lang w:val="es-PR"/>
        </w:rPr>
        <w:t xml:space="preserve">238. Esta institución sugiere que dicha disposición se lea de la siguiente manera: </w:t>
      </w:r>
    </w:p>
    <w:p w14:paraId="6EC7DC68" w14:textId="77777777" w:rsidR="00291E04" w:rsidRPr="003600C7" w:rsidRDefault="00291E04" w:rsidP="004C5B1C">
      <w:pPr>
        <w:spacing w:after="120"/>
        <w:ind w:left="720" w:right="720" w:firstLine="720"/>
        <w:jc w:val="both"/>
        <w:rPr>
          <w:rFonts w:ascii="Book Antiqua" w:eastAsia="Book Antiqua" w:hAnsi="Book Antiqua" w:cstheme="majorBidi"/>
          <w:color w:val="000000" w:themeColor="text1"/>
          <w:szCs w:val="24"/>
        </w:rPr>
      </w:pPr>
      <w:r w:rsidRPr="003600C7">
        <w:rPr>
          <w:rFonts w:ascii="Book Antiqua" w:eastAsia="Book Antiqua" w:hAnsi="Book Antiqua" w:cstheme="majorBidi"/>
          <w:color w:val="000000" w:themeColor="text1"/>
          <w:szCs w:val="24"/>
        </w:rPr>
        <w:t xml:space="preserve">“Artículo 238. — Término para la corrección; interrupción y caducidad de la notificación. </w:t>
      </w:r>
    </w:p>
    <w:p w14:paraId="5E3E5B66" w14:textId="77777777" w:rsidR="00291E04" w:rsidRPr="003600C7" w:rsidRDefault="00291E04" w:rsidP="004C5B1C">
      <w:pPr>
        <w:spacing w:after="120"/>
        <w:ind w:left="720" w:right="720" w:firstLine="720"/>
        <w:jc w:val="both"/>
        <w:rPr>
          <w:rFonts w:ascii="Book Antiqua" w:eastAsia="Book Antiqua" w:hAnsi="Book Antiqua" w:cstheme="majorBidi"/>
          <w:b/>
          <w:bCs/>
          <w:color w:val="000000" w:themeColor="text1"/>
          <w:szCs w:val="24"/>
        </w:rPr>
      </w:pPr>
      <w:r w:rsidRPr="003600C7">
        <w:rPr>
          <w:rFonts w:ascii="Book Antiqua" w:eastAsia="Book Antiqua" w:hAnsi="Book Antiqua" w:cstheme="majorBidi"/>
          <w:b/>
          <w:bCs/>
          <w:color w:val="000000" w:themeColor="text1"/>
          <w:szCs w:val="24"/>
        </w:rPr>
        <w:t xml:space="preserve">[La corrección de los defectos notificados se efectuará dentro del término de sesenta (60) días contados a partir de la fecha de la notificación. Si se hace más de una notificación, el término de sesenta (60) días comenzará a contar desde la fecha de la última notificación. Dicho término quedará interrumpido cuando se corrija el defecto notificado o se presente ante el Registrador un escrito de recalificación. </w:t>
      </w:r>
    </w:p>
    <w:p w14:paraId="463DC742" w14:textId="045F7CAB" w:rsidR="00291E04" w:rsidRPr="003600C7" w:rsidRDefault="00291E04" w:rsidP="004C5B1C">
      <w:pPr>
        <w:spacing w:after="120"/>
        <w:ind w:left="720" w:right="720" w:firstLine="720"/>
        <w:jc w:val="both"/>
        <w:rPr>
          <w:rFonts w:ascii="Book Antiqua" w:eastAsia="Book Antiqua" w:hAnsi="Book Antiqua" w:cstheme="majorBidi"/>
          <w:b/>
          <w:bCs/>
          <w:color w:val="000000" w:themeColor="text1"/>
          <w:szCs w:val="24"/>
        </w:rPr>
      </w:pPr>
      <w:r w:rsidRPr="003600C7">
        <w:rPr>
          <w:rFonts w:ascii="Book Antiqua" w:eastAsia="Book Antiqua" w:hAnsi="Book Antiqua" w:cstheme="majorBidi"/>
          <w:b/>
          <w:bCs/>
          <w:color w:val="000000" w:themeColor="text1"/>
          <w:szCs w:val="24"/>
        </w:rPr>
        <w:t>La interrupción del plazo llevará consigo la interrupción de los documentos posteriormente presentados que hayan sido notificados por depender su inscripción de los primeros. La interrupción del término se hará constar en el asiento de presentación mediante nota fechada.</w:t>
      </w:r>
    </w:p>
    <w:p w14:paraId="2FA2BBD6" w14:textId="77777777" w:rsidR="00141334" w:rsidRPr="003600C7" w:rsidRDefault="00141334" w:rsidP="004C5B1C">
      <w:pPr>
        <w:spacing w:after="120"/>
        <w:ind w:left="720" w:right="720" w:firstLine="720"/>
        <w:jc w:val="both"/>
        <w:rPr>
          <w:rFonts w:ascii="Book Antiqua" w:eastAsia="Book Antiqua" w:hAnsi="Book Antiqua" w:cstheme="majorBidi"/>
          <w:b/>
          <w:bCs/>
          <w:color w:val="000000" w:themeColor="text1"/>
          <w:szCs w:val="24"/>
        </w:rPr>
      </w:pPr>
      <w:r w:rsidRPr="003600C7">
        <w:rPr>
          <w:rFonts w:ascii="Book Antiqua" w:eastAsia="Book Antiqua" w:hAnsi="Book Antiqua" w:cstheme="majorBidi"/>
          <w:b/>
          <w:bCs/>
          <w:color w:val="000000" w:themeColor="text1"/>
          <w:szCs w:val="24"/>
        </w:rPr>
        <w:t xml:space="preserve">Se extenderá nota de caducidad en el asiento de presentación de no ser subsanado el defecto dentro del término de sesenta (60) días o de no haberse presentado el escrito de recalificación, sin que proceda la devolución o el crédito de aranceles.] </w:t>
      </w:r>
    </w:p>
    <w:p w14:paraId="40792FD4" w14:textId="0966E020" w:rsidR="00141334" w:rsidRPr="003600C7" w:rsidRDefault="00141334" w:rsidP="004C5B1C">
      <w:pPr>
        <w:spacing w:after="120"/>
        <w:ind w:left="720" w:right="720" w:firstLine="720"/>
        <w:jc w:val="both"/>
        <w:rPr>
          <w:rFonts w:ascii="Book Antiqua" w:eastAsia="Book Antiqua" w:hAnsi="Book Antiqua" w:cstheme="majorBidi"/>
          <w:color w:val="000000" w:themeColor="text1"/>
          <w:szCs w:val="24"/>
          <w:lang w:val="es-PR"/>
        </w:rPr>
      </w:pPr>
      <w:r w:rsidRPr="003600C7">
        <w:rPr>
          <w:rFonts w:ascii="Book Antiqua" w:eastAsia="Book Antiqua" w:hAnsi="Book Antiqua" w:cstheme="majorBidi"/>
          <w:i/>
          <w:iCs/>
          <w:color w:val="000000" w:themeColor="text1"/>
          <w:szCs w:val="24"/>
        </w:rPr>
        <w:lastRenderedPageBreak/>
        <w:t xml:space="preserve">La corrección de los defectos notificados mediante notificación extraoficial se efectuará dentro del término de sesenta (60) días contados a partir de la notificación. </w:t>
      </w:r>
      <w:r w:rsidRPr="003600C7">
        <w:rPr>
          <w:rFonts w:ascii="Book Antiqua" w:eastAsia="Book Antiqua" w:hAnsi="Book Antiqua" w:cstheme="majorBidi"/>
          <w:i/>
          <w:iCs/>
          <w:color w:val="000000" w:themeColor="text1"/>
          <w:szCs w:val="24"/>
          <w:u w:val="single"/>
        </w:rPr>
        <w:t>Durante dicho término, el Registrador y la parte notificada podrán entrar en un procedimiento interactivo para subsanar el defecto notificado. Las comunicaciones entre ambos no interrumpirán el término aquí proscrito para la corrección del defecto notificado.</w:t>
      </w:r>
      <w:r w:rsidRPr="003600C7">
        <w:rPr>
          <w:rFonts w:ascii="Book Antiqua" w:eastAsia="Book Antiqua" w:hAnsi="Book Antiqua" w:cstheme="majorBidi"/>
          <w:i/>
          <w:iCs/>
          <w:color w:val="000000" w:themeColor="text1"/>
          <w:szCs w:val="24"/>
        </w:rPr>
        <w:t xml:space="preserve"> …</w:t>
      </w:r>
      <w:r w:rsidRPr="003600C7">
        <w:rPr>
          <w:rFonts w:ascii="Book Antiqua" w:eastAsia="Book Antiqua" w:hAnsi="Book Antiqua" w:cstheme="majorBidi"/>
          <w:color w:val="000000" w:themeColor="text1"/>
          <w:szCs w:val="24"/>
        </w:rPr>
        <w:t>”</w:t>
      </w:r>
      <w:r w:rsidR="002C150D" w:rsidRPr="003600C7">
        <w:rPr>
          <w:rStyle w:val="FootnoteReference"/>
          <w:rFonts w:ascii="Book Antiqua" w:eastAsia="Book Antiqua" w:hAnsi="Book Antiqua" w:cstheme="majorBidi"/>
          <w:color w:val="000000" w:themeColor="text1"/>
          <w:szCs w:val="24"/>
        </w:rPr>
        <w:footnoteReference w:id="11"/>
      </w:r>
    </w:p>
    <w:p w14:paraId="4D58BD0C" w14:textId="298BF377" w:rsidR="002C0EB4" w:rsidRDefault="007674A5" w:rsidP="002C0EB4">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rPr>
        <w:t>El CAAPR</w:t>
      </w:r>
      <w:r w:rsidR="00291E04" w:rsidRPr="00291E04">
        <w:rPr>
          <w:rFonts w:ascii="Book Antiqua" w:eastAsia="Book Antiqua" w:hAnsi="Book Antiqua" w:cs="Book Antiqua"/>
          <w:color w:val="000000" w:themeColor="text1"/>
        </w:rPr>
        <w:t xml:space="preserve"> </w:t>
      </w:r>
      <w:r>
        <w:rPr>
          <w:rFonts w:ascii="Book Antiqua" w:eastAsia="Book Antiqua" w:hAnsi="Book Antiqua" w:cs="Book Antiqua"/>
          <w:color w:val="000000" w:themeColor="text1"/>
        </w:rPr>
        <w:t>e</w:t>
      </w:r>
      <w:r w:rsidR="002C0EB4">
        <w:rPr>
          <w:rFonts w:ascii="Book Antiqua" w:eastAsia="Book Antiqua" w:hAnsi="Book Antiqua" w:cs="Book Antiqua"/>
          <w:color w:val="000000" w:themeColor="text1"/>
        </w:rPr>
        <w:t>ntien</w:t>
      </w:r>
      <w:r>
        <w:rPr>
          <w:rFonts w:ascii="Book Antiqua" w:eastAsia="Book Antiqua" w:hAnsi="Book Antiqua" w:cs="Book Antiqua"/>
          <w:color w:val="000000" w:themeColor="text1"/>
        </w:rPr>
        <w:t>de</w:t>
      </w:r>
      <w:r w:rsidR="002C0EB4">
        <w:rPr>
          <w:rFonts w:ascii="Book Antiqua" w:eastAsia="Book Antiqua" w:hAnsi="Book Antiqua" w:cs="Book Antiqua"/>
          <w:color w:val="000000" w:themeColor="text1"/>
        </w:rPr>
        <w:t xml:space="preserve"> que </w:t>
      </w:r>
      <w:r w:rsidR="002C0EB4" w:rsidRPr="002C0EB4">
        <w:rPr>
          <w:rFonts w:ascii="Book Antiqua" w:eastAsia="Book Antiqua" w:hAnsi="Book Antiqua" w:cs="Book Antiqua"/>
          <w:color w:val="000000" w:themeColor="text1"/>
        </w:rPr>
        <w:t xml:space="preserve">la enmienda así redactada, cumpliría con el propósito de facilitar el tráfico jurídico y minimizar los costos de la transacción jurídica, puesto que describe la posición de ambas partes </w:t>
      </w:r>
      <w:r w:rsidR="00042603">
        <w:rPr>
          <w:rFonts w:ascii="Book Antiqua" w:eastAsia="Book Antiqua" w:hAnsi="Book Antiqua" w:cs="Book Antiqua"/>
          <w:color w:val="000000" w:themeColor="text1"/>
        </w:rPr>
        <w:t>—</w:t>
      </w:r>
      <w:r w:rsidR="002C0EB4" w:rsidRPr="002C0EB4">
        <w:rPr>
          <w:rFonts w:ascii="Book Antiqua" w:eastAsia="Book Antiqua" w:hAnsi="Book Antiqua" w:cs="Book Antiqua"/>
          <w:color w:val="000000" w:themeColor="text1"/>
        </w:rPr>
        <w:t>notario y Registrador</w:t>
      </w:r>
      <w:r w:rsidR="00042603">
        <w:rPr>
          <w:rFonts w:ascii="Book Antiqua" w:eastAsia="Book Antiqua" w:hAnsi="Book Antiqua" w:cs="Book Antiqua"/>
          <w:color w:val="000000" w:themeColor="text1"/>
        </w:rPr>
        <w:t>—</w:t>
      </w:r>
      <w:r w:rsidR="002C0EB4" w:rsidRPr="002C0EB4">
        <w:rPr>
          <w:rFonts w:ascii="Book Antiqua" w:eastAsia="Book Antiqua" w:hAnsi="Book Antiqua" w:cs="Book Antiqua"/>
          <w:color w:val="000000" w:themeColor="text1"/>
        </w:rPr>
        <w:t xml:space="preserve"> para agilizar y flexibilizar el proceso de corregir los defectos. </w:t>
      </w:r>
      <w:r w:rsidR="00042603">
        <w:rPr>
          <w:rFonts w:ascii="Book Antiqua" w:eastAsia="Book Antiqua" w:hAnsi="Book Antiqua" w:cs="Book Antiqua"/>
          <w:color w:val="000000" w:themeColor="text1"/>
        </w:rPr>
        <w:t xml:space="preserve">El CAAPR </w:t>
      </w:r>
      <w:r w:rsidR="002C0EB4">
        <w:rPr>
          <w:rFonts w:ascii="Book Antiqua" w:eastAsia="Book Antiqua" w:hAnsi="Book Antiqua" w:cs="Book Antiqua"/>
          <w:color w:val="000000" w:themeColor="text1"/>
          <w:lang w:val="es-PR"/>
        </w:rPr>
        <w:t xml:space="preserve">plantea que esta redacción es importante por lo siguiente: </w:t>
      </w:r>
    </w:p>
    <w:p w14:paraId="2217C306" w14:textId="77777777" w:rsidR="002C0EB4" w:rsidRPr="00042603" w:rsidRDefault="002C0EB4" w:rsidP="00042603">
      <w:pPr>
        <w:spacing w:after="120"/>
        <w:ind w:left="720" w:right="720" w:firstLine="720"/>
        <w:jc w:val="both"/>
        <w:rPr>
          <w:rFonts w:ascii="Book Antiqua" w:eastAsia="Book Antiqua" w:hAnsi="Book Antiqua" w:cs="Book Antiqua"/>
          <w:color w:val="000000" w:themeColor="text1"/>
          <w:szCs w:val="24"/>
        </w:rPr>
      </w:pPr>
      <w:r w:rsidRPr="00042603">
        <w:rPr>
          <w:rFonts w:ascii="Book Antiqua" w:eastAsia="Book Antiqua" w:hAnsi="Book Antiqua" w:cs="Book Antiqua"/>
          <w:color w:val="000000" w:themeColor="text1"/>
          <w:szCs w:val="24"/>
        </w:rPr>
        <w:t xml:space="preserve">En primer lugar, no recoge como parte del proceso de notificación extraoficial, si el notario a quién se le ha notificado la falta, tiene la oportunidad de solicitar una recalificación. El escrito o solicitud de recalificación es una herramienta importantísima que tiene el notario cuando recibe una notificación de falta, pues muchas veces son cuestiones o “issues” de interpretación de ley o reglamento. De no proveerse esta herramienta dentro del proceso de notificación extraoficial, estando en desacuerdo con la notificación el notario, el proceso de notificación extraoficial se convertiría en un ejercicio en futilidad, puesto que ha puesto a “correr” un término innecesario, toda vez que no se va a subsanar aquella falta notificada por el Registrador o Registradora. Entendemos que se debe permitir el escrito de recalificación en el término de la notificación extraoficial. </w:t>
      </w:r>
    </w:p>
    <w:p w14:paraId="449BDE77" w14:textId="77777777" w:rsidR="002C0EB4" w:rsidRPr="00042603" w:rsidRDefault="002C0EB4" w:rsidP="00042603">
      <w:pPr>
        <w:spacing w:after="120"/>
        <w:ind w:left="720" w:right="720" w:firstLine="720"/>
        <w:jc w:val="both"/>
        <w:rPr>
          <w:rFonts w:ascii="Book Antiqua" w:eastAsia="Book Antiqua" w:hAnsi="Book Antiqua" w:cs="Book Antiqua"/>
          <w:color w:val="000000" w:themeColor="text1"/>
          <w:szCs w:val="24"/>
        </w:rPr>
      </w:pPr>
      <w:r w:rsidRPr="00042603">
        <w:rPr>
          <w:rFonts w:ascii="Book Antiqua" w:eastAsia="Book Antiqua" w:hAnsi="Book Antiqua" w:cs="Book Antiqua"/>
          <w:color w:val="000000" w:themeColor="text1"/>
          <w:szCs w:val="24"/>
        </w:rPr>
        <w:t xml:space="preserve">En segundo lugar, nos parece que no está claro, conforme a la redacción de proyecto, que el Registrador o Registradora tiene que hacer SIEMPRE la notificación extraoficial antes de la oficial. Entendemos, por nuestra parte, que el propósito del proyecto de ley es que la notificación extraoficial se convierta en un remedio que necesariamente hay que agotar antes de hacer la notificación oficial. No obstante, se debe aclarar. </w:t>
      </w:r>
    </w:p>
    <w:p w14:paraId="6098D9D9" w14:textId="06A6CB53" w:rsidR="002C0EB4" w:rsidRDefault="002C0EB4" w:rsidP="00042603">
      <w:pPr>
        <w:spacing w:after="120"/>
        <w:ind w:left="720" w:right="720" w:firstLine="720"/>
        <w:jc w:val="both"/>
        <w:rPr>
          <w:rFonts w:ascii="Book Antiqua" w:eastAsia="Book Antiqua" w:hAnsi="Book Antiqua" w:cs="Book Antiqua"/>
          <w:color w:val="000000" w:themeColor="text1"/>
          <w:szCs w:val="24"/>
        </w:rPr>
      </w:pPr>
      <w:r w:rsidRPr="00042603">
        <w:rPr>
          <w:rFonts w:ascii="Book Antiqua" w:eastAsia="Book Antiqua" w:hAnsi="Book Antiqua" w:cs="Book Antiqua"/>
          <w:color w:val="000000" w:themeColor="text1"/>
          <w:szCs w:val="24"/>
        </w:rPr>
        <w:t>Nuestra mayor preocupación es que se está creando un proceso extraoficial, pero sin espacio para la flexibilidad que el mismo debe conllevar para obtener el objetivo de aminorar el costo de la transacción jurídica.</w:t>
      </w:r>
      <w:r w:rsidR="00042603" w:rsidRPr="00042603">
        <w:rPr>
          <w:rStyle w:val="FootnoteReference"/>
          <w:rFonts w:ascii="Book Antiqua" w:eastAsia="Book Antiqua" w:hAnsi="Book Antiqua" w:cs="Book Antiqua"/>
          <w:color w:val="000000" w:themeColor="text1"/>
          <w:szCs w:val="24"/>
        </w:rPr>
        <w:footnoteReference w:id="12"/>
      </w:r>
      <w:r w:rsidRPr="00042603">
        <w:rPr>
          <w:rFonts w:ascii="Book Antiqua" w:eastAsia="Book Antiqua" w:hAnsi="Book Antiqua" w:cs="Book Antiqua"/>
          <w:color w:val="000000" w:themeColor="text1"/>
          <w:szCs w:val="24"/>
        </w:rPr>
        <w:t xml:space="preserve"> </w:t>
      </w:r>
    </w:p>
    <w:p w14:paraId="35EB636A" w14:textId="77777777" w:rsidR="002A1454" w:rsidRPr="00042603" w:rsidRDefault="002A1454" w:rsidP="00042603">
      <w:pPr>
        <w:spacing w:after="120"/>
        <w:ind w:left="720" w:right="720" w:firstLine="720"/>
        <w:jc w:val="both"/>
        <w:rPr>
          <w:rFonts w:ascii="Book Antiqua" w:eastAsia="Book Antiqua" w:hAnsi="Book Antiqua" w:cs="Book Antiqua"/>
          <w:color w:val="000000" w:themeColor="text1"/>
          <w:szCs w:val="24"/>
          <w:lang w:val="es-PR"/>
        </w:rPr>
      </w:pPr>
    </w:p>
    <w:p w14:paraId="24787BA9" w14:textId="60CDC140" w:rsidR="00356EE6" w:rsidRDefault="006931CC" w:rsidP="006931CC">
      <w:pPr>
        <w:spacing w:after="120" w:line="288" w:lineRule="auto"/>
        <w:jc w:val="center"/>
        <w:rPr>
          <w:rFonts w:ascii="Book Antiqua" w:eastAsia="Book Antiqua" w:hAnsi="Book Antiqua" w:cs="Book Antiqua"/>
          <w:color w:val="000000" w:themeColor="text1"/>
          <w:lang w:val="es-PR"/>
        </w:rPr>
      </w:pPr>
      <w:r>
        <w:rPr>
          <w:rFonts w:ascii="Book Antiqua" w:eastAsia="Book Antiqua" w:hAnsi="Book Antiqua" w:cs="Book Antiqua"/>
          <w:b/>
          <w:bCs/>
          <w:color w:val="000000" w:themeColor="text1"/>
          <w:lang w:val="es-PR"/>
        </w:rPr>
        <w:lastRenderedPageBreak/>
        <w:t>Departamento de Justicia</w:t>
      </w:r>
      <w:r w:rsidR="00356EE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Justicia</w:t>
      </w:r>
      <w:r w:rsidR="00356EE6">
        <w:rPr>
          <w:rFonts w:ascii="Book Antiqua" w:eastAsia="Book Antiqua" w:hAnsi="Book Antiqua" w:cs="Book Antiqua"/>
          <w:color w:val="000000" w:themeColor="text1"/>
          <w:lang w:val="es-PR"/>
        </w:rPr>
        <w:t>)</w:t>
      </w:r>
    </w:p>
    <w:p w14:paraId="552F603B" w14:textId="77777777" w:rsidR="0089536A" w:rsidRDefault="002C0EB4" w:rsidP="00307E6C">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lang w:val="es-PR"/>
        </w:rPr>
        <w:t>En un extenso memorial explicativo</w:t>
      </w:r>
      <w:r w:rsidR="00DE75C1">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Justicia favorece el P. de la C. 972</w:t>
      </w:r>
      <w:r w:rsidR="00DE75C1">
        <w:rPr>
          <w:rFonts w:ascii="Book Antiqua" w:eastAsia="Book Antiqua" w:hAnsi="Book Antiqua" w:cs="Book Antiqua"/>
          <w:color w:val="000000" w:themeColor="text1"/>
          <w:lang w:val="es-PR"/>
        </w:rPr>
        <w:t>.</w:t>
      </w:r>
      <w:r>
        <w:rPr>
          <w:rStyle w:val="FootnoteReference"/>
          <w:rFonts w:ascii="Book Antiqua" w:eastAsia="Book Antiqua" w:hAnsi="Book Antiqua" w:cs="Book Antiqua"/>
          <w:color w:val="000000" w:themeColor="text1"/>
          <w:lang w:val="es-PR"/>
        </w:rPr>
        <w:footnoteReference w:id="13"/>
      </w:r>
      <w:r w:rsidR="00307E6C">
        <w:rPr>
          <w:rFonts w:ascii="Book Antiqua" w:eastAsia="Book Antiqua" w:hAnsi="Book Antiqua" w:cs="Book Antiqua"/>
          <w:color w:val="000000" w:themeColor="text1"/>
          <w:lang w:val="es-PR"/>
        </w:rPr>
        <w:t xml:space="preserve"> </w:t>
      </w:r>
      <w:r w:rsidR="00307E6C">
        <w:rPr>
          <w:rFonts w:ascii="Book Antiqua" w:eastAsia="Book Antiqua" w:hAnsi="Book Antiqua" w:cs="Book Antiqua"/>
          <w:color w:val="000000" w:themeColor="text1"/>
        </w:rPr>
        <w:t xml:space="preserve">Para </w:t>
      </w:r>
      <w:r w:rsidR="001A735D">
        <w:rPr>
          <w:rFonts w:ascii="Book Antiqua" w:eastAsia="Book Antiqua" w:hAnsi="Book Antiqua" w:cs="Book Antiqua"/>
          <w:color w:val="000000" w:themeColor="text1"/>
        </w:rPr>
        <w:t xml:space="preserve">la agencia, </w:t>
      </w:r>
      <w:r w:rsidR="00307E6C">
        <w:rPr>
          <w:rFonts w:ascii="Book Antiqua" w:eastAsia="Book Antiqua" w:hAnsi="Book Antiqua" w:cs="Book Antiqua"/>
          <w:color w:val="000000" w:themeColor="text1"/>
        </w:rPr>
        <w:t>esta pieza legislativa</w:t>
      </w:r>
      <w:r w:rsidR="00307E6C" w:rsidRPr="00307E6C">
        <w:rPr>
          <w:rFonts w:ascii="Book Antiqua" w:eastAsia="Book Antiqua" w:hAnsi="Book Antiqua" w:cs="Book Antiqua"/>
          <w:color w:val="000000" w:themeColor="text1"/>
        </w:rPr>
        <w:t xml:space="preserve"> constituye un esfuerzo equilibrado y oportuno, que fortalece la seguridad, certeza y eficiencia del Registro de la Propiedad en Puerto Rico. Al introducir ajustes limitados y específicos </w:t>
      </w:r>
      <w:r w:rsidR="00931537">
        <w:rPr>
          <w:rFonts w:ascii="Book Antiqua" w:eastAsia="Book Antiqua" w:hAnsi="Book Antiqua" w:cs="Book Antiqua"/>
          <w:color w:val="000000" w:themeColor="text1"/>
        </w:rPr>
        <w:t>—</w:t>
      </w:r>
      <w:r w:rsidR="00307E6C" w:rsidRPr="00307E6C">
        <w:rPr>
          <w:rFonts w:ascii="Book Antiqua" w:eastAsia="Book Antiqua" w:hAnsi="Book Antiqua" w:cs="Book Antiqua"/>
          <w:color w:val="000000" w:themeColor="text1"/>
        </w:rPr>
        <w:t xml:space="preserve">como la excepción al procedimiento de </w:t>
      </w:r>
      <w:r w:rsidR="00307E6C" w:rsidRPr="00307E6C">
        <w:rPr>
          <w:rFonts w:ascii="Book Antiqua" w:eastAsia="Book Antiqua" w:hAnsi="Book Antiqua" w:cs="Book Antiqua"/>
          <w:i/>
          <w:iCs/>
          <w:color w:val="000000" w:themeColor="text1"/>
        </w:rPr>
        <w:t>exequátur</w:t>
      </w:r>
      <w:r w:rsidR="00307E6C" w:rsidRPr="00307E6C">
        <w:rPr>
          <w:rFonts w:ascii="Book Antiqua" w:eastAsia="Book Antiqua" w:hAnsi="Book Antiqua" w:cs="Book Antiqua"/>
          <w:color w:val="000000" w:themeColor="text1"/>
        </w:rPr>
        <w:t xml:space="preserve"> para determinadas sentencias y resoluciones de tribunales estatales de Estados Unidos, la mejora de los mecanismos de notificación y subsanación de defectos registrales, y la reducción del requisito de experiencia para los Registradores</w:t>
      </w:r>
      <w:r w:rsidR="00931537">
        <w:rPr>
          <w:rFonts w:ascii="Book Antiqua" w:eastAsia="Book Antiqua" w:hAnsi="Book Antiqua" w:cs="Book Antiqua"/>
          <w:color w:val="000000" w:themeColor="text1"/>
        </w:rPr>
        <w:t>—</w:t>
      </w:r>
      <w:r w:rsidR="00307E6C" w:rsidRPr="00307E6C">
        <w:rPr>
          <w:rFonts w:ascii="Book Antiqua" w:eastAsia="Book Antiqua" w:hAnsi="Book Antiqua" w:cs="Book Antiqua"/>
          <w:color w:val="000000" w:themeColor="text1"/>
        </w:rPr>
        <w:t xml:space="preserve"> la medida se alinea con los principios rectores de legalidad y eficiencia registral. </w:t>
      </w:r>
    </w:p>
    <w:p w14:paraId="50D853A0" w14:textId="31D1B592" w:rsidR="002C0EB4" w:rsidRDefault="00307E6C" w:rsidP="00307E6C">
      <w:pPr>
        <w:spacing w:after="120" w:line="288" w:lineRule="auto"/>
        <w:ind w:firstLine="720"/>
        <w:jc w:val="both"/>
        <w:rPr>
          <w:rFonts w:ascii="Book Antiqua" w:eastAsia="Book Antiqua" w:hAnsi="Book Antiqua" w:cs="Book Antiqua"/>
          <w:color w:val="000000" w:themeColor="text1"/>
          <w:lang w:val="es-PR"/>
        </w:rPr>
      </w:pPr>
      <w:r w:rsidRPr="00307E6C">
        <w:rPr>
          <w:rFonts w:ascii="Book Antiqua" w:eastAsia="Book Antiqua" w:hAnsi="Book Antiqua" w:cs="Book Antiqua"/>
          <w:color w:val="000000" w:themeColor="text1"/>
        </w:rPr>
        <w:t>Estas enmiendas, además de agilizar el tráfico jurídico y reducir costos para la ciudadanía, refuerzan la coherencia entre la normativa vigente y la práctica registral</w:t>
      </w:r>
      <w:r w:rsidR="00804B7D">
        <w:rPr>
          <w:rFonts w:ascii="Book Antiqua" w:eastAsia="Book Antiqua" w:hAnsi="Book Antiqua" w:cs="Book Antiqua"/>
          <w:color w:val="000000" w:themeColor="text1"/>
        </w:rPr>
        <w:t>.</w:t>
      </w:r>
      <w:r w:rsidRPr="00307E6C">
        <w:rPr>
          <w:rFonts w:ascii="Book Antiqua" w:eastAsia="Book Antiqua" w:hAnsi="Book Antiqua" w:cs="Book Antiqua"/>
          <w:color w:val="000000" w:themeColor="text1"/>
        </w:rPr>
        <w:t xml:space="preserve"> </w:t>
      </w:r>
      <w:r w:rsidR="00804B7D">
        <w:rPr>
          <w:rFonts w:ascii="Book Antiqua" w:eastAsia="Book Antiqua" w:hAnsi="Book Antiqua" w:cs="Book Antiqua"/>
          <w:color w:val="000000" w:themeColor="text1"/>
        </w:rPr>
        <w:t xml:space="preserve">Aseguran </w:t>
      </w:r>
      <w:r w:rsidRPr="00307E6C">
        <w:rPr>
          <w:rFonts w:ascii="Book Antiqua" w:eastAsia="Book Antiqua" w:hAnsi="Book Antiqua" w:cs="Book Antiqua"/>
          <w:color w:val="000000" w:themeColor="text1"/>
        </w:rPr>
        <w:t>que los títulos inscribibles cumplan con los estándares legales necesarios sin comprometer la integridad del Registro.</w:t>
      </w:r>
      <w:r w:rsidR="002C0EB4">
        <w:rPr>
          <w:rFonts w:ascii="Book Antiqua" w:eastAsia="Book Antiqua" w:hAnsi="Book Antiqua" w:cs="Book Antiqua"/>
          <w:color w:val="000000" w:themeColor="text1"/>
          <w:lang w:val="es-PR"/>
        </w:rPr>
        <w:t xml:space="preserve"> Sin embargo, </w:t>
      </w:r>
      <w:r w:rsidR="007824CE">
        <w:rPr>
          <w:rFonts w:ascii="Book Antiqua" w:eastAsia="Book Antiqua" w:hAnsi="Book Antiqua" w:cs="Book Antiqua"/>
          <w:color w:val="000000" w:themeColor="text1"/>
          <w:lang w:val="es-PR"/>
        </w:rPr>
        <w:t xml:space="preserve">Justicia </w:t>
      </w:r>
      <w:r w:rsidR="002C0EB4">
        <w:rPr>
          <w:rFonts w:ascii="Book Antiqua" w:eastAsia="Book Antiqua" w:hAnsi="Book Antiqua" w:cs="Book Antiqua"/>
          <w:color w:val="000000" w:themeColor="text1"/>
          <w:lang w:val="es-PR"/>
        </w:rPr>
        <w:t>h</w:t>
      </w:r>
      <w:r w:rsidR="007824CE">
        <w:rPr>
          <w:rFonts w:ascii="Book Antiqua" w:eastAsia="Book Antiqua" w:hAnsi="Book Antiqua" w:cs="Book Antiqua"/>
          <w:color w:val="000000" w:themeColor="text1"/>
          <w:lang w:val="es-PR"/>
        </w:rPr>
        <w:t>izo</w:t>
      </w:r>
      <w:r w:rsidR="002C0EB4">
        <w:rPr>
          <w:rFonts w:ascii="Book Antiqua" w:eastAsia="Book Antiqua" w:hAnsi="Book Antiqua" w:cs="Book Antiqua"/>
          <w:color w:val="000000" w:themeColor="text1"/>
          <w:lang w:val="es-PR"/>
        </w:rPr>
        <w:t xml:space="preserve"> recomendaciones de enmienda, en particular </w:t>
      </w:r>
      <w:r w:rsidR="00471DF3">
        <w:rPr>
          <w:rFonts w:ascii="Book Antiqua" w:eastAsia="Book Antiqua" w:hAnsi="Book Antiqua" w:cs="Book Antiqua"/>
          <w:color w:val="000000" w:themeColor="text1"/>
          <w:lang w:val="es-PR"/>
        </w:rPr>
        <w:t xml:space="preserve">sobre la Regla 55 de Procedimiento Civil de Puerto Rico. </w:t>
      </w:r>
    </w:p>
    <w:p w14:paraId="0F005834" w14:textId="6AEFC3C2" w:rsidR="00471DF3" w:rsidRDefault="00471DF3" w:rsidP="002C0EB4">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En primer lugar, Justicia señala que la </w:t>
      </w:r>
      <w:r w:rsidR="00EF4946">
        <w:rPr>
          <w:rFonts w:ascii="Book Antiqua" w:eastAsia="Book Antiqua" w:hAnsi="Book Antiqua" w:cs="Book Antiqua"/>
          <w:color w:val="000000" w:themeColor="text1"/>
          <w:lang w:val="es-PR"/>
        </w:rPr>
        <w:t>s</w:t>
      </w:r>
      <w:r>
        <w:rPr>
          <w:rFonts w:ascii="Book Antiqua" w:eastAsia="Book Antiqua" w:hAnsi="Book Antiqua" w:cs="Book Antiqua"/>
          <w:color w:val="000000" w:themeColor="text1"/>
          <w:lang w:val="es-PR"/>
        </w:rPr>
        <w:t>ección 1 de</w:t>
      </w:r>
      <w:r w:rsidR="008970C4">
        <w:rPr>
          <w:rFonts w:ascii="Book Antiqua" w:eastAsia="Book Antiqua" w:hAnsi="Book Antiqua" w:cs="Book Antiqua"/>
          <w:color w:val="000000" w:themeColor="text1"/>
          <w:lang w:val="es-PR"/>
        </w:rPr>
        <w:t xml:space="preserve">l P. de la C. 972 </w:t>
      </w:r>
      <w:r>
        <w:rPr>
          <w:rFonts w:ascii="Book Antiqua" w:eastAsia="Book Antiqua" w:hAnsi="Book Antiqua" w:cs="Book Antiqua"/>
          <w:color w:val="000000" w:themeColor="text1"/>
          <w:lang w:val="es-PR"/>
        </w:rPr>
        <w:t xml:space="preserve">propone enmendar el </w:t>
      </w:r>
      <w:r w:rsidR="00EF4946">
        <w:rPr>
          <w:rFonts w:ascii="Book Antiqua" w:eastAsia="Book Antiqua" w:hAnsi="Book Antiqua" w:cs="Book Antiqua"/>
          <w:color w:val="000000" w:themeColor="text1"/>
          <w:lang w:val="es-PR"/>
        </w:rPr>
        <w:t>artículo</w:t>
      </w:r>
      <w:r>
        <w:rPr>
          <w:rFonts w:ascii="Book Antiqua" w:eastAsia="Book Antiqua" w:hAnsi="Book Antiqua" w:cs="Book Antiqua"/>
          <w:color w:val="000000" w:themeColor="text1"/>
          <w:lang w:val="es-PR"/>
        </w:rPr>
        <w:t xml:space="preserve"> 11 “con el objetivo de incluir a las sentencias y resoluciones emitidas por los Tribunales de Estados Unidos como excepción al requisito previo de cumplir con el procedimiento de </w:t>
      </w:r>
      <w:r>
        <w:rPr>
          <w:rFonts w:ascii="Book Antiqua" w:eastAsia="Book Antiqua" w:hAnsi="Book Antiqua" w:cs="Book Antiqua"/>
          <w:i/>
          <w:iCs/>
          <w:color w:val="000000" w:themeColor="text1"/>
          <w:lang w:val="es-PR"/>
        </w:rPr>
        <w:t>ex</w:t>
      </w:r>
      <w:r w:rsidR="00DE2789">
        <w:rPr>
          <w:rFonts w:ascii="Book Antiqua" w:eastAsia="Book Antiqua" w:hAnsi="Book Antiqua" w:cs="Book Antiqua"/>
          <w:i/>
          <w:iCs/>
          <w:color w:val="000000" w:themeColor="text1"/>
          <w:lang w:val="es-PR"/>
        </w:rPr>
        <w:t>e</w:t>
      </w:r>
      <w:r>
        <w:rPr>
          <w:rFonts w:ascii="Book Antiqua" w:eastAsia="Book Antiqua" w:hAnsi="Book Antiqua" w:cs="Book Antiqua"/>
          <w:i/>
          <w:iCs/>
          <w:color w:val="000000" w:themeColor="text1"/>
          <w:lang w:val="es-PR"/>
        </w:rPr>
        <w:t>qu</w:t>
      </w:r>
      <w:r w:rsidR="00DE2789">
        <w:rPr>
          <w:rFonts w:ascii="Book Antiqua" w:eastAsia="Book Antiqua" w:hAnsi="Book Antiqua" w:cs="Book Antiqua"/>
          <w:i/>
          <w:iCs/>
          <w:color w:val="000000" w:themeColor="text1"/>
          <w:lang w:val="es-PR"/>
        </w:rPr>
        <w:t>át</w:t>
      </w:r>
      <w:r>
        <w:rPr>
          <w:rFonts w:ascii="Book Antiqua" w:eastAsia="Book Antiqua" w:hAnsi="Book Antiqua" w:cs="Book Antiqua"/>
          <w:i/>
          <w:iCs/>
          <w:color w:val="000000" w:themeColor="text1"/>
          <w:lang w:val="es-PR"/>
        </w:rPr>
        <w:t>ur</w:t>
      </w:r>
      <w:r>
        <w:rPr>
          <w:rFonts w:ascii="Book Antiqua" w:eastAsia="Book Antiqua" w:hAnsi="Book Antiqua" w:cs="Book Antiqua"/>
          <w:color w:val="000000" w:themeColor="text1"/>
          <w:lang w:val="es-PR"/>
        </w:rPr>
        <w:t>, de modo que puedan ser inscribibles en el Registro de la Propiedad.” Esta excepción aplicaría únicamente cuando dichas sentencias o resoluciones se acompañen de una copia certificada y se presenten como documento complementario de un instrumento público</w:t>
      </w:r>
      <w:r w:rsidR="00DE2789">
        <w:rPr>
          <w:rFonts w:ascii="Book Antiqua" w:eastAsia="Book Antiqua" w:hAnsi="Book Antiqua" w:cs="Book Antiqua"/>
          <w:color w:val="000000" w:themeColor="text1"/>
          <w:lang w:val="es-PR"/>
        </w:rPr>
        <w:t xml:space="preserve">, con el único fin de acreditar el estado civil de los comparecientes al momento del otorgamiento del instrumento sujeto a calificación registral. </w:t>
      </w:r>
      <w:r w:rsidR="00886FD4">
        <w:rPr>
          <w:rFonts w:ascii="Book Antiqua" w:eastAsia="Book Antiqua" w:hAnsi="Book Antiqua" w:cs="Book Antiqua"/>
          <w:color w:val="000000" w:themeColor="text1"/>
          <w:lang w:val="es-PR"/>
        </w:rPr>
        <w:t>E</w:t>
      </w:r>
      <w:r w:rsidR="00DE2789">
        <w:rPr>
          <w:rFonts w:ascii="Book Antiqua" w:eastAsia="Book Antiqua" w:hAnsi="Book Antiqua" w:cs="Book Antiqua"/>
          <w:color w:val="000000" w:themeColor="text1"/>
          <w:lang w:val="es-PR"/>
        </w:rPr>
        <w:t>sto resulta especialmente relevante en instancias en que, al momento de otorgar el instrumento público, difiere del que consta en el Registro de la Propiedad correspondiente al bien inmueble objeto del asiento:</w:t>
      </w:r>
    </w:p>
    <w:p w14:paraId="349150F9" w14:textId="77777777" w:rsidR="002A1454" w:rsidRDefault="002A1454" w:rsidP="002C0EB4">
      <w:pPr>
        <w:spacing w:after="120" w:line="288" w:lineRule="auto"/>
        <w:ind w:firstLine="720"/>
        <w:jc w:val="both"/>
        <w:rPr>
          <w:rFonts w:ascii="Book Antiqua" w:eastAsia="Book Antiqua" w:hAnsi="Book Antiqua" w:cs="Book Antiqua"/>
          <w:color w:val="000000" w:themeColor="text1"/>
          <w:lang w:val="es-PR"/>
        </w:rPr>
      </w:pPr>
    </w:p>
    <w:p w14:paraId="290F1150" w14:textId="77777777" w:rsidR="002A1454" w:rsidRDefault="002A1454" w:rsidP="002C0EB4">
      <w:pPr>
        <w:spacing w:after="120" w:line="288" w:lineRule="auto"/>
        <w:ind w:firstLine="720"/>
        <w:jc w:val="both"/>
        <w:rPr>
          <w:rFonts w:ascii="Book Antiqua" w:eastAsia="Book Antiqua" w:hAnsi="Book Antiqua" w:cs="Book Antiqua"/>
          <w:color w:val="000000" w:themeColor="text1"/>
          <w:lang w:val="es-PR"/>
        </w:rPr>
      </w:pPr>
    </w:p>
    <w:p w14:paraId="2DC7ED30" w14:textId="77777777" w:rsidR="002A1454" w:rsidRDefault="002A1454" w:rsidP="002C0EB4">
      <w:pPr>
        <w:spacing w:after="120" w:line="288" w:lineRule="auto"/>
        <w:ind w:firstLine="720"/>
        <w:jc w:val="both"/>
        <w:rPr>
          <w:rFonts w:ascii="Book Antiqua" w:eastAsia="Book Antiqua" w:hAnsi="Book Antiqua" w:cs="Book Antiqua"/>
          <w:color w:val="000000" w:themeColor="text1"/>
          <w:lang w:val="es-PR"/>
        </w:rPr>
      </w:pPr>
    </w:p>
    <w:p w14:paraId="5442456E" w14:textId="77777777" w:rsidR="002A1454" w:rsidRDefault="002A1454" w:rsidP="002C0EB4">
      <w:pPr>
        <w:spacing w:after="120" w:line="288" w:lineRule="auto"/>
        <w:ind w:firstLine="720"/>
        <w:jc w:val="both"/>
        <w:rPr>
          <w:rFonts w:ascii="Book Antiqua" w:eastAsia="Book Antiqua" w:hAnsi="Book Antiqua" w:cs="Book Antiqua"/>
          <w:color w:val="000000" w:themeColor="text1"/>
          <w:lang w:val="es-PR"/>
        </w:rPr>
      </w:pPr>
    </w:p>
    <w:p w14:paraId="1159211B" w14:textId="77777777" w:rsidR="002A1454" w:rsidRDefault="002A1454" w:rsidP="002C0EB4">
      <w:pPr>
        <w:spacing w:after="120" w:line="288" w:lineRule="auto"/>
        <w:ind w:firstLine="720"/>
        <w:jc w:val="both"/>
        <w:rPr>
          <w:rFonts w:ascii="Book Antiqua" w:eastAsia="Book Antiqua" w:hAnsi="Book Antiqua" w:cs="Book Antiqua"/>
          <w:color w:val="000000" w:themeColor="text1"/>
          <w:lang w:val="es-PR"/>
        </w:rPr>
      </w:pPr>
    </w:p>
    <w:p w14:paraId="15BF299F" w14:textId="71FA4098" w:rsidR="00DE2789" w:rsidRDefault="00DE2789" w:rsidP="0057537F">
      <w:pPr>
        <w:spacing w:after="120"/>
        <w:ind w:left="720" w:right="720" w:firstLine="720"/>
        <w:jc w:val="both"/>
        <w:rPr>
          <w:rFonts w:ascii="Book Antiqua" w:eastAsia="Book Antiqua" w:hAnsi="Book Antiqua" w:cs="Book Antiqua"/>
          <w:color w:val="000000" w:themeColor="text1"/>
          <w:szCs w:val="24"/>
          <w:lang w:val="es-PR"/>
        </w:rPr>
      </w:pPr>
      <w:r w:rsidRPr="0057537F">
        <w:rPr>
          <w:rFonts w:ascii="Book Antiqua" w:eastAsia="Book Antiqua" w:hAnsi="Book Antiqua" w:cs="Book Antiqua"/>
          <w:color w:val="000000" w:themeColor="text1"/>
          <w:szCs w:val="24"/>
          <w:lang w:val="es-PR"/>
        </w:rPr>
        <w:lastRenderedPageBreak/>
        <w:t xml:space="preserve">No obstante, según mencionáramos, bajo el marco legal vigente, las sentencias o resoluciones emitidas por tribunales fuera de Puerto Rico requieren, como regla general, su reconocimiento mediante el procedimiento de </w:t>
      </w:r>
      <w:r w:rsidRPr="0057537F">
        <w:rPr>
          <w:rFonts w:ascii="Book Antiqua" w:eastAsia="Book Antiqua" w:hAnsi="Book Antiqua" w:cs="Book Antiqua"/>
          <w:i/>
          <w:iCs/>
          <w:color w:val="000000" w:themeColor="text1"/>
          <w:szCs w:val="24"/>
          <w:lang w:val="es-PR"/>
        </w:rPr>
        <w:t>exequátur</w:t>
      </w:r>
      <w:r w:rsidRPr="0057537F">
        <w:rPr>
          <w:rFonts w:ascii="Book Antiqua" w:eastAsia="Book Antiqua" w:hAnsi="Book Antiqua" w:cs="Book Antiqua"/>
          <w:color w:val="000000" w:themeColor="text1"/>
          <w:szCs w:val="24"/>
          <w:lang w:val="es-PR"/>
        </w:rPr>
        <w:t xml:space="preserve">. A los fines de evitar incongruencias normativas y garantizar la correcta implantación de la excepción propuesta en el Artículo 11 de la Ley Núm. 210-2015, </w:t>
      </w:r>
      <w:r w:rsidRPr="0057537F">
        <w:rPr>
          <w:rFonts w:ascii="Book Antiqua" w:eastAsia="Book Antiqua" w:hAnsi="Book Antiqua" w:cs="Book Antiqua"/>
          <w:b/>
          <w:bCs/>
          <w:color w:val="000000" w:themeColor="text1"/>
          <w:szCs w:val="24"/>
          <w:lang w:val="es-PR"/>
        </w:rPr>
        <w:t>resulta indispensable que la Asamblea Legislativa enmiende de forma expresa la Regla 55 de Procedimiento Civil, de modo que refleje y armonice el alcance limitado de la excepción contenida en la presente medida. De no realizarse la enmienda, subsistiría una disonancia entre la normativa procesal civil y el texto de la Ley Núm. 210-2015, lo que podría generar incertidumbre jurídica, interpretaciones dispares y obstáculos prácticos en la aplicación de la excepción legislativa propuesta</w:t>
      </w:r>
      <w:r w:rsidRPr="0057537F">
        <w:rPr>
          <w:rFonts w:ascii="Book Antiqua" w:eastAsia="Book Antiqua" w:hAnsi="Book Antiqua" w:cs="Book Antiqua"/>
          <w:color w:val="000000" w:themeColor="text1"/>
          <w:szCs w:val="24"/>
          <w:lang w:val="es-PR"/>
        </w:rPr>
        <w:t>.</w:t>
      </w:r>
      <w:r w:rsidR="00F571FE" w:rsidRPr="0057537F">
        <w:rPr>
          <w:rStyle w:val="FootnoteReference"/>
          <w:rFonts w:ascii="Book Antiqua" w:eastAsia="Book Antiqua" w:hAnsi="Book Antiqua" w:cs="Book Antiqua"/>
          <w:color w:val="000000" w:themeColor="text1"/>
          <w:szCs w:val="24"/>
          <w:lang w:val="es-PR"/>
        </w:rPr>
        <w:footnoteReference w:id="14"/>
      </w:r>
      <w:r w:rsidRPr="0057537F">
        <w:rPr>
          <w:rFonts w:ascii="Book Antiqua" w:eastAsia="Book Antiqua" w:hAnsi="Book Antiqua" w:cs="Book Antiqua"/>
          <w:color w:val="000000" w:themeColor="text1"/>
          <w:szCs w:val="24"/>
          <w:lang w:val="es-PR"/>
        </w:rPr>
        <w:t xml:space="preserve"> </w:t>
      </w:r>
    </w:p>
    <w:p w14:paraId="1888D252" w14:textId="0762F0A4" w:rsidR="00DE2789" w:rsidRDefault="00DE2789" w:rsidP="00295469">
      <w:pPr>
        <w:spacing w:after="120" w:line="288" w:lineRule="auto"/>
        <w:jc w:val="both"/>
        <w:rPr>
          <w:rFonts w:ascii="Book Antiqua" w:eastAsia="Book Antiqua" w:hAnsi="Book Antiqua" w:cs="Book Antiqua"/>
          <w:color w:val="000000" w:themeColor="text1"/>
        </w:rPr>
      </w:pPr>
      <w:r>
        <w:rPr>
          <w:rFonts w:ascii="Book Antiqua" w:eastAsia="Book Antiqua" w:hAnsi="Book Antiqua" w:cs="Book Antiqua"/>
          <w:color w:val="000000" w:themeColor="text1"/>
          <w:lang w:val="es-PR"/>
        </w:rPr>
        <w:tab/>
        <w:t xml:space="preserve">Luego, Justicia </w:t>
      </w:r>
      <w:r w:rsidR="00295469">
        <w:rPr>
          <w:rFonts w:ascii="Book Antiqua" w:eastAsia="Book Antiqua" w:hAnsi="Book Antiqua" w:cs="Book Antiqua"/>
          <w:color w:val="000000" w:themeColor="text1"/>
          <w:lang w:val="es-PR"/>
        </w:rPr>
        <w:t xml:space="preserve">nos plantea que </w:t>
      </w:r>
      <w:r w:rsidR="00295469">
        <w:rPr>
          <w:rFonts w:ascii="Book Antiqua" w:eastAsia="Book Antiqua" w:hAnsi="Book Antiqua" w:cs="Book Antiqua"/>
          <w:color w:val="000000" w:themeColor="text1"/>
        </w:rPr>
        <w:t>la</w:t>
      </w:r>
      <w:r w:rsidR="00295469" w:rsidRPr="00295469">
        <w:rPr>
          <w:rFonts w:ascii="Book Antiqua" w:eastAsia="Book Antiqua" w:hAnsi="Book Antiqua" w:cs="Book Antiqua"/>
          <w:color w:val="000000" w:themeColor="text1"/>
        </w:rPr>
        <w:t xml:space="preserve"> enmienda </w:t>
      </w:r>
      <w:r w:rsidR="00A8684B">
        <w:rPr>
          <w:rFonts w:ascii="Book Antiqua" w:eastAsia="Book Antiqua" w:hAnsi="Book Antiqua" w:cs="Book Antiqua"/>
          <w:color w:val="000000" w:themeColor="text1"/>
        </w:rPr>
        <w:t>a</w:t>
      </w:r>
      <w:r w:rsidR="00295469" w:rsidRPr="00295469">
        <w:rPr>
          <w:rFonts w:ascii="Book Antiqua" w:eastAsia="Book Antiqua" w:hAnsi="Book Antiqua" w:cs="Book Antiqua"/>
          <w:color w:val="000000" w:themeColor="text1"/>
        </w:rPr>
        <w:t xml:space="preserve">l </w:t>
      </w:r>
      <w:r w:rsidR="00A8684B">
        <w:rPr>
          <w:rFonts w:ascii="Book Antiqua" w:eastAsia="Book Antiqua" w:hAnsi="Book Antiqua" w:cs="Book Antiqua"/>
          <w:color w:val="000000" w:themeColor="text1"/>
        </w:rPr>
        <w:t>a</w:t>
      </w:r>
      <w:r w:rsidR="00295469" w:rsidRPr="00295469">
        <w:rPr>
          <w:rFonts w:ascii="Book Antiqua" w:eastAsia="Book Antiqua" w:hAnsi="Book Antiqua" w:cs="Book Antiqua"/>
          <w:color w:val="000000" w:themeColor="text1"/>
        </w:rPr>
        <w:t xml:space="preserve">rtículo 236 </w:t>
      </w:r>
      <w:r w:rsidR="00307E6C">
        <w:rPr>
          <w:rFonts w:ascii="Book Antiqua" w:eastAsia="Book Antiqua" w:hAnsi="Book Antiqua" w:cs="Book Antiqua"/>
          <w:color w:val="000000" w:themeColor="text1"/>
        </w:rPr>
        <w:t>es para establecer que el</w:t>
      </w:r>
      <w:r w:rsidR="00295469" w:rsidRPr="00295469">
        <w:rPr>
          <w:rFonts w:ascii="Book Antiqua" w:eastAsia="Book Antiqua" w:hAnsi="Book Antiqua" w:cs="Book Antiqua"/>
          <w:color w:val="000000" w:themeColor="text1"/>
        </w:rPr>
        <w:t xml:space="preserve"> Registrador identifique un defecto en el documento presentado que impida su inscripción, </w:t>
      </w:r>
      <w:proofErr w:type="gramStart"/>
      <w:r w:rsidR="00307E6C">
        <w:rPr>
          <w:rFonts w:ascii="Book Antiqua" w:eastAsia="Book Antiqua" w:hAnsi="Book Antiqua" w:cs="Book Antiqua"/>
          <w:color w:val="000000" w:themeColor="text1"/>
        </w:rPr>
        <w:t>y</w:t>
      </w:r>
      <w:proofErr w:type="gramEnd"/>
      <w:r w:rsidR="00307E6C">
        <w:rPr>
          <w:rFonts w:ascii="Book Antiqua" w:eastAsia="Book Antiqua" w:hAnsi="Book Antiqua" w:cs="Book Antiqua"/>
          <w:color w:val="000000" w:themeColor="text1"/>
        </w:rPr>
        <w:t xml:space="preserve"> por lo tanto, pueda emitir </w:t>
      </w:r>
      <w:r w:rsidR="00295469" w:rsidRPr="00295469">
        <w:rPr>
          <w:rFonts w:ascii="Book Antiqua" w:eastAsia="Book Antiqua" w:hAnsi="Book Antiqua" w:cs="Book Antiqua"/>
          <w:color w:val="000000" w:themeColor="text1"/>
        </w:rPr>
        <w:t>una notificación extraoficial sobre dicho defecto. El término propuesto para esta notificación será de noventa días laborables contados a partir de la fecha de presentación del asiento. Transcurrido este plazo sin que se haya subsanado el defecto, el Registrador emitirá la notificación oficial de calificación. Tanto la notificación extraoficial como la oficial se realizarán por escrito a través del sistema de informática registral</w:t>
      </w:r>
      <w:r w:rsidR="00924CE6">
        <w:rPr>
          <w:rFonts w:ascii="Book Antiqua" w:eastAsia="Book Antiqua" w:hAnsi="Book Antiqua" w:cs="Book Antiqua"/>
          <w:color w:val="000000" w:themeColor="text1"/>
        </w:rPr>
        <w:t>. Se</w:t>
      </w:r>
      <w:r w:rsidR="00295469" w:rsidRPr="00295469">
        <w:rPr>
          <w:rFonts w:ascii="Book Antiqua" w:eastAsia="Book Antiqua" w:hAnsi="Book Antiqua" w:cs="Book Antiqua"/>
          <w:color w:val="000000" w:themeColor="text1"/>
        </w:rPr>
        <w:t xml:space="preserve"> utiliza</w:t>
      </w:r>
      <w:r w:rsidR="00924CE6">
        <w:rPr>
          <w:rFonts w:ascii="Book Antiqua" w:eastAsia="Book Antiqua" w:hAnsi="Book Antiqua" w:cs="Book Antiqua"/>
          <w:color w:val="000000" w:themeColor="text1"/>
        </w:rPr>
        <w:t>rá</w:t>
      </w:r>
      <w:r w:rsidR="00295469" w:rsidRPr="00295469">
        <w:rPr>
          <w:rFonts w:ascii="Book Antiqua" w:eastAsia="Book Antiqua" w:hAnsi="Book Antiqua" w:cs="Book Antiqua"/>
          <w:color w:val="000000" w:themeColor="text1"/>
        </w:rPr>
        <w:t xml:space="preserve"> la dirección de correo electrónico proporcionada al momento de la presentación del documento, y se remitirán igualmente al notario autorizante, al presentante si fuera distinto, o a la agencia correspondiente, según corresponda y conforme a lo establecido en el reglamento.</w:t>
      </w:r>
    </w:p>
    <w:p w14:paraId="6DC92553" w14:textId="7CD127B9" w:rsidR="00307E6C" w:rsidRDefault="00307E6C" w:rsidP="00307E6C">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Sobre </w:t>
      </w:r>
      <w:r w:rsidRPr="00307E6C">
        <w:rPr>
          <w:rFonts w:ascii="Book Antiqua" w:eastAsia="Book Antiqua" w:hAnsi="Book Antiqua" w:cs="Book Antiqua"/>
          <w:color w:val="000000" w:themeColor="text1"/>
        </w:rPr>
        <w:t xml:space="preserve">la enmienda el </w:t>
      </w:r>
      <w:r w:rsidR="00111EFA">
        <w:rPr>
          <w:rFonts w:ascii="Book Antiqua" w:eastAsia="Book Antiqua" w:hAnsi="Book Antiqua" w:cs="Book Antiqua"/>
          <w:color w:val="000000" w:themeColor="text1"/>
        </w:rPr>
        <w:t>a</w:t>
      </w:r>
      <w:r w:rsidRPr="00307E6C">
        <w:rPr>
          <w:rFonts w:ascii="Book Antiqua" w:eastAsia="Book Antiqua" w:hAnsi="Book Antiqua" w:cs="Book Antiqua"/>
          <w:color w:val="000000" w:themeColor="text1"/>
        </w:rPr>
        <w:t>rtículo 237</w:t>
      </w:r>
      <w:r w:rsidR="00111EFA">
        <w:rPr>
          <w:rFonts w:ascii="Book Antiqua" w:eastAsia="Book Antiqua" w:hAnsi="Book Antiqua" w:cs="Book Antiqua"/>
          <w:color w:val="000000" w:themeColor="text1"/>
        </w:rPr>
        <w:t>,</w:t>
      </w:r>
      <w:r w:rsidRPr="00307E6C">
        <w:rPr>
          <w:rFonts w:ascii="Book Antiqua" w:eastAsia="Book Antiqua" w:hAnsi="Book Antiqua" w:cs="Book Antiqua"/>
          <w:color w:val="000000" w:themeColor="text1"/>
        </w:rPr>
        <w:t xml:space="preserve"> </w:t>
      </w:r>
      <w:r w:rsidR="00111EFA">
        <w:rPr>
          <w:rFonts w:ascii="Book Antiqua" w:eastAsia="Book Antiqua" w:hAnsi="Book Antiqua" w:cs="Book Antiqua"/>
          <w:color w:val="000000" w:themeColor="text1"/>
        </w:rPr>
        <w:t xml:space="preserve">Justicia </w:t>
      </w:r>
      <w:r>
        <w:rPr>
          <w:rFonts w:ascii="Book Antiqua" w:eastAsia="Book Antiqua" w:hAnsi="Book Antiqua" w:cs="Book Antiqua"/>
          <w:color w:val="000000" w:themeColor="text1"/>
        </w:rPr>
        <w:t xml:space="preserve">señala que es </w:t>
      </w:r>
      <w:r w:rsidRPr="00307E6C">
        <w:rPr>
          <w:rFonts w:ascii="Book Antiqua" w:eastAsia="Book Antiqua" w:hAnsi="Book Antiqua" w:cs="Book Antiqua"/>
          <w:color w:val="000000" w:themeColor="text1"/>
        </w:rPr>
        <w:t>para precisar que tanto la notificación extraoficial como la oficial deben contener los fundamentos legales que respaldan la calificación. Además, la notificación extraoficial incluirá la fecha concedida para subsanar el defecto, mientras que la notificación oficial indicará la fecha de caducidad.</w:t>
      </w:r>
      <w:r>
        <w:rPr>
          <w:rFonts w:ascii="Book Antiqua" w:eastAsia="Book Antiqua" w:hAnsi="Book Antiqua" w:cs="Book Antiqua"/>
          <w:color w:val="000000" w:themeColor="text1"/>
        </w:rPr>
        <w:t xml:space="preserve"> </w:t>
      </w:r>
      <w:r w:rsidRPr="00307E6C">
        <w:rPr>
          <w:rFonts w:ascii="Book Antiqua" w:eastAsia="Book Antiqua" w:hAnsi="Book Antiqua" w:cs="Book Antiqua"/>
          <w:color w:val="000000" w:themeColor="text1"/>
        </w:rPr>
        <w:t>Esta última se hará constar mediante nota fechada en el asiento de presentación del Registro de la Propiedad.</w:t>
      </w:r>
    </w:p>
    <w:p w14:paraId="543016FE" w14:textId="77777777" w:rsidR="002A1454" w:rsidRDefault="002A1454" w:rsidP="00307E6C">
      <w:pPr>
        <w:spacing w:after="120" w:line="288" w:lineRule="auto"/>
        <w:ind w:firstLine="720"/>
        <w:jc w:val="both"/>
        <w:rPr>
          <w:rFonts w:ascii="Book Antiqua" w:eastAsia="Book Antiqua" w:hAnsi="Book Antiqua" w:cs="Book Antiqua"/>
          <w:color w:val="000000" w:themeColor="text1"/>
        </w:rPr>
      </w:pPr>
    </w:p>
    <w:p w14:paraId="1302E767" w14:textId="77777777" w:rsidR="002A1454" w:rsidRDefault="002A1454" w:rsidP="00307E6C">
      <w:pPr>
        <w:spacing w:after="120" w:line="288" w:lineRule="auto"/>
        <w:ind w:firstLine="720"/>
        <w:jc w:val="both"/>
        <w:rPr>
          <w:rFonts w:ascii="Book Antiqua" w:eastAsia="Book Antiqua" w:hAnsi="Book Antiqua" w:cs="Book Antiqua"/>
          <w:color w:val="000000" w:themeColor="text1"/>
        </w:rPr>
      </w:pPr>
    </w:p>
    <w:p w14:paraId="0EC11F49" w14:textId="77777777" w:rsidR="002A1454" w:rsidRDefault="002A1454" w:rsidP="00307E6C">
      <w:pPr>
        <w:spacing w:after="120" w:line="288" w:lineRule="auto"/>
        <w:ind w:firstLine="720"/>
        <w:jc w:val="both"/>
        <w:rPr>
          <w:rFonts w:ascii="Book Antiqua" w:eastAsia="Book Antiqua" w:hAnsi="Book Antiqua" w:cs="Book Antiqua"/>
          <w:color w:val="000000" w:themeColor="text1"/>
        </w:rPr>
      </w:pPr>
    </w:p>
    <w:p w14:paraId="40EF85C1" w14:textId="77777777" w:rsidR="002A1454" w:rsidRDefault="002A1454" w:rsidP="00307E6C">
      <w:pPr>
        <w:spacing w:after="120" w:line="288" w:lineRule="auto"/>
        <w:ind w:firstLine="720"/>
        <w:jc w:val="both"/>
        <w:rPr>
          <w:rFonts w:ascii="Book Antiqua" w:eastAsia="Book Antiqua" w:hAnsi="Book Antiqua" w:cs="Book Antiqua"/>
          <w:color w:val="000000" w:themeColor="text1"/>
        </w:rPr>
      </w:pPr>
    </w:p>
    <w:p w14:paraId="16B938D3" w14:textId="77777777" w:rsidR="005F628D" w:rsidRDefault="00307E6C" w:rsidP="00307E6C">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lastRenderedPageBreak/>
        <w:t xml:space="preserve">La próxima sección es para enmendar </w:t>
      </w:r>
      <w:r w:rsidRPr="00307E6C">
        <w:rPr>
          <w:rFonts w:ascii="Book Antiqua" w:eastAsia="Book Antiqua" w:hAnsi="Book Antiqua" w:cs="Book Antiqua"/>
          <w:color w:val="000000" w:themeColor="text1"/>
        </w:rPr>
        <w:t xml:space="preserve">el </w:t>
      </w:r>
      <w:r w:rsidR="00C94CBD">
        <w:rPr>
          <w:rFonts w:ascii="Book Antiqua" w:eastAsia="Book Antiqua" w:hAnsi="Book Antiqua" w:cs="Book Antiqua"/>
          <w:color w:val="000000" w:themeColor="text1"/>
        </w:rPr>
        <w:t>a</w:t>
      </w:r>
      <w:r w:rsidRPr="00307E6C">
        <w:rPr>
          <w:rFonts w:ascii="Book Antiqua" w:eastAsia="Book Antiqua" w:hAnsi="Book Antiqua" w:cs="Book Antiqua"/>
          <w:color w:val="000000" w:themeColor="text1"/>
        </w:rPr>
        <w:t xml:space="preserve">rtículo 238 </w:t>
      </w:r>
      <w:r w:rsidR="00210715">
        <w:rPr>
          <w:rFonts w:ascii="Book Antiqua" w:eastAsia="Book Antiqua" w:hAnsi="Book Antiqua" w:cs="Book Antiqua"/>
          <w:color w:val="000000" w:themeColor="text1"/>
        </w:rPr>
        <w:t xml:space="preserve">y </w:t>
      </w:r>
      <w:r w:rsidRPr="00307E6C">
        <w:rPr>
          <w:rFonts w:ascii="Book Antiqua" w:eastAsia="Book Antiqua" w:hAnsi="Book Antiqua" w:cs="Book Antiqua"/>
          <w:color w:val="000000" w:themeColor="text1"/>
        </w:rPr>
        <w:t>establecer que la corrección de los defectos notificados mediante la notificación extraoficial deberá efectuarse dentro de los sesenta días contados a partir de la misma. En el caso de la notificación oficial, la corrección deberá realizarse dentro de sesenta días contados a partir de la fecha de notificación; si se emiten múltiples notificaciones, el término comenzará a contarse desde la fecha de la última.</w:t>
      </w:r>
      <w:r>
        <w:rPr>
          <w:rFonts w:ascii="Book Antiqua" w:eastAsia="Book Antiqua" w:hAnsi="Book Antiqua" w:cs="Book Antiqua"/>
          <w:color w:val="000000" w:themeColor="text1"/>
        </w:rPr>
        <w:t xml:space="preserve"> </w:t>
      </w:r>
      <w:r w:rsidRPr="00307E6C">
        <w:rPr>
          <w:rFonts w:ascii="Book Antiqua" w:eastAsia="Book Antiqua" w:hAnsi="Book Antiqua" w:cs="Book Antiqua"/>
          <w:color w:val="000000" w:themeColor="text1"/>
        </w:rPr>
        <w:t>Dicho plazo se interrumpirá al corregirse el defecto o al presentarse ante el Registrador un escrito de recalificación.</w:t>
      </w:r>
      <w:r>
        <w:rPr>
          <w:rFonts w:ascii="Book Antiqua" w:eastAsia="Book Antiqua" w:hAnsi="Book Antiqua" w:cs="Book Antiqua"/>
          <w:color w:val="000000" w:themeColor="text1"/>
        </w:rPr>
        <w:t xml:space="preserve"> </w:t>
      </w:r>
    </w:p>
    <w:p w14:paraId="02A0CDCE" w14:textId="0340FE94" w:rsidR="00307E6C" w:rsidRDefault="005F628D" w:rsidP="00307E6C">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L</w:t>
      </w:r>
      <w:r w:rsidR="00307E6C" w:rsidRPr="00307E6C">
        <w:rPr>
          <w:rFonts w:ascii="Book Antiqua" w:eastAsia="Book Antiqua" w:hAnsi="Book Antiqua" w:cs="Book Antiqua"/>
          <w:color w:val="000000" w:themeColor="text1"/>
        </w:rPr>
        <w:t>a enmienda dispone que la interrupción del plazo conllevará la interrupción de los documentos presentados posteriormente que dependan de los primeros, haciéndose constar mediante nota fechada en el asiento de presentación.</w:t>
      </w:r>
      <w:r w:rsidR="00307E6C">
        <w:rPr>
          <w:rFonts w:ascii="Book Antiqua" w:eastAsia="Book Antiqua" w:hAnsi="Book Antiqua" w:cs="Book Antiqua"/>
          <w:color w:val="000000" w:themeColor="text1"/>
        </w:rPr>
        <w:t xml:space="preserve"> Según la visión de Justicia, con esta enmienda el</w:t>
      </w:r>
      <w:r w:rsidR="00307E6C" w:rsidRPr="00307E6C">
        <w:rPr>
          <w:rFonts w:ascii="Book Antiqua" w:eastAsia="Book Antiqua" w:hAnsi="Book Antiqua" w:cs="Book Antiqua"/>
          <w:color w:val="000000" w:themeColor="text1"/>
        </w:rPr>
        <w:t xml:space="preserve"> </w:t>
      </w:r>
      <w:r w:rsidR="00307E6C">
        <w:rPr>
          <w:rFonts w:ascii="Book Antiqua" w:eastAsia="Book Antiqua" w:hAnsi="Book Antiqua" w:cs="Book Antiqua"/>
          <w:color w:val="000000" w:themeColor="text1"/>
        </w:rPr>
        <w:t>“</w:t>
      </w:r>
      <w:r w:rsidR="00307E6C" w:rsidRPr="00307E6C">
        <w:rPr>
          <w:rFonts w:ascii="Book Antiqua" w:eastAsia="Book Antiqua" w:hAnsi="Book Antiqua" w:cs="Book Antiqua"/>
          <w:color w:val="000000" w:themeColor="text1"/>
        </w:rPr>
        <w:t>legislador establece que, de no subsanarse el defecto dentro del término de sesenta días o de no presentarse el escrito de recalificación, se extenderá una nota de caducidad en el asiento, sin que proceda la devolución o el crédito de aranceles</w:t>
      </w:r>
      <w:r w:rsidR="00307E6C">
        <w:rPr>
          <w:rFonts w:ascii="Book Antiqua" w:eastAsia="Book Antiqua" w:hAnsi="Book Antiqua" w:cs="Book Antiqua"/>
          <w:color w:val="000000" w:themeColor="text1"/>
        </w:rPr>
        <w:t xml:space="preserve">” </w:t>
      </w:r>
    </w:p>
    <w:p w14:paraId="53D2D5AE" w14:textId="53EEF8BC" w:rsidR="00307E6C" w:rsidRDefault="002F74B7" w:rsidP="00307E6C">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Nada dijo </w:t>
      </w:r>
      <w:r w:rsidR="00307E6C">
        <w:rPr>
          <w:rFonts w:ascii="Book Antiqua" w:eastAsia="Book Antiqua" w:hAnsi="Book Antiqua" w:cs="Book Antiqua"/>
          <w:color w:val="000000" w:themeColor="text1"/>
        </w:rPr>
        <w:t>Justicia</w:t>
      </w:r>
      <w:r>
        <w:rPr>
          <w:rFonts w:ascii="Book Antiqua" w:eastAsia="Book Antiqua" w:hAnsi="Book Antiqua" w:cs="Book Antiqua"/>
          <w:color w:val="000000" w:themeColor="text1"/>
        </w:rPr>
        <w:t xml:space="preserve"> sobre la enmienda propuesta al artículo 280</w:t>
      </w:r>
      <w:r w:rsidR="00307E6C">
        <w:rPr>
          <w:rFonts w:ascii="Book Antiqua" w:eastAsia="Book Antiqua" w:hAnsi="Book Antiqua" w:cs="Book Antiqua"/>
          <w:color w:val="000000" w:themeColor="text1"/>
        </w:rPr>
        <w:t>.</w:t>
      </w:r>
    </w:p>
    <w:p w14:paraId="528F8908" w14:textId="12137440" w:rsidR="003B38A4" w:rsidRPr="004E0720" w:rsidRDefault="003B38A4" w:rsidP="002126FF">
      <w:pPr>
        <w:spacing w:after="120" w:line="288" w:lineRule="auto"/>
        <w:jc w:val="center"/>
        <w:rPr>
          <w:rFonts w:ascii="Book Antiqua" w:eastAsia="Book Antiqua" w:hAnsi="Book Antiqua" w:cs="Book Antiqua"/>
          <w:color w:val="000000" w:themeColor="text1"/>
          <w:spacing w:val="12"/>
          <w:szCs w:val="24"/>
          <w:lang w:val="es-PR"/>
        </w:rPr>
      </w:pPr>
      <w:r w:rsidRPr="004E0720">
        <w:rPr>
          <w:rFonts w:ascii="Book Antiqua" w:eastAsia="Book Antiqua" w:hAnsi="Book Antiqua" w:cs="Book Antiqua"/>
          <w:color w:val="000000" w:themeColor="text1"/>
          <w:spacing w:val="12"/>
          <w:szCs w:val="24"/>
          <w:lang w:val="es-PR"/>
        </w:rPr>
        <w:t>CONCLUSIÓN</w:t>
      </w:r>
      <w:r w:rsidR="00F0476A" w:rsidRPr="004E0720">
        <w:rPr>
          <w:rFonts w:ascii="Book Antiqua" w:eastAsia="Book Antiqua" w:hAnsi="Book Antiqua" w:cs="Book Antiqua"/>
          <w:color w:val="000000" w:themeColor="text1"/>
          <w:spacing w:val="12"/>
          <w:szCs w:val="24"/>
          <w:lang w:val="es-PR"/>
        </w:rPr>
        <w:t xml:space="preserve"> Y RECOMENDAC</w:t>
      </w:r>
      <w:r w:rsidR="001711E6" w:rsidRPr="004E0720">
        <w:rPr>
          <w:rFonts w:ascii="Book Antiqua" w:eastAsia="Book Antiqua" w:hAnsi="Book Antiqua" w:cs="Book Antiqua"/>
          <w:color w:val="000000" w:themeColor="text1"/>
          <w:spacing w:val="12"/>
          <w:szCs w:val="24"/>
          <w:lang w:val="es-PR"/>
        </w:rPr>
        <w:t>I</w:t>
      </w:r>
      <w:r w:rsidR="00F0476A" w:rsidRPr="004E0720">
        <w:rPr>
          <w:rFonts w:ascii="Book Antiqua" w:eastAsia="Book Antiqua" w:hAnsi="Book Antiqua" w:cs="Book Antiqua"/>
          <w:color w:val="000000" w:themeColor="text1"/>
          <w:spacing w:val="12"/>
          <w:szCs w:val="24"/>
          <w:lang w:val="es-PR"/>
        </w:rPr>
        <w:t>ÓN</w:t>
      </w:r>
    </w:p>
    <w:p w14:paraId="72B22614" w14:textId="7D4456AD" w:rsidR="00FB4D4E" w:rsidRDefault="00715272" w:rsidP="00B70A53">
      <w:pPr>
        <w:spacing w:line="288" w:lineRule="auto"/>
        <w:ind w:firstLine="720"/>
        <w:jc w:val="both"/>
        <w:rPr>
          <w:rFonts w:ascii="Book Antiqua" w:hAnsi="Book Antiqua"/>
          <w:lang w:val="es-PR"/>
        </w:rPr>
      </w:pPr>
      <w:r w:rsidRPr="00FB4D4E">
        <w:rPr>
          <w:rFonts w:ascii="Book Antiqua" w:hAnsi="Book Antiqua"/>
          <w:color w:val="000000" w:themeColor="text1"/>
          <w:lang w:val="es-PR"/>
        </w:rPr>
        <w:t>Coincidimos</w:t>
      </w:r>
      <w:r w:rsidR="00FB4D4E" w:rsidRPr="00FB4D4E">
        <w:rPr>
          <w:rFonts w:ascii="Book Antiqua" w:hAnsi="Book Antiqua"/>
          <w:color w:val="000000" w:themeColor="text1"/>
          <w:lang w:val="es-PR"/>
        </w:rPr>
        <w:t xml:space="preserve"> plenamente con la intención de que este proyecto sirva para </w:t>
      </w:r>
      <w:r w:rsidR="00FB4D4E" w:rsidRPr="00FB4D4E">
        <w:rPr>
          <w:rFonts w:ascii="Book Antiqua" w:hAnsi="Book Antiqua"/>
          <w:lang w:val="es-PR"/>
        </w:rPr>
        <w:t>facilitar el tráfico jurídico de los bienes inmuebles en Puerto Rico, así como minimizar los costos de estas transacciones</w:t>
      </w:r>
      <w:r w:rsidR="00B70A53">
        <w:rPr>
          <w:rFonts w:ascii="Book Antiqua" w:hAnsi="Book Antiqua"/>
          <w:lang w:val="es-PR"/>
        </w:rPr>
        <w:t>. Esto,</w:t>
      </w:r>
      <w:r w:rsidR="00FB4D4E" w:rsidRPr="00FB4D4E">
        <w:rPr>
          <w:rFonts w:ascii="Book Antiqua" w:hAnsi="Book Antiqua"/>
          <w:lang w:val="es-PR"/>
        </w:rPr>
        <w:t xml:space="preserve"> sin menoscabo del principio de legalidad que siempre ha regido, y debe continuar rigiendo, en el Registro de la Propiedad.</w:t>
      </w:r>
    </w:p>
    <w:p w14:paraId="6680B29A" w14:textId="266BC557" w:rsidR="007628B5" w:rsidRPr="00FB4D4E" w:rsidRDefault="007628B5" w:rsidP="00FB4D4E">
      <w:pPr>
        <w:spacing w:after="240" w:line="288" w:lineRule="auto"/>
        <w:ind w:firstLine="720"/>
        <w:jc w:val="both"/>
        <w:rPr>
          <w:rFonts w:ascii="Book Antiqua" w:hAnsi="Book Antiqua"/>
          <w:color w:val="000000" w:themeColor="text1"/>
          <w:lang w:val="es-PR"/>
        </w:rPr>
      </w:pPr>
      <w:r>
        <w:rPr>
          <w:rFonts w:ascii="Book Antiqua" w:hAnsi="Book Antiqua"/>
          <w:lang w:val="es-PR"/>
        </w:rPr>
        <w:t xml:space="preserve">Como planteó Justicia, el P. de la C. 972 representa un avance legislativo significativo para modernizar </w:t>
      </w:r>
      <w:r w:rsidR="00295469">
        <w:rPr>
          <w:rFonts w:ascii="Book Antiqua" w:hAnsi="Book Antiqua"/>
          <w:lang w:val="es-PR"/>
        </w:rPr>
        <w:t xml:space="preserve">y optimizar los procesos del Registro de la Propiedad, facilitando el tráfico jurídico inmobiliario sin sacrificar la legalidad ni la seguridad jurídica. Las enmiendas propuestas por esta legislación atienden de manera equilibrada las necesidades prácticas de la ciudadanía y de los profesionales del derecho, promoviendo eficiencia, certeza y coherencia en la gestión registral. </w:t>
      </w:r>
    </w:p>
    <w:p w14:paraId="55324CE2" w14:textId="7F4CD650" w:rsidR="004512E8" w:rsidRPr="00733C1D" w:rsidRDefault="00FD6179" w:rsidP="00733C1D">
      <w:pPr>
        <w:spacing w:after="240" w:line="288" w:lineRule="auto"/>
        <w:ind w:firstLine="720"/>
        <w:jc w:val="both"/>
        <w:rPr>
          <w:rFonts w:ascii="Book Antiqua" w:eastAsia="Book Antiqua" w:hAnsi="Book Antiqua" w:cs="Book Antiqua"/>
          <w:color w:val="000000" w:themeColor="text1"/>
          <w:szCs w:val="24"/>
        </w:rPr>
      </w:pPr>
      <w:r w:rsidRPr="00733C1D">
        <w:rPr>
          <w:rFonts w:ascii="Book Antiqua" w:eastAsia="Book Antiqua" w:hAnsi="Book Antiqua" w:cs="Book Antiqua"/>
          <w:color w:val="000000" w:themeColor="text1"/>
          <w:szCs w:val="24"/>
        </w:rPr>
        <w:t>Por los fundamentos expuestos, la Comisión de</w:t>
      </w:r>
      <w:r w:rsidR="007761C9" w:rsidRPr="00733C1D">
        <w:rPr>
          <w:rFonts w:ascii="Book Antiqua" w:eastAsia="Book Antiqua" w:hAnsi="Book Antiqua" w:cs="Book Antiqua"/>
          <w:color w:val="000000" w:themeColor="text1"/>
          <w:szCs w:val="24"/>
        </w:rPr>
        <w:t xml:space="preserve"> </w:t>
      </w:r>
      <w:r w:rsidR="002E3B1E">
        <w:rPr>
          <w:rFonts w:ascii="Book Antiqua" w:eastAsia="Book Antiqua" w:hAnsi="Book Antiqua" w:cs="Book Antiqua"/>
          <w:color w:val="000000" w:themeColor="text1"/>
          <w:szCs w:val="24"/>
        </w:rPr>
        <w:t>l</w:t>
      </w:r>
      <w:r w:rsidR="007761C9" w:rsidRPr="00733C1D">
        <w:rPr>
          <w:rFonts w:ascii="Book Antiqua" w:eastAsia="Book Antiqua" w:hAnsi="Book Antiqua" w:cs="Book Antiqua"/>
          <w:color w:val="000000" w:themeColor="text1"/>
          <w:szCs w:val="24"/>
        </w:rPr>
        <w:t>o Jurídico</w:t>
      </w:r>
      <w:r w:rsidRPr="00733C1D">
        <w:rPr>
          <w:rFonts w:ascii="Book Antiqua" w:eastAsia="Book Antiqua" w:hAnsi="Book Antiqua" w:cs="Book Antiqua"/>
          <w:color w:val="000000" w:themeColor="text1"/>
          <w:szCs w:val="24"/>
        </w:rPr>
        <w:t xml:space="preserve"> recom</w:t>
      </w:r>
      <w:r w:rsidR="00B33A97">
        <w:rPr>
          <w:rFonts w:ascii="Book Antiqua" w:eastAsia="Book Antiqua" w:hAnsi="Book Antiqua" w:cs="Book Antiqua"/>
          <w:color w:val="000000" w:themeColor="text1"/>
          <w:szCs w:val="24"/>
        </w:rPr>
        <w:t>ienda</w:t>
      </w:r>
      <w:r w:rsidRPr="00733C1D">
        <w:rPr>
          <w:rFonts w:ascii="Book Antiqua" w:eastAsia="Book Antiqua" w:hAnsi="Book Antiqua" w:cs="Book Antiqua"/>
          <w:color w:val="000000" w:themeColor="text1"/>
          <w:szCs w:val="24"/>
        </w:rPr>
        <w:t xml:space="preserve"> </w:t>
      </w:r>
      <w:r w:rsidR="00066C47">
        <w:rPr>
          <w:rFonts w:ascii="Book Antiqua" w:eastAsia="Book Antiqua" w:hAnsi="Book Antiqua" w:cs="Book Antiqua"/>
          <w:color w:val="000000" w:themeColor="text1"/>
          <w:szCs w:val="24"/>
        </w:rPr>
        <w:t xml:space="preserve">que se </w:t>
      </w:r>
      <w:r w:rsidRPr="00733C1D">
        <w:rPr>
          <w:rFonts w:ascii="Book Antiqua" w:eastAsia="Book Antiqua" w:hAnsi="Book Antiqua" w:cs="Book Antiqua"/>
          <w:color w:val="000000" w:themeColor="text1"/>
          <w:szCs w:val="24"/>
        </w:rPr>
        <w:t>apr</w:t>
      </w:r>
      <w:r w:rsidR="00066C47">
        <w:rPr>
          <w:rFonts w:ascii="Book Antiqua" w:eastAsia="Book Antiqua" w:hAnsi="Book Antiqua" w:cs="Book Antiqua"/>
          <w:color w:val="000000" w:themeColor="text1"/>
          <w:szCs w:val="24"/>
        </w:rPr>
        <w:t>uebe</w:t>
      </w:r>
      <w:r w:rsidRPr="00733C1D">
        <w:rPr>
          <w:rFonts w:ascii="Book Antiqua" w:eastAsia="Book Antiqua" w:hAnsi="Book Antiqua" w:cs="Book Antiqua"/>
          <w:color w:val="000000" w:themeColor="text1"/>
          <w:szCs w:val="24"/>
        </w:rPr>
        <w:t xml:space="preserve"> el P. de la C. </w:t>
      </w:r>
      <w:r w:rsidR="006931CC">
        <w:rPr>
          <w:rFonts w:ascii="Book Antiqua" w:eastAsia="Book Antiqua" w:hAnsi="Book Antiqua" w:cs="Book Antiqua"/>
          <w:color w:val="000000" w:themeColor="text1"/>
          <w:szCs w:val="24"/>
        </w:rPr>
        <w:t>972</w:t>
      </w:r>
      <w:r w:rsidR="00F0476A" w:rsidRPr="00733C1D">
        <w:rPr>
          <w:rFonts w:ascii="Book Antiqua" w:eastAsia="Book Antiqua" w:hAnsi="Book Antiqua" w:cs="Book Antiqua"/>
          <w:color w:val="000000" w:themeColor="text1"/>
          <w:szCs w:val="24"/>
        </w:rPr>
        <w:t xml:space="preserve">, con las enmiendas en el </w:t>
      </w:r>
      <w:proofErr w:type="spellStart"/>
      <w:r w:rsidR="00F0476A" w:rsidRPr="00733C1D">
        <w:rPr>
          <w:rFonts w:ascii="Book Antiqua" w:eastAsia="Book Antiqua" w:hAnsi="Book Antiqua" w:cs="Book Antiqua"/>
          <w:color w:val="000000" w:themeColor="text1"/>
          <w:szCs w:val="24"/>
        </w:rPr>
        <w:t>entirillado</w:t>
      </w:r>
      <w:proofErr w:type="spellEnd"/>
      <w:r w:rsidR="00F0476A" w:rsidRPr="00733C1D">
        <w:rPr>
          <w:rFonts w:ascii="Book Antiqua" w:eastAsia="Book Antiqua" w:hAnsi="Book Antiqua" w:cs="Book Antiqua"/>
          <w:color w:val="000000" w:themeColor="text1"/>
          <w:szCs w:val="24"/>
        </w:rPr>
        <w:t xml:space="preserve"> electrónico</w:t>
      </w:r>
      <w:r w:rsidR="00D51A50">
        <w:rPr>
          <w:rFonts w:ascii="Book Antiqua" w:eastAsia="Book Antiqua" w:hAnsi="Book Antiqua" w:cs="Book Antiqua"/>
          <w:color w:val="000000" w:themeColor="text1"/>
          <w:szCs w:val="24"/>
        </w:rPr>
        <w:t xml:space="preserve"> adjunto</w:t>
      </w:r>
      <w:r w:rsidR="00F17F1C" w:rsidRPr="00733C1D">
        <w:rPr>
          <w:rFonts w:ascii="Book Antiqua" w:eastAsia="Book Antiqua" w:hAnsi="Book Antiqua" w:cs="Book Antiqua"/>
          <w:color w:val="000000" w:themeColor="text1"/>
          <w:szCs w:val="24"/>
        </w:rPr>
        <w:t>.</w:t>
      </w:r>
    </w:p>
    <w:p w14:paraId="6C8FC9E5" w14:textId="5B98CA98"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F169E1">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r w:rsidR="00066C47">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066C47" w:rsidRDefault="00447224" w:rsidP="003B38A4">
      <w:pPr>
        <w:jc w:val="both"/>
        <w:rPr>
          <w:rFonts w:ascii="Book Antiqua" w:eastAsia="Book Antiqua" w:hAnsi="Book Antiqua" w:cs="Book Antiqua"/>
          <w:b/>
          <w:bCs/>
          <w:smallCaps/>
          <w:color w:val="000000" w:themeColor="text1"/>
          <w:szCs w:val="24"/>
          <w:lang w:val="es-PR"/>
        </w:rPr>
      </w:pPr>
      <w:r w:rsidRPr="00066C47">
        <w:rPr>
          <w:rFonts w:ascii="Book Antiqua" w:eastAsia="Book Antiqua" w:hAnsi="Book Antiqua" w:cs="Book Antiqua"/>
          <w:b/>
          <w:bCs/>
          <w:smallCaps/>
          <w:color w:val="000000" w:themeColor="text1"/>
          <w:szCs w:val="24"/>
          <w:lang w:val="es-PR"/>
        </w:rPr>
        <w:t>José</w:t>
      </w:r>
      <w:r w:rsidR="00D60D6E" w:rsidRPr="00066C47">
        <w:rPr>
          <w:rFonts w:ascii="Book Antiqua" w:eastAsia="Book Antiqua" w:hAnsi="Book Antiqua" w:cs="Book Antiqua"/>
          <w:b/>
          <w:bCs/>
          <w:smallCaps/>
          <w:color w:val="000000" w:themeColor="text1"/>
          <w:szCs w:val="24"/>
          <w:lang w:val="es-PR"/>
        </w:rPr>
        <w:t xml:space="preserve"> J. </w:t>
      </w:r>
      <w:r w:rsidRPr="00066C47">
        <w:rPr>
          <w:rFonts w:ascii="Book Antiqua" w:eastAsia="Book Antiqua" w:hAnsi="Book Antiqua" w:cs="Book Antiqua"/>
          <w:b/>
          <w:bCs/>
          <w:smallCaps/>
          <w:color w:val="000000" w:themeColor="text1"/>
          <w:szCs w:val="24"/>
          <w:lang w:val="es-PR"/>
        </w:rPr>
        <w:t>Pérez</w:t>
      </w:r>
      <w:r w:rsidR="00D60D6E" w:rsidRPr="00066C47">
        <w:rPr>
          <w:rFonts w:ascii="Book Antiqua" w:eastAsia="Book Antiqua" w:hAnsi="Book Antiqua" w:cs="Book Antiqua"/>
          <w:b/>
          <w:bCs/>
          <w:smallCaps/>
          <w:color w:val="000000" w:themeColor="text1"/>
          <w:szCs w:val="24"/>
          <w:lang w:val="es-PR"/>
        </w:rPr>
        <w:t xml:space="preserve"> Cordero</w:t>
      </w:r>
      <w:r w:rsidR="003B38A4" w:rsidRPr="00066C47">
        <w:rPr>
          <w:rFonts w:ascii="Book Antiqua" w:eastAsia="Book Antiqua" w:hAnsi="Book Antiqua" w:cs="Book Antiqua"/>
          <w:b/>
          <w:bCs/>
          <w:smallCaps/>
          <w:color w:val="000000" w:themeColor="text1"/>
          <w:szCs w:val="24"/>
          <w:lang w:val="es-PR"/>
        </w:rPr>
        <w:tab/>
        <w:t xml:space="preserve"> </w:t>
      </w:r>
    </w:p>
    <w:p w14:paraId="7D70D4B0" w14:textId="77777777" w:rsidR="0089536A" w:rsidRDefault="003B38A4" w:rsidP="006931CC">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p>
    <w:p w14:paraId="3B6A5A42" w14:textId="11735DC1" w:rsidR="00F0476A" w:rsidRPr="001711E6" w:rsidRDefault="0089536A" w:rsidP="006931CC">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76A3B" w14:textId="77777777" w:rsidR="00D71981" w:rsidRDefault="00D71981">
      <w:r>
        <w:separator/>
      </w:r>
    </w:p>
  </w:endnote>
  <w:endnote w:type="continuationSeparator" w:id="0">
    <w:p w14:paraId="5ABC8DC1" w14:textId="77777777" w:rsidR="00D71981" w:rsidRDefault="00D71981">
      <w:r>
        <w:continuationSeparator/>
      </w:r>
    </w:p>
  </w:endnote>
  <w:endnote w:type="continuationNotice" w:id="1">
    <w:p w14:paraId="51D3C768" w14:textId="77777777" w:rsidR="00D71981" w:rsidRDefault="00D719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96A70" w14:textId="77777777" w:rsidR="00D71981" w:rsidRDefault="00D71981">
      <w:r>
        <w:separator/>
      </w:r>
    </w:p>
  </w:footnote>
  <w:footnote w:type="continuationSeparator" w:id="0">
    <w:p w14:paraId="634C1335" w14:textId="77777777" w:rsidR="00D71981" w:rsidRDefault="00D71981">
      <w:r>
        <w:continuationSeparator/>
      </w:r>
    </w:p>
  </w:footnote>
  <w:footnote w:type="continuationNotice" w:id="1">
    <w:p w14:paraId="57849D3D" w14:textId="77777777" w:rsidR="00D71981" w:rsidRDefault="00D71981"/>
  </w:footnote>
  <w:footnote w:id="2">
    <w:p w14:paraId="7155218C" w14:textId="4E19B27A" w:rsidR="00A47DEB" w:rsidRPr="00CE7C5B" w:rsidRDefault="00A47DEB" w:rsidP="0076738C">
      <w:pPr>
        <w:pStyle w:val="FootnoteText"/>
        <w:spacing w:after="120"/>
        <w:jc w:val="both"/>
        <w:rPr>
          <w:rFonts w:ascii="Book Antiqua" w:hAnsi="Book Antiqua" w:cstheme="majorBidi"/>
        </w:rPr>
      </w:pPr>
      <w:r w:rsidRPr="00CE7C5B">
        <w:rPr>
          <w:rStyle w:val="FootnoteReference"/>
          <w:rFonts w:ascii="Book Antiqua" w:hAnsi="Book Antiqua" w:cstheme="majorBidi"/>
        </w:rPr>
        <w:footnoteRef/>
      </w:r>
      <w:r w:rsidRPr="00CE7C5B">
        <w:rPr>
          <w:rFonts w:ascii="Book Antiqua" w:hAnsi="Book Antiqua" w:cstheme="majorBidi"/>
        </w:rPr>
        <w:t xml:space="preserve"> El P. de la C. 972 fue presentado el 12 de noviembre de 2025, como una medida legislativa de Administración (A82) cuya versión homóloga es el Proyecto del Senado 853, presentada ante nuestro hermano cuerpo ese mismo día. </w:t>
      </w:r>
    </w:p>
  </w:footnote>
  <w:footnote w:id="3">
    <w:p w14:paraId="2AF54A22" w14:textId="3CE0C755" w:rsidR="009C7042" w:rsidRPr="00CE7C5B" w:rsidRDefault="009C7042" w:rsidP="0076738C">
      <w:pPr>
        <w:pStyle w:val="FootnoteText"/>
        <w:spacing w:after="120"/>
        <w:rPr>
          <w:rFonts w:ascii="Book Antiqua" w:hAnsi="Book Antiqua"/>
        </w:rPr>
      </w:pPr>
      <w:r w:rsidRPr="00CE7C5B">
        <w:rPr>
          <w:rStyle w:val="FootnoteReference"/>
          <w:rFonts w:ascii="Book Antiqua" w:hAnsi="Book Antiqua"/>
        </w:rPr>
        <w:footnoteRef/>
      </w:r>
      <w:r w:rsidRPr="00CE7C5B">
        <w:rPr>
          <w:rFonts w:ascii="Book Antiqua" w:hAnsi="Book Antiqua"/>
        </w:rPr>
        <w:t xml:space="preserve"> </w:t>
      </w:r>
      <w:r w:rsidR="00EC38D0" w:rsidRPr="00CE7C5B">
        <w:rPr>
          <w:rFonts w:ascii="Book Antiqua" w:hAnsi="Book Antiqua"/>
        </w:rPr>
        <w:t>Conocida como Ley de Registro de la Propiedad Inmobiliaria del Estado Libre Asociado de Puerto Rico.</w:t>
      </w:r>
    </w:p>
  </w:footnote>
  <w:footnote w:id="4">
    <w:p w14:paraId="43DFC1B2" w14:textId="76CCEA67" w:rsidR="001A76F7" w:rsidRPr="00CE7C5B" w:rsidRDefault="001A76F7" w:rsidP="0076738C">
      <w:pPr>
        <w:pStyle w:val="FootnoteText"/>
        <w:spacing w:after="120"/>
        <w:jc w:val="both"/>
        <w:rPr>
          <w:rFonts w:ascii="Book Antiqua" w:hAnsi="Book Antiqua" w:cstheme="majorBidi"/>
        </w:rPr>
      </w:pPr>
      <w:r w:rsidRPr="00CE7C5B">
        <w:rPr>
          <w:rStyle w:val="FootnoteReference"/>
          <w:rFonts w:ascii="Book Antiqua" w:hAnsi="Book Antiqua" w:cstheme="majorBidi"/>
        </w:rPr>
        <w:footnoteRef/>
      </w:r>
      <w:r w:rsidRPr="00CE7C5B">
        <w:rPr>
          <w:rFonts w:ascii="Book Antiqua" w:hAnsi="Book Antiqua" w:cstheme="majorBidi"/>
        </w:rPr>
        <w:t xml:space="preserve"> De conformidad con el título, según </w:t>
      </w:r>
      <w:r w:rsidR="00161B0F" w:rsidRPr="00CE7C5B">
        <w:rPr>
          <w:rFonts w:ascii="Book Antiqua" w:hAnsi="Book Antiqua" w:cstheme="majorBidi"/>
        </w:rPr>
        <w:t xml:space="preserve">se recomienda </w:t>
      </w:r>
      <w:r w:rsidR="00A47DEB" w:rsidRPr="00CE7C5B">
        <w:rPr>
          <w:rFonts w:ascii="Book Antiqua" w:hAnsi="Book Antiqua" w:cstheme="majorBidi"/>
        </w:rPr>
        <w:t xml:space="preserve">su aprobación, </w:t>
      </w:r>
      <w:r w:rsidRPr="00CE7C5B">
        <w:rPr>
          <w:rFonts w:ascii="Book Antiqua" w:hAnsi="Book Antiqua" w:cstheme="majorBidi"/>
        </w:rPr>
        <w:t xml:space="preserve">en el </w:t>
      </w:r>
      <w:proofErr w:type="spellStart"/>
      <w:r w:rsidRPr="00CE7C5B">
        <w:rPr>
          <w:rFonts w:ascii="Book Antiqua" w:hAnsi="Book Antiqua" w:cstheme="majorBidi"/>
        </w:rPr>
        <w:t>entirillado</w:t>
      </w:r>
      <w:proofErr w:type="spellEnd"/>
      <w:r w:rsidRPr="00CE7C5B">
        <w:rPr>
          <w:rFonts w:ascii="Book Antiqua" w:hAnsi="Book Antiqua" w:cstheme="majorBidi"/>
        </w:rPr>
        <w:t xml:space="preserve"> electrónico que se acompaña. </w:t>
      </w:r>
    </w:p>
  </w:footnote>
  <w:footnote w:id="5">
    <w:p w14:paraId="7B7425BB" w14:textId="37E61379" w:rsidR="00D27F4D" w:rsidRPr="00D27F4D" w:rsidRDefault="00D27F4D">
      <w:pPr>
        <w:pStyle w:val="FootnoteText"/>
      </w:pPr>
      <w:r>
        <w:rPr>
          <w:rStyle w:val="FootnoteReference"/>
        </w:rPr>
        <w:footnoteRef/>
      </w:r>
      <w:r>
        <w:t xml:space="preserve"> </w:t>
      </w:r>
      <w:r w:rsidRPr="00D27F4D">
        <w:t>Exposición de Motivos</w:t>
      </w:r>
      <w:r w:rsidR="005D2AB9">
        <w:t>,</w:t>
      </w:r>
      <w:r w:rsidRPr="00D27F4D">
        <w:t xml:space="preserve"> Ley Núm. 210-2015, según enmendada, páginas 2-3 y 6.</w:t>
      </w:r>
    </w:p>
  </w:footnote>
  <w:footnote w:id="6">
    <w:p w14:paraId="240022CA" w14:textId="212787BC" w:rsidR="007B4FE1" w:rsidRPr="001B32C7" w:rsidRDefault="007B4FE1" w:rsidP="001B32C7">
      <w:pPr>
        <w:pStyle w:val="FootnoteText"/>
        <w:spacing w:after="120"/>
        <w:rPr>
          <w:rFonts w:ascii="Book Antiqua" w:hAnsi="Book Antiqua"/>
        </w:rPr>
      </w:pPr>
      <w:r w:rsidRPr="001B32C7">
        <w:rPr>
          <w:rStyle w:val="FootnoteReference"/>
          <w:rFonts w:ascii="Book Antiqua" w:hAnsi="Book Antiqua"/>
        </w:rPr>
        <w:footnoteRef/>
      </w:r>
      <w:r w:rsidRPr="001B32C7">
        <w:rPr>
          <w:rFonts w:ascii="Book Antiqua" w:hAnsi="Book Antiqua"/>
        </w:rPr>
        <w:t xml:space="preserve"> Informe de la Comisión de lo Jurídico de la Cámara de Representantes sobre el P. de la C. 2479, 25 de junio de 2015, Páginas 21-23; énfasis nuestro.</w:t>
      </w:r>
    </w:p>
  </w:footnote>
  <w:footnote w:id="7">
    <w:p w14:paraId="759C1A73" w14:textId="77777777" w:rsidR="009B40CF" w:rsidRPr="00CE7C5B" w:rsidRDefault="009B40CF" w:rsidP="001B32C7">
      <w:pPr>
        <w:pStyle w:val="FootnoteText"/>
        <w:spacing w:after="120"/>
        <w:jc w:val="both"/>
        <w:rPr>
          <w:rFonts w:ascii="Book Antiqua" w:hAnsi="Book Antiqua"/>
          <w:i/>
          <w:iCs/>
        </w:rPr>
      </w:pPr>
      <w:r w:rsidRPr="001B32C7">
        <w:rPr>
          <w:rStyle w:val="FootnoteReference"/>
          <w:rFonts w:ascii="Book Antiqua" w:hAnsi="Book Antiqua"/>
        </w:rPr>
        <w:footnoteRef/>
      </w:r>
      <w:r w:rsidRPr="001B32C7">
        <w:rPr>
          <w:rFonts w:ascii="Book Antiqua" w:hAnsi="Book Antiqua"/>
        </w:rPr>
        <w:t xml:space="preserve"> Esta institución es un organismo creado por virtud del artículo 296 de la propia Ley 210, el cual fue creado como una organización de carácter voluntario, compuesto exclusivamente por Registradores de la Propiedad en funciones (luego de haber sido nombrados y confirmados). El memorial del Colegio es un documento de 7 páginas, con fecha de 5 de diciembre de 2025 y suscrito por la Honorable Denisse M. Ocasio Rivera, </w:t>
      </w:r>
      <w:proofErr w:type="gramStart"/>
      <w:r w:rsidRPr="001B32C7">
        <w:rPr>
          <w:rFonts w:ascii="Book Antiqua" w:hAnsi="Book Antiqua"/>
        </w:rPr>
        <w:t>Presidenta</w:t>
      </w:r>
      <w:proofErr w:type="gramEnd"/>
      <w:r w:rsidRPr="001B32C7">
        <w:rPr>
          <w:rFonts w:ascii="Book Antiqua" w:hAnsi="Book Antiqua"/>
        </w:rPr>
        <w:t xml:space="preserve"> de dicho colegio.</w:t>
      </w:r>
      <w:r w:rsidRPr="00CE7C5B">
        <w:rPr>
          <w:rFonts w:ascii="Book Antiqua" w:hAnsi="Book Antiqua"/>
        </w:rPr>
        <w:t xml:space="preserve"> </w:t>
      </w:r>
    </w:p>
  </w:footnote>
  <w:footnote w:id="8">
    <w:p w14:paraId="0CF42492" w14:textId="69CB7421" w:rsidR="00521A10" w:rsidRPr="00CE7C5B" w:rsidRDefault="00521A10" w:rsidP="0076738C">
      <w:pPr>
        <w:pStyle w:val="FootnoteText"/>
        <w:spacing w:after="120"/>
        <w:jc w:val="both"/>
        <w:rPr>
          <w:rFonts w:ascii="Book Antiqua" w:hAnsi="Book Antiqua"/>
        </w:rPr>
      </w:pPr>
      <w:r w:rsidRPr="00CE7C5B">
        <w:rPr>
          <w:rStyle w:val="FootnoteReference"/>
          <w:rFonts w:ascii="Book Antiqua" w:hAnsi="Book Antiqua"/>
        </w:rPr>
        <w:footnoteRef/>
      </w:r>
      <w:r w:rsidRPr="00CE7C5B">
        <w:rPr>
          <w:rFonts w:ascii="Book Antiqua" w:hAnsi="Book Antiqua"/>
        </w:rPr>
        <w:t xml:space="preserve"> Esta institución es un organismo creado por la Ley</w:t>
      </w:r>
      <w:r w:rsidR="00556F74" w:rsidRPr="00CE7C5B">
        <w:rPr>
          <w:rFonts w:ascii="Book Antiqua" w:hAnsi="Book Antiqua"/>
        </w:rPr>
        <w:t xml:space="preserve"> Núm.</w:t>
      </w:r>
      <w:r w:rsidRPr="00CE7C5B">
        <w:rPr>
          <w:rFonts w:ascii="Book Antiqua" w:hAnsi="Book Antiqua"/>
        </w:rPr>
        <w:t xml:space="preserve"> 63-2022, la cual establece en su </w:t>
      </w:r>
      <w:r w:rsidR="00556F74" w:rsidRPr="00CE7C5B">
        <w:rPr>
          <w:rFonts w:ascii="Book Antiqua" w:hAnsi="Book Antiqua"/>
        </w:rPr>
        <w:t>a</w:t>
      </w:r>
      <w:r w:rsidRPr="00CE7C5B">
        <w:rPr>
          <w:rFonts w:ascii="Book Antiqua" w:hAnsi="Book Antiqua"/>
        </w:rPr>
        <w:t>rtículo 5 que el Colegio de Notarios “</w:t>
      </w:r>
      <w:r w:rsidRPr="00CE7C5B">
        <w:rPr>
          <w:rFonts w:ascii="Book Antiqua" w:hAnsi="Book Antiqua"/>
          <w:lang w:val="es-US"/>
        </w:rPr>
        <w:t xml:space="preserve">estará disponible para asesorar y cooperar con la Asamblea Legislativa, el Departamento de Justicia y cualquier otra entidad que así lo solicite. </w:t>
      </w:r>
      <w:r w:rsidRPr="00CE7C5B">
        <w:rPr>
          <w:rFonts w:ascii="Book Antiqua" w:hAnsi="Book Antiqua"/>
        </w:rPr>
        <w:t>El memorial del Colegio de Notarios es un documento de 6 páginas, con fecha de 11 de diciembre de 2025 y suscrito por los Notarios Arsenio Comas Rodón (</w:t>
      </w:r>
      <w:proofErr w:type="gramStart"/>
      <w:r w:rsidRPr="00CE7C5B">
        <w:rPr>
          <w:rFonts w:ascii="Book Antiqua" w:hAnsi="Book Antiqua"/>
        </w:rPr>
        <w:t>Presidente</w:t>
      </w:r>
      <w:proofErr w:type="gramEnd"/>
      <w:r w:rsidRPr="00CE7C5B">
        <w:rPr>
          <w:rFonts w:ascii="Book Antiqua" w:hAnsi="Book Antiqua"/>
        </w:rPr>
        <w:t xml:space="preserve">) y Omar Vargas Morales (Coordinador Comisión de Legislación). </w:t>
      </w:r>
    </w:p>
  </w:footnote>
  <w:footnote w:id="9">
    <w:p w14:paraId="5559E9DA" w14:textId="02DA7223" w:rsidR="00F1651D" w:rsidRPr="00CE7C5B" w:rsidRDefault="00F1651D" w:rsidP="0076738C">
      <w:pPr>
        <w:pStyle w:val="FootnoteText"/>
        <w:spacing w:after="120"/>
        <w:rPr>
          <w:rFonts w:ascii="Book Antiqua" w:hAnsi="Book Antiqua"/>
        </w:rPr>
      </w:pPr>
      <w:r w:rsidRPr="00CE7C5B">
        <w:rPr>
          <w:rStyle w:val="FootnoteReference"/>
          <w:rFonts w:ascii="Book Antiqua" w:hAnsi="Book Antiqua"/>
        </w:rPr>
        <w:footnoteRef/>
      </w:r>
      <w:r w:rsidRPr="00CE7C5B">
        <w:rPr>
          <w:rFonts w:ascii="Book Antiqua" w:hAnsi="Book Antiqua"/>
        </w:rPr>
        <w:t xml:space="preserve"> Memorial del Colegio de Notarios, págs. 4-5.</w:t>
      </w:r>
    </w:p>
  </w:footnote>
  <w:footnote w:id="10">
    <w:p w14:paraId="14F65A3F" w14:textId="0A70EAB0" w:rsidR="00EB2D33" w:rsidRPr="00CE7C5B" w:rsidRDefault="00EB2D33" w:rsidP="0076738C">
      <w:pPr>
        <w:pStyle w:val="FootnoteText"/>
        <w:spacing w:after="120"/>
        <w:jc w:val="both"/>
        <w:rPr>
          <w:rFonts w:ascii="Book Antiqua" w:hAnsi="Book Antiqua"/>
        </w:rPr>
      </w:pPr>
      <w:r w:rsidRPr="00CE7C5B">
        <w:rPr>
          <w:rStyle w:val="FootnoteReference"/>
          <w:rFonts w:ascii="Book Antiqua" w:hAnsi="Book Antiqua"/>
        </w:rPr>
        <w:footnoteRef/>
      </w:r>
      <w:r w:rsidRPr="00CE7C5B">
        <w:rPr>
          <w:rFonts w:ascii="Book Antiqua" w:hAnsi="Book Antiqua"/>
        </w:rPr>
        <w:t xml:space="preserve"> El memorial del CAAPR es un documento de 4 páginas, con fecha de </w:t>
      </w:r>
      <w:r w:rsidR="002A1680" w:rsidRPr="00CE7C5B">
        <w:rPr>
          <w:rFonts w:ascii="Book Antiqua" w:hAnsi="Book Antiqua"/>
        </w:rPr>
        <w:t>30</w:t>
      </w:r>
      <w:r w:rsidRPr="00CE7C5B">
        <w:rPr>
          <w:rFonts w:ascii="Book Antiqua" w:hAnsi="Book Antiqua"/>
        </w:rPr>
        <w:t xml:space="preserve"> de e</w:t>
      </w:r>
      <w:r w:rsidR="002A1680" w:rsidRPr="00CE7C5B">
        <w:rPr>
          <w:rFonts w:ascii="Book Antiqua" w:hAnsi="Book Antiqua"/>
        </w:rPr>
        <w:t>nero</w:t>
      </w:r>
      <w:r w:rsidRPr="00CE7C5B">
        <w:rPr>
          <w:rFonts w:ascii="Book Antiqua" w:hAnsi="Book Antiqua"/>
        </w:rPr>
        <w:t xml:space="preserve"> de 202</w:t>
      </w:r>
      <w:r w:rsidR="002A1680" w:rsidRPr="00CE7C5B">
        <w:rPr>
          <w:rFonts w:ascii="Book Antiqua" w:hAnsi="Book Antiqua"/>
        </w:rPr>
        <w:t>6</w:t>
      </w:r>
      <w:r w:rsidRPr="00CE7C5B">
        <w:rPr>
          <w:rFonts w:ascii="Book Antiqua" w:hAnsi="Book Antiqua"/>
        </w:rPr>
        <w:t xml:space="preserve"> y </w:t>
      </w:r>
      <w:r w:rsidR="00291E04" w:rsidRPr="00CE7C5B">
        <w:rPr>
          <w:rFonts w:ascii="Book Antiqua" w:hAnsi="Book Antiqua"/>
        </w:rPr>
        <w:t xml:space="preserve">fue </w:t>
      </w:r>
      <w:r w:rsidRPr="00CE7C5B">
        <w:rPr>
          <w:rFonts w:ascii="Book Antiqua" w:hAnsi="Book Antiqua"/>
        </w:rPr>
        <w:t>suscrito por l</w:t>
      </w:r>
      <w:r w:rsidR="00291E04" w:rsidRPr="00CE7C5B">
        <w:rPr>
          <w:rFonts w:ascii="Book Antiqua" w:hAnsi="Book Antiqua"/>
        </w:rPr>
        <w:t xml:space="preserve">as Licenciadas Vivian Godineaux Villaronga </w:t>
      </w:r>
      <w:r w:rsidRPr="00CE7C5B">
        <w:rPr>
          <w:rFonts w:ascii="Book Antiqua" w:hAnsi="Book Antiqua"/>
        </w:rPr>
        <w:t>(</w:t>
      </w:r>
      <w:proofErr w:type="gramStart"/>
      <w:r w:rsidRPr="00CE7C5B">
        <w:rPr>
          <w:rFonts w:ascii="Book Antiqua" w:hAnsi="Book Antiqua"/>
        </w:rPr>
        <w:t>President</w:t>
      </w:r>
      <w:r w:rsidR="00291E04" w:rsidRPr="00CE7C5B">
        <w:rPr>
          <w:rFonts w:ascii="Book Antiqua" w:hAnsi="Book Antiqua"/>
        </w:rPr>
        <w:t>a</w:t>
      </w:r>
      <w:proofErr w:type="gramEnd"/>
      <w:r w:rsidRPr="00CE7C5B">
        <w:rPr>
          <w:rFonts w:ascii="Book Antiqua" w:hAnsi="Book Antiqua"/>
        </w:rPr>
        <w:t>) y O</w:t>
      </w:r>
      <w:r w:rsidR="00291E04" w:rsidRPr="00CE7C5B">
        <w:rPr>
          <w:rFonts w:ascii="Book Antiqua" w:hAnsi="Book Antiqua"/>
        </w:rPr>
        <w:t xml:space="preserve">lga B. Rosas Vélez </w:t>
      </w:r>
      <w:r w:rsidRPr="00CE7C5B">
        <w:rPr>
          <w:rFonts w:ascii="Book Antiqua" w:hAnsi="Book Antiqua"/>
        </w:rPr>
        <w:t>(</w:t>
      </w:r>
      <w:proofErr w:type="gramStart"/>
      <w:r w:rsidR="00291E04" w:rsidRPr="00CE7C5B">
        <w:rPr>
          <w:rFonts w:ascii="Book Antiqua" w:hAnsi="Book Antiqua"/>
        </w:rPr>
        <w:t>Presidenta</w:t>
      </w:r>
      <w:proofErr w:type="gramEnd"/>
      <w:r w:rsidR="00291E04" w:rsidRPr="00CE7C5B">
        <w:rPr>
          <w:rFonts w:ascii="Book Antiqua" w:hAnsi="Book Antiqua"/>
        </w:rPr>
        <w:t xml:space="preserve"> del Instituto del Notariado</w:t>
      </w:r>
      <w:r w:rsidRPr="00CE7C5B">
        <w:rPr>
          <w:rFonts w:ascii="Book Antiqua" w:hAnsi="Book Antiqua"/>
        </w:rPr>
        <w:t xml:space="preserve">). </w:t>
      </w:r>
    </w:p>
  </w:footnote>
  <w:footnote w:id="11">
    <w:p w14:paraId="6832DCFA" w14:textId="73CAE133" w:rsidR="002C150D" w:rsidRPr="00CE7C5B" w:rsidRDefault="002C150D" w:rsidP="0076738C">
      <w:pPr>
        <w:pStyle w:val="FootnoteText"/>
        <w:spacing w:after="120"/>
        <w:rPr>
          <w:rFonts w:ascii="Book Antiqua" w:hAnsi="Book Antiqua"/>
        </w:rPr>
      </w:pPr>
      <w:r w:rsidRPr="00CE7C5B">
        <w:rPr>
          <w:rStyle w:val="FootnoteReference"/>
          <w:rFonts w:ascii="Book Antiqua" w:hAnsi="Book Antiqua"/>
        </w:rPr>
        <w:footnoteRef/>
      </w:r>
      <w:r w:rsidRPr="00CE7C5B">
        <w:rPr>
          <w:rFonts w:ascii="Book Antiqua" w:hAnsi="Book Antiqua"/>
        </w:rPr>
        <w:t xml:space="preserve"> </w:t>
      </w:r>
      <w:r w:rsidRPr="00CE7C5B">
        <w:rPr>
          <w:rFonts w:ascii="Book Antiqua" w:hAnsi="Book Antiqua"/>
          <w:color w:val="000000"/>
        </w:rPr>
        <w:t xml:space="preserve">Memorial </w:t>
      </w:r>
      <w:r w:rsidR="004C5B1C" w:rsidRPr="00CE7C5B">
        <w:rPr>
          <w:rFonts w:ascii="Book Antiqua" w:hAnsi="Book Antiqua"/>
          <w:color w:val="000000"/>
        </w:rPr>
        <w:t>e</w:t>
      </w:r>
      <w:r w:rsidRPr="00CE7C5B">
        <w:rPr>
          <w:rFonts w:ascii="Book Antiqua" w:hAnsi="Book Antiqua"/>
          <w:color w:val="000000"/>
        </w:rPr>
        <w:t xml:space="preserve">xplicativo del CAAPR, </w:t>
      </w:r>
      <w:r w:rsidR="004C5B1C" w:rsidRPr="00CE7C5B">
        <w:rPr>
          <w:rFonts w:ascii="Book Antiqua" w:hAnsi="Book Antiqua"/>
          <w:color w:val="000000"/>
        </w:rPr>
        <w:t>p</w:t>
      </w:r>
      <w:r w:rsidRPr="00CE7C5B">
        <w:rPr>
          <w:rFonts w:ascii="Book Antiqua" w:hAnsi="Book Antiqua"/>
          <w:color w:val="000000"/>
        </w:rPr>
        <w:t>ágs. 3-4</w:t>
      </w:r>
      <w:r w:rsidR="004C5B1C" w:rsidRPr="00CE7C5B">
        <w:rPr>
          <w:rFonts w:ascii="Book Antiqua" w:hAnsi="Book Antiqua"/>
          <w:color w:val="000000"/>
        </w:rPr>
        <w:t>.</w:t>
      </w:r>
    </w:p>
  </w:footnote>
  <w:footnote w:id="12">
    <w:p w14:paraId="63461761" w14:textId="46F11BF0" w:rsidR="00042603" w:rsidRPr="00CE7C5B" w:rsidRDefault="00042603" w:rsidP="0076738C">
      <w:pPr>
        <w:pStyle w:val="FootnoteText"/>
        <w:spacing w:after="120"/>
        <w:rPr>
          <w:rFonts w:ascii="Book Antiqua" w:hAnsi="Book Antiqua"/>
        </w:rPr>
      </w:pPr>
      <w:r w:rsidRPr="00CE7C5B">
        <w:rPr>
          <w:rStyle w:val="FootnoteReference"/>
          <w:rFonts w:ascii="Book Antiqua" w:hAnsi="Book Antiqua"/>
        </w:rPr>
        <w:footnoteRef/>
      </w:r>
      <w:r w:rsidRPr="00CE7C5B">
        <w:rPr>
          <w:rFonts w:ascii="Book Antiqua" w:hAnsi="Book Antiqua"/>
        </w:rPr>
        <w:t xml:space="preserve"> Memorial Explicativo del CAAPR, pág. 3.</w:t>
      </w:r>
    </w:p>
  </w:footnote>
  <w:footnote w:id="13">
    <w:p w14:paraId="28933815" w14:textId="26CB21D2" w:rsidR="002C0EB4" w:rsidRPr="00CE7C5B" w:rsidRDefault="002C0EB4" w:rsidP="0076738C">
      <w:pPr>
        <w:pStyle w:val="FootnoteText"/>
        <w:spacing w:after="120"/>
        <w:jc w:val="both"/>
        <w:rPr>
          <w:rFonts w:ascii="Book Antiqua" w:hAnsi="Book Antiqua"/>
        </w:rPr>
      </w:pPr>
      <w:r w:rsidRPr="00CE7C5B">
        <w:rPr>
          <w:rStyle w:val="FootnoteReference"/>
          <w:rFonts w:ascii="Book Antiqua" w:hAnsi="Book Antiqua"/>
        </w:rPr>
        <w:footnoteRef/>
      </w:r>
      <w:r w:rsidRPr="00CE7C5B">
        <w:rPr>
          <w:rFonts w:ascii="Book Antiqua" w:hAnsi="Book Antiqua"/>
        </w:rPr>
        <w:t xml:space="preserve"> </w:t>
      </w:r>
      <w:r w:rsidR="00A50CA1" w:rsidRPr="00CE7C5B">
        <w:rPr>
          <w:rFonts w:ascii="Book Antiqua" w:hAnsi="Book Antiqua"/>
        </w:rPr>
        <w:t xml:space="preserve">Éste </w:t>
      </w:r>
      <w:r w:rsidRPr="00CE7C5B">
        <w:rPr>
          <w:rFonts w:ascii="Book Antiqua" w:hAnsi="Book Antiqua"/>
        </w:rPr>
        <w:t xml:space="preserve">es un documento de </w:t>
      </w:r>
      <w:r w:rsidR="00A50CA1" w:rsidRPr="00CE7C5B">
        <w:rPr>
          <w:rFonts w:ascii="Book Antiqua" w:hAnsi="Book Antiqua"/>
        </w:rPr>
        <w:t>10</w:t>
      </w:r>
      <w:r w:rsidRPr="00CE7C5B">
        <w:rPr>
          <w:rFonts w:ascii="Book Antiqua" w:hAnsi="Book Antiqua"/>
        </w:rPr>
        <w:t xml:space="preserve"> páginas, con fecha de </w:t>
      </w:r>
      <w:r w:rsidR="00A50CA1" w:rsidRPr="00CE7C5B">
        <w:rPr>
          <w:rFonts w:ascii="Book Antiqua" w:hAnsi="Book Antiqua"/>
        </w:rPr>
        <w:t>26</w:t>
      </w:r>
      <w:r w:rsidRPr="00CE7C5B">
        <w:rPr>
          <w:rFonts w:ascii="Book Antiqua" w:hAnsi="Book Antiqua"/>
        </w:rPr>
        <w:t xml:space="preserve"> de enero de 2026 y fue suscrito por </w:t>
      </w:r>
      <w:r w:rsidR="00A50CA1" w:rsidRPr="00CE7C5B">
        <w:rPr>
          <w:rFonts w:ascii="Book Antiqua" w:hAnsi="Book Antiqua"/>
        </w:rPr>
        <w:t>la Honorable</w:t>
      </w:r>
      <w:r w:rsidRPr="00CE7C5B">
        <w:rPr>
          <w:rFonts w:ascii="Book Antiqua" w:hAnsi="Book Antiqua"/>
        </w:rPr>
        <w:t xml:space="preserve"> </w:t>
      </w:r>
      <w:r w:rsidR="00A50CA1" w:rsidRPr="00CE7C5B">
        <w:rPr>
          <w:rFonts w:ascii="Book Antiqua" w:hAnsi="Book Antiqua"/>
        </w:rPr>
        <w:t xml:space="preserve">Lourdes L. Gómez Torres, </w:t>
      </w:r>
      <w:proofErr w:type="gramStart"/>
      <w:r w:rsidR="00A50CA1" w:rsidRPr="00CE7C5B">
        <w:rPr>
          <w:rFonts w:ascii="Book Antiqua" w:hAnsi="Book Antiqua"/>
        </w:rPr>
        <w:t>Secretaria</w:t>
      </w:r>
      <w:proofErr w:type="gramEnd"/>
      <w:r w:rsidRPr="00CE7C5B">
        <w:rPr>
          <w:rFonts w:ascii="Book Antiqua" w:hAnsi="Book Antiqua"/>
        </w:rPr>
        <w:t xml:space="preserve">. </w:t>
      </w:r>
    </w:p>
  </w:footnote>
  <w:footnote w:id="14">
    <w:p w14:paraId="29EBBCA8" w14:textId="19A2D1DD" w:rsidR="00F571FE" w:rsidRPr="00CE7C5B" w:rsidRDefault="00F571FE" w:rsidP="0076738C">
      <w:pPr>
        <w:pStyle w:val="FootnoteText"/>
        <w:spacing w:after="120"/>
        <w:rPr>
          <w:rFonts w:ascii="Book Antiqua" w:hAnsi="Book Antiqua"/>
        </w:rPr>
      </w:pPr>
      <w:r w:rsidRPr="00CE7C5B">
        <w:rPr>
          <w:rStyle w:val="FootnoteReference"/>
          <w:rFonts w:ascii="Book Antiqua" w:hAnsi="Book Antiqua"/>
        </w:rPr>
        <w:footnoteRef/>
      </w:r>
      <w:r w:rsidRPr="00CE7C5B">
        <w:rPr>
          <w:rFonts w:ascii="Book Antiqua" w:hAnsi="Book Antiqua"/>
        </w:rPr>
        <w:t xml:space="preserve"> Memorial </w:t>
      </w:r>
      <w:r w:rsidR="0057537F" w:rsidRPr="00CE7C5B">
        <w:rPr>
          <w:rFonts w:ascii="Book Antiqua" w:hAnsi="Book Antiqua"/>
        </w:rPr>
        <w:t>e</w:t>
      </w:r>
      <w:r w:rsidRPr="00CE7C5B">
        <w:rPr>
          <w:rFonts w:ascii="Book Antiqua" w:hAnsi="Book Antiqua"/>
        </w:rPr>
        <w:t>xplicativo de Justicia, pág. 8; énfasis nuestro.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A8751" w14:textId="4FB28182"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Cámara de Representantes de Puerto Rico</w:t>
    </w:r>
  </w:p>
  <w:p w14:paraId="5D382EB3" w14:textId="1AB7EFF0"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Comisión de lo Jurídico</w:t>
    </w:r>
  </w:p>
  <w:p w14:paraId="31A51A2D" w14:textId="0349C7C2"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B2B9A">
      <w:rPr>
        <w:rFonts w:ascii="Calibri" w:eastAsia="Calibri" w:hAnsi="Calibri"/>
        <w:b/>
        <w:iCs/>
        <w:sz w:val="22"/>
        <w:szCs w:val="22"/>
        <w:lang w:val="es-PR"/>
      </w:rPr>
      <w:t>Informe</w:t>
    </w:r>
    <w:r w:rsidR="00900740" w:rsidRPr="00CB2B9A">
      <w:rPr>
        <w:rFonts w:ascii="Calibri" w:eastAsia="Calibri" w:hAnsi="Calibri"/>
        <w:b/>
        <w:iCs/>
        <w:sz w:val="22"/>
        <w:szCs w:val="22"/>
        <w:lang w:val="es-PR"/>
      </w:rPr>
      <w:t xml:space="preserve"> Positivo</w:t>
    </w:r>
    <w:r w:rsidRPr="00CB2B9A">
      <w:rPr>
        <w:rFonts w:ascii="Calibri" w:eastAsia="Calibri" w:hAnsi="Calibri"/>
        <w:b/>
        <w:iCs/>
        <w:sz w:val="22"/>
        <w:szCs w:val="22"/>
        <w:lang w:val="es-PR"/>
      </w:rPr>
      <w:t xml:space="preserve"> P. de la C. </w:t>
    </w:r>
    <w:r w:rsidR="006931CC">
      <w:rPr>
        <w:rFonts w:ascii="Calibri" w:eastAsia="Calibri" w:hAnsi="Calibri"/>
        <w:b/>
        <w:iCs/>
        <w:sz w:val="22"/>
        <w:szCs w:val="22"/>
        <w:lang w:val="es-PR"/>
      </w:rPr>
      <w:t>972</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6" w15:restartNumberingAfterBreak="0">
    <w:nsid w:val="283D74F1"/>
    <w:multiLevelType w:val="hybridMultilevel"/>
    <w:tmpl w:val="18B89CB6"/>
    <w:lvl w:ilvl="0" w:tplc="85CA1E9C">
      <w:start w:val="1"/>
      <w:numFmt w:val="decimal"/>
      <w:lvlText w:val="%1."/>
      <w:lvlJc w:val="left"/>
      <w:pPr>
        <w:ind w:left="1428" w:hanging="361"/>
        <w:jc w:val="left"/>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7"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B5E24DD"/>
    <w:multiLevelType w:val="hybridMultilevel"/>
    <w:tmpl w:val="F88C9B3C"/>
    <w:lvl w:ilvl="0" w:tplc="20245298">
      <w:start w:val="507"/>
      <w:numFmt w:val="bullet"/>
      <w:lvlText w:val="-"/>
      <w:lvlJc w:val="left"/>
      <w:pPr>
        <w:ind w:left="720" w:hanging="360"/>
      </w:pPr>
      <w:rPr>
        <w:rFonts w:ascii="Book Antiqua" w:eastAsia="Book Antiqua" w:hAnsi="Book Antiqua" w:cs="Book Antiqu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2842CC"/>
    <w:multiLevelType w:val="hybridMultilevel"/>
    <w:tmpl w:val="8E468146"/>
    <w:lvl w:ilvl="0" w:tplc="BCBC16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2"/>
  </w:num>
  <w:num w:numId="3" w16cid:durableId="191654121">
    <w:abstractNumId w:val="7"/>
  </w:num>
  <w:num w:numId="4" w16cid:durableId="251549162">
    <w:abstractNumId w:val="3"/>
  </w:num>
  <w:num w:numId="5" w16cid:durableId="77214083">
    <w:abstractNumId w:val="11"/>
  </w:num>
  <w:num w:numId="6" w16cid:durableId="344096040">
    <w:abstractNumId w:val="17"/>
  </w:num>
  <w:num w:numId="7" w16cid:durableId="1113287001">
    <w:abstractNumId w:val="9"/>
  </w:num>
  <w:num w:numId="8" w16cid:durableId="1631401959">
    <w:abstractNumId w:val="15"/>
  </w:num>
  <w:num w:numId="9" w16cid:durableId="591201020">
    <w:abstractNumId w:val="12"/>
  </w:num>
  <w:num w:numId="10" w16cid:durableId="645204287">
    <w:abstractNumId w:val="21"/>
  </w:num>
  <w:num w:numId="11" w16cid:durableId="1508133352">
    <w:abstractNumId w:val="8"/>
  </w:num>
  <w:num w:numId="12" w16cid:durableId="1889679253">
    <w:abstractNumId w:val="16"/>
  </w:num>
  <w:num w:numId="13" w16cid:durableId="325980482">
    <w:abstractNumId w:val="10"/>
  </w:num>
  <w:num w:numId="14" w16cid:durableId="1607613887">
    <w:abstractNumId w:val="18"/>
  </w:num>
  <w:num w:numId="15" w16cid:durableId="1411585931">
    <w:abstractNumId w:val="19"/>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548958047">
    <w:abstractNumId w:val="6"/>
  </w:num>
  <w:num w:numId="21" w16cid:durableId="1362589133">
    <w:abstractNumId w:val="5"/>
  </w:num>
  <w:num w:numId="22" w16cid:durableId="1044448189">
    <w:abstractNumId w:val="14"/>
  </w:num>
  <w:num w:numId="23" w16cid:durableId="8145626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5228"/>
    <w:rsid w:val="000252FA"/>
    <w:rsid w:val="000264E5"/>
    <w:rsid w:val="000307E4"/>
    <w:rsid w:val="00031276"/>
    <w:rsid w:val="00041144"/>
    <w:rsid w:val="00042603"/>
    <w:rsid w:val="00042E4B"/>
    <w:rsid w:val="00050E9A"/>
    <w:rsid w:val="00065D7E"/>
    <w:rsid w:val="00066C47"/>
    <w:rsid w:val="00070288"/>
    <w:rsid w:val="000869BE"/>
    <w:rsid w:val="0009035A"/>
    <w:rsid w:val="00090AC9"/>
    <w:rsid w:val="000968F0"/>
    <w:rsid w:val="000A0600"/>
    <w:rsid w:val="000A114E"/>
    <w:rsid w:val="000A4C87"/>
    <w:rsid w:val="000A6E42"/>
    <w:rsid w:val="000B0D43"/>
    <w:rsid w:val="000B2D03"/>
    <w:rsid w:val="000B6B0E"/>
    <w:rsid w:val="000C66A9"/>
    <w:rsid w:val="000D2BDF"/>
    <w:rsid w:val="000D3E47"/>
    <w:rsid w:val="000D5F7E"/>
    <w:rsid w:val="000D68FC"/>
    <w:rsid w:val="000E30B7"/>
    <w:rsid w:val="000E5D36"/>
    <w:rsid w:val="000F67BD"/>
    <w:rsid w:val="00100A6D"/>
    <w:rsid w:val="001015D5"/>
    <w:rsid w:val="001017DC"/>
    <w:rsid w:val="00101C99"/>
    <w:rsid w:val="001049CF"/>
    <w:rsid w:val="001070BB"/>
    <w:rsid w:val="00111EFA"/>
    <w:rsid w:val="0011393E"/>
    <w:rsid w:val="001209AD"/>
    <w:rsid w:val="001216B5"/>
    <w:rsid w:val="00124911"/>
    <w:rsid w:val="00126659"/>
    <w:rsid w:val="0012698D"/>
    <w:rsid w:val="00127E9E"/>
    <w:rsid w:val="001311BA"/>
    <w:rsid w:val="00135121"/>
    <w:rsid w:val="00140F2B"/>
    <w:rsid w:val="00141334"/>
    <w:rsid w:val="00141605"/>
    <w:rsid w:val="00141703"/>
    <w:rsid w:val="00153D68"/>
    <w:rsid w:val="001601C3"/>
    <w:rsid w:val="00161B0F"/>
    <w:rsid w:val="00164AE2"/>
    <w:rsid w:val="00164E0B"/>
    <w:rsid w:val="0017100B"/>
    <w:rsid w:val="001711E6"/>
    <w:rsid w:val="00171CF8"/>
    <w:rsid w:val="00171FDF"/>
    <w:rsid w:val="001821D9"/>
    <w:rsid w:val="00186AD3"/>
    <w:rsid w:val="00186D37"/>
    <w:rsid w:val="001925F8"/>
    <w:rsid w:val="00192850"/>
    <w:rsid w:val="001A2296"/>
    <w:rsid w:val="001A5A3D"/>
    <w:rsid w:val="001A735D"/>
    <w:rsid w:val="001A76F7"/>
    <w:rsid w:val="001B2109"/>
    <w:rsid w:val="001B32C7"/>
    <w:rsid w:val="001C73EE"/>
    <w:rsid w:val="001D5EE7"/>
    <w:rsid w:val="001D6791"/>
    <w:rsid w:val="001E4FEC"/>
    <w:rsid w:val="001E7C2B"/>
    <w:rsid w:val="001F5243"/>
    <w:rsid w:val="001F6C16"/>
    <w:rsid w:val="00203D0D"/>
    <w:rsid w:val="00206D79"/>
    <w:rsid w:val="00210715"/>
    <w:rsid w:val="002126FF"/>
    <w:rsid w:val="0021372D"/>
    <w:rsid w:val="00216AC7"/>
    <w:rsid w:val="00221403"/>
    <w:rsid w:val="00222012"/>
    <w:rsid w:val="00222C01"/>
    <w:rsid w:val="00227846"/>
    <w:rsid w:val="00231245"/>
    <w:rsid w:val="00231F20"/>
    <w:rsid w:val="0023302B"/>
    <w:rsid w:val="00237B77"/>
    <w:rsid w:val="00250E7B"/>
    <w:rsid w:val="00257C59"/>
    <w:rsid w:val="00260977"/>
    <w:rsid w:val="0027134B"/>
    <w:rsid w:val="00275876"/>
    <w:rsid w:val="0028343B"/>
    <w:rsid w:val="002864AF"/>
    <w:rsid w:val="00291E04"/>
    <w:rsid w:val="002939AA"/>
    <w:rsid w:val="00295469"/>
    <w:rsid w:val="00297E9D"/>
    <w:rsid w:val="002A1454"/>
    <w:rsid w:val="002A1680"/>
    <w:rsid w:val="002A4FBE"/>
    <w:rsid w:val="002A795A"/>
    <w:rsid w:val="002B5EF6"/>
    <w:rsid w:val="002C0EB4"/>
    <w:rsid w:val="002C150D"/>
    <w:rsid w:val="002D2AD0"/>
    <w:rsid w:val="002D56FF"/>
    <w:rsid w:val="002E247F"/>
    <w:rsid w:val="002E3B1E"/>
    <w:rsid w:val="002E4267"/>
    <w:rsid w:val="002E73AD"/>
    <w:rsid w:val="002F16BF"/>
    <w:rsid w:val="002F6B8F"/>
    <w:rsid w:val="002F74B7"/>
    <w:rsid w:val="00304248"/>
    <w:rsid w:val="00307E6C"/>
    <w:rsid w:val="0031766F"/>
    <w:rsid w:val="00323B0D"/>
    <w:rsid w:val="00324DEF"/>
    <w:rsid w:val="003308DC"/>
    <w:rsid w:val="003344C6"/>
    <w:rsid w:val="003361A3"/>
    <w:rsid w:val="0034229A"/>
    <w:rsid w:val="00342992"/>
    <w:rsid w:val="00346CD5"/>
    <w:rsid w:val="00354EC7"/>
    <w:rsid w:val="00356EE6"/>
    <w:rsid w:val="003600C7"/>
    <w:rsid w:val="00363448"/>
    <w:rsid w:val="00364147"/>
    <w:rsid w:val="00371331"/>
    <w:rsid w:val="0037138D"/>
    <w:rsid w:val="00382AD9"/>
    <w:rsid w:val="00382F43"/>
    <w:rsid w:val="00383A2A"/>
    <w:rsid w:val="0038510E"/>
    <w:rsid w:val="00392CEF"/>
    <w:rsid w:val="00393ADF"/>
    <w:rsid w:val="003978F6"/>
    <w:rsid w:val="003A286E"/>
    <w:rsid w:val="003A36C6"/>
    <w:rsid w:val="003B38A4"/>
    <w:rsid w:val="003B3DEE"/>
    <w:rsid w:val="003C2FC0"/>
    <w:rsid w:val="003D01F1"/>
    <w:rsid w:val="003D0B2A"/>
    <w:rsid w:val="003D38A5"/>
    <w:rsid w:val="003D601E"/>
    <w:rsid w:val="003E4335"/>
    <w:rsid w:val="003E529E"/>
    <w:rsid w:val="003E6E10"/>
    <w:rsid w:val="003E7648"/>
    <w:rsid w:val="003F10BB"/>
    <w:rsid w:val="003F2674"/>
    <w:rsid w:val="00400F6F"/>
    <w:rsid w:val="00407674"/>
    <w:rsid w:val="0041310A"/>
    <w:rsid w:val="0042168B"/>
    <w:rsid w:val="0042378B"/>
    <w:rsid w:val="00431F68"/>
    <w:rsid w:val="00441684"/>
    <w:rsid w:val="00447224"/>
    <w:rsid w:val="0045061E"/>
    <w:rsid w:val="004512E8"/>
    <w:rsid w:val="00451F27"/>
    <w:rsid w:val="004523CD"/>
    <w:rsid w:val="00452D84"/>
    <w:rsid w:val="00452DCE"/>
    <w:rsid w:val="0045537D"/>
    <w:rsid w:val="00455DB5"/>
    <w:rsid w:val="00462545"/>
    <w:rsid w:val="00462FE2"/>
    <w:rsid w:val="00464403"/>
    <w:rsid w:val="00467CB0"/>
    <w:rsid w:val="00471B96"/>
    <w:rsid w:val="00471DF3"/>
    <w:rsid w:val="004A5A18"/>
    <w:rsid w:val="004A6A4F"/>
    <w:rsid w:val="004B4977"/>
    <w:rsid w:val="004B6881"/>
    <w:rsid w:val="004C5B1C"/>
    <w:rsid w:val="004D28B0"/>
    <w:rsid w:val="004D4D0A"/>
    <w:rsid w:val="004E0720"/>
    <w:rsid w:val="004E356B"/>
    <w:rsid w:val="004E7F19"/>
    <w:rsid w:val="004F3AEE"/>
    <w:rsid w:val="004F4A0B"/>
    <w:rsid w:val="004F5C31"/>
    <w:rsid w:val="004F5E56"/>
    <w:rsid w:val="004F6DE0"/>
    <w:rsid w:val="004F79AB"/>
    <w:rsid w:val="00501594"/>
    <w:rsid w:val="00506E31"/>
    <w:rsid w:val="00516AB2"/>
    <w:rsid w:val="00521A10"/>
    <w:rsid w:val="0052569A"/>
    <w:rsid w:val="0052624F"/>
    <w:rsid w:val="00530CA5"/>
    <w:rsid w:val="00532F3A"/>
    <w:rsid w:val="005432C2"/>
    <w:rsid w:val="00546182"/>
    <w:rsid w:val="00556F74"/>
    <w:rsid w:val="00560814"/>
    <w:rsid w:val="00563407"/>
    <w:rsid w:val="00566B83"/>
    <w:rsid w:val="00566BF6"/>
    <w:rsid w:val="00566DDA"/>
    <w:rsid w:val="00574EF4"/>
    <w:rsid w:val="0057537F"/>
    <w:rsid w:val="00582CE9"/>
    <w:rsid w:val="00584753"/>
    <w:rsid w:val="00591C6D"/>
    <w:rsid w:val="00592D59"/>
    <w:rsid w:val="00596033"/>
    <w:rsid w:val="005A14D9"/>
    <w:rsid w:val="005A1F13"/>
    <w:rsid w:val="005B0091"/>
    <w:rsid w:val="005B19F7"/>
    <w:rsid w:val="005B42F2"/>
    <w:rsid w:val="005B69A9"/>
    <w:rsid w:val="005B750B"/>
    <w:rsid w:val="005C5C89"/>
    <w:rsid w:val="005D2AB9"/>
    <w:rsid w:val="005D456F"/>
    <w:rsid w:val="005D5018"/>
    <w:rsid w:val="005D61F2"/>
    <w:rsid w:val="005D7358"/>
    <w:rsid w:val="005E48CD"/>
    <w:rsid w:val="005F628D"/>
    <w:rsid w:val="00602E29"/>
    <w:rsid w:val="00603FE4"/>
    <w:rsid w:val="00610C72"/>
    <w:rsid w:val="006116B9"/>
    <w:rsid w:val="00611979"/>
    <w:rsid w:val="006155AE"/>
    <w:rsid w:val="00633335"/>
    <w:rsid w:val="00637856"/>
    <w:rsid w:val="006430D4"/>
    <w:rsid w:val="006442F3"/>
    <w:rsid w:val="006620D1"/>
    <w:rsid w:val="00665E35"/>
    <w:rsid w:val="0066649B"/>
    <w:rsid w:val="00675201"/>
    <w:rsid w:val="0067566B"/>
    <w:rsid w:val="0069232E"/>
    <w:rsid w:val="006931CC"/>
    <w:rsid w:val="0069342C"/>
    <w:rsid w:val="00694718"/>
    <w:rsid w:val="006976A9"/>
    <w:rsid w:val="006A742B"/>
    <w:rsid w:val="006B2BC8"/>
    <w:rsid w:val="006B2F9D"/>
    <w:rsid w:val="006B4F55"/>
    <w:rsid w:val="006B5716"/>
    <w:rsid w:val="006C7F9F"/>
    <w:rsid w:val="006E19C8"/>
    <w:rsid w:val="006E649B"/>
    <w:rsid w:val="006E6BEB"/>
    <w:rsid w:val="006F18DC"/>
    <w:rsid w:val="006F2A4F"/>
    <w:rsid w:val="006F4FA9"/>
    <w:rsid w:val="006F6951"/>
    <w:rsid w:val="007021A1"/>
    <w:rsid w:val="0070305E"/>
    <w:rsid w:val="0070319D"/>
    <w:rsid w:val="007100C8"/>
    <w:rsid w:val="00712592"/>
    <w:rsid w:val="00713C5E"/>
    <w:rsid w:val="00715272"/>
    <w:rsid w:val="00715AB6"/>
    <w:rsid w:val="0072499B"/>
    <w:rsid w:val="007250C9"/>
    <w:rsid w:val="00732427"/>
    <w:rsid w:val="00732A4B"/>
    <w:rsid w:val="00733C1D"/>
    <w:rsid w:val="00733E40"/>
    <w:rsid w:val="00744264"/>
    <w:rsid w:val="00757365"/>
    <w:rsid w:val="0076029D"/>
    <w:rsid w:val="00760D00"/>
    <w:rsid w:val="007628B5"/>
    <w:rsid w:val="00766476"/>
    <w:rsid w:val="0076738C"/>
    <w:rsid w:val="007674A5"/>
    <w:rsid w:val="0077131A"/>
    <w:rsid w:val="00771553"/>
    <w:rsid w:val="00773FDD"/>
    <w:rsid w:val="0077444F"/>
    <w:rsid w:val="007761C9"/>
    <w:rsid w:val="00777CDD"/>
    <w:rsid w:val="007824CE"/>
    <w:rsid w:val="00782A64"/>
    <w:rsid w:val="007842E6"/>
    <w:rsid w:val="0078548C"/>
    <w:rsid w:val="00794ED4"/>
    <w:rsid w:val="007965B1"/>
    <w:rsid w:val="00797FEF"/>
    <w:rsid w:val="007B257D"/>
    <w:rsid w:val="007B2F4F"/>
    <w:rsid w:val="007B4FE1"/>
    <w:rsid w:val="007C5122"/>
    <w:rsid w:val="007C66FD"/>
    <w:rsid w:val="007D22F5"/>
    <w:rsid w:val="007D79C4"/>
    <w:rsid w:val="007E2AC1"/>
    <w:rsid w:val="007E50D1"/>
    <w:rsid w:val="007E6834"/>
    <w:rsid w:val="00801B1B"/>
    <w:rsid w:val="00802900"/>
    <w:rsid w:val="00804B7D"/>
    <w:rsid w:val="008142DA"/>
    <w:rsid w:val="008162A8"/>
    <w:rsid w:val="00821551"/>
    <w:rsid w:val="00822FEF"/>
    <w:rsid w:val="00826766"/>
    <w:rsid w:val="008270AA"/>
    <w:rsid w:val="008326DB"/>
    <w:rsid w:val="0083492B"/>
    <w:rsid w:val="00841B92"/>
    <w:rsid w:val="0084232D"/>
    <w:rsid w:val="00844E45"/>
    <w:rsid w:val="00844F91"/>
    <w:rsid w:val="00851E49"/>
    <w:rsid w:val="00862B38"/>
    <w:rsid w:val="008714C1"/>
    <w:rsid w:val="00871F4E"/>
    <w:rsid w:val="00877968"/>
    <w:rsid w:val="00884545"/>
    <w:rsid w:val="00885D3E"/>
    <w:rsid w:val="00886FD4"/>
    <w:rsid w:val="00887F45"/>
    <w:rsid w:val="00891B9E"/>
    <w:rsid w:val="0089536A"/>
    <w:rsid w:val="008970C4"/>
    <w:rsid w:val="008A268E"/>
    <w:rsid w:val="008B2313"/>
    <w:rsid w:val="008B25F8"/>
    <w:rsid w:val="008B4BCC"/>
    <w:rsid w:val="008B701E"/>
    <w:rsid w:val="008C1517"/>
    <w:rsid w:val="008C5A1D"/>
    <w:rsid w:val="008C6BB3"/>
    <w:rsid w:val="008D490A"/>
    <w:rsid w:val="008F1AA4"/>
    <w:rsid w:val="008F7755"/>
    <w:rsid w:val="00900740"/>
    <w:rsid w:val="0090114E"/>
    <w:rsid w:val="00910DF8"/>
    <w:rsid w:val="00920871"/>
    <w:rsid w:val="00924CE6"/>
    <w:rsid w:val="00926C28"/>
    <w:rsid w:val="00931537"/>
    <w:rsid w:val="009347CF"/>
    <w:rsid w:val="009412C4"/>
    <w:rsid w:val="00942E14"/>
    <w:rsid w:val="009440BF"/>
    <w:rsid w:val="00950E91"/>
    <w:rsid w:val="009535ED"/>
    <w:rsid w:val="00954C22"/>
    <w:rsid w:val="00961168"/>
    <w:rsid w:val="009676D2"/>
    <w:rsid w:val="0097085B"/>
    <w:rsid w:val="00977DC2"/>
    <w:rsid w:val="0098038A"/>
    <w:rsid w:val="00986649"/>
    <w:rsid w:val="009914BF"/>
    <w:rsid w:val="00994EA2"/>
    <w:rsid w:val="009970E2"/>
    <w:rsid w:val="009971DC"/>
    <w:rsid w:val="009A2843"/>
    <w:rsid w:val="009A4B72"/>
    <w:rsid w:val="009A6C55"/>
    <w:rsid w:val="009A77DA"/>
    <w:rsid w:val="009B02C7"/>
    <w:rsid w:val="009B40CF"/>
    <w:rsid w:val="009B5319"/>
    <w:rsid w:val="009B56D7"/>
    <w:rsid w:val="009C7042"/>
    <w:rsid w:val="009D6D72"/>
    <w:rsid w:val="009E55BD"/>
    <w:rsid w:val="009E5945"/>
    <w:rsid w:val="009E66CF"/>
    <w:rsid w:val="009E724B"/>
    <w:rsid w:val="009E7C72"/>
    <w:rsid w:val="009F35E7"/>
    <w:rsid w:val="009F364C"/>
    <w:rsid w:val="009F5A85"/>
    <w:rsid w:val="009F659C"/>
    <w:rsid w:val="00A00B06"/>
    <w:rsid w:val="00A10981"/>
    <w:rsid w:val="00A11658"/>
    <w:rsid w:val="00A1240D"/>
    <w:rsid w:val="00A22725"/>
    <w:rsid w:val="00A26824"/>
    <w:rsid w:val="00A45537"/>
    <w:rsid w:val="00A47DEB"/>
    <w:rsid w:val="00A50CA1"/>
    <w:rsid w:val="00A77BD5"/>
    <w:rsid w:val="00A8684B"/>
    <w:rsid w:val="00A87BAA"/>
    <w:rsid w:val="00A87C62"/>
    <w:rsid w:val="00A97256"/>
    <w:rsid w:val="00AA34ED"/>
    <w:rsid w:val="00AA3A37"/>
    <w:rsid w:val="00AB220C"/>
    <w:rsid w:val="00AB70A8"/>
    <w:rsid w:val="00AC3E49"/>
    <w:rsid w:val="00AD2768"/>
    <w:rsid w:val="00AE4D11"/>
    <w:rsid w:val="00AE5181"/>
    <w:rsid w:val="00AF10DE"/>
    <w:rsid w:val="00AF14D0"/>
    <w:rsid w:val="00AF17B1"/>
    <w:rsid w:val="00AF3E3C"/>
    <w:rsid w:val="00AF449A"/>
    <w:rsid w:val="00B01031"/>
    <w:rsid w:val="00B16378"/>
    <w:rsid w:val="00B212AF"/>
    <w:rsid w:val="00B2348F"/>
    <w:rsid w:val="00B241A8"/>
    <w:rsid w:val="00B254A8"/>
    <w:rsid w:val="00B31532"/>
    <w:rsid w:val="00B33A97"/>
    <w:rsid w:val="00B34F68"/>
    <w:rsid w:val="00B4018B"/>
    <w:rsid w:val="00B40369"/>
    <w:rsid w:val="00B45797"/>
    <w:rsid w:val="00B5035B"/>
    <w:rsid w:val="00B51406"/>
    <w:rsid w:val="00B55DDB"/>
    <w:rsid w:val="00B57A18"/>
    <w:rsid w:val="00B62EFA"/>
    <w:rsid w:val="00B6734D"/>
    <w:rsid w:val="00B67472"/>
    <w:rsid w:val="00B70A53"/>
    <w:rsid w:val="00B85B25"/>
    <w:rsid w:val="00B92004"/>
    <w:rsid w:val="00B9503B"/>
    <w:rsid w:val="00BA0B5D"/>
    <w:rsid w:val="00BA27FF"/>
    <w:rsid w:val="00BA4A48"/>
    <w:rsid w:val="00BC0B39"/>
    <w:rsid w:val="00BC108E"/>
    <w:rsid w:val="00BD28BD"/>
    <w:rsid w:val="00BD2AE9"/>
    <w:rsid w:val="00BE2D33"/>
    <w:rsid w:val="00BF4F7B"/>
    <w:rsid w:val="00BF5BE0"/>
    <w:rsid w:val="00C05583"/>
    <w:rsid w:val="00C07866"/>
    <w:rsid w:val="00C17189"/>
    <w:rsid w:val="00C20218"/>
    <w:rsid w:val="00C24FEB"/>
    <w:rsid w:val="00C25592"/>
    <w:rsid w:val="00C43FB3"/>
    <w:rsid w:val="00C47244"/>
    <w:rsid w:val="00C50A72"/>
    <w:rsid w:val="00C54AD6"/>
    <w:rsid w:val="00C651D0"/>
    <w:rsid w:val="00C8403D"/>
    <w:rsid w:val="00C87850"/>
    <w:rsid w:val="00C9100A"/>
    <w:rsid w:val="00C94CBD"/>
    <w:rsid w:val="00C9696E"/>
    <w:rsid w:val="00C97BB5"/>
    <w:rsid w:val="00CA1A5E"/>
    <w:rsid w:val="00CA31A0"/>
    <w:rsid w:val="00CA508A"/>
    <w:rsid w:val="00CB2B9A"/>
    <w:rsid w:val="00CC1984"/>
    <w:rsid w:val="00CC26FF"/>
    <w:rsid w:val="00CC39E1"/>
    <w:rsid w:val="00CC6626"/>
    <w:rsid w:val="00CD58D8"/>
    <w:rsid w:val="00CE1153"/>
    <w:rsid w:val="00CE16EE"/>
    <w:rsid w:val="00CE2077"/>
    <w:rsid w:val="00CE54D8"/>
    <w:rsid w:val="00CE7486"/>
    <w:rsid w:val="00CE7C5B"/>
    <w:rsid w:val="00CF2FE6"/>
    <w:rsid w:val="00CF3456"/>
    <w:rsid w:val="00D00F5B"/>
    <w:rsid w:val="00D054DE"/>
    <w:rsid w:val="00D06CD1"/>
    <w:rsid w:val="00D27F4D"/>
    <w:rsid w:val="00D30E0A"/>
    <w:rsid w:val="00D44A4A"/>
    <w:rsid w:val="00D50870"/>
    <w:rsid w:val="00D5157A"/>
    <w:rsid w:val="00D51A50"/>
    <w:rsid w:val="00D60D6E"/>
    <w:rsid w:val="00D60DA4"/>
    <w:rsid w:val="00D61A4E"/>
    <w:rsid w:val="00D6227D"/>
    <w:rsid w:val="00D62A5D"/>
    <w:rsid w:val="00D71981"/>
    <w:rsid w:val="00D7288F"/>
    <w:rsid w:val="00D84FD0"/>
    <w:rsid w:val="00D85064"/>
    <w:rsid w:val="00D86878"/>
    <w:rsid w:val="00D86F2E"/>
    <w:rsid w:val="00D93990"/>
    <w:rsid w:val="00D95C66"/>
    <w:rsid w:val="00D973EB"/>
    <w:rsid w:val="00DB6542"/>
    <w:rsid w:val="00DC00A3"/>
    <w:rsid w:val="00DC2214"/>
    <w:rsid w:val="00DC2703"/>
    <w:rsid w:val="00DC738B"/>
    <w:rsid w:val="00DE2789"/>
    <w:rsid w:val="00DE5DAA"/>
    <w:rsid w:val="00DE75C1"/>
    <w:rsid w:val="00DF647F"/>
    <w:rsid w:val="00DF7D86"/>
    <w:rsid w:val="00DF7F63"/>
    <w:rsid w:val="00E00B87"/>
    <w:rsid w:val="00E05E49"/>
    <w:rsid w:val="00E16F4C"/>
    <w:rsid w:val="00E271CF"/>
    <w:rsid w:val="00E434BC"/>
    <w:rsid w:val="00E50D55"/>
    <w:rsid w:val="00E542CD"/>
    <w:rsid w:val="00E5593E"/>
    <w:rsid w:val="00E60768"/>
    <w:rsid w:val="00E638A7"/>
    <w:rsid w:val="00E84C3D"/>
    <w:rsid w:val="00E94262"/>
    <w:rsid w:val="00E9522A"/>
    <w:rsid w:val="00E97D41"/>
    <w:rsid w:val="00EA3579"/>
    <w:rsid w:val="00EA3A79"/>
    <w:rsid w:val="00EB2D33"/>
    <w:rsid w:val="00EB3484"/>
    <w:rsid w:val="00EB5319"/>
    <w:rsid w:val="00EC38D0"/>
    <w:rsid w:val="00EC4423"/>
    <w:rsid w:val="00EC7D5C"/>
    <w:rsid w:val="00ED7F90"/>
    <w:rsid w:val="00EE5460"/>
    <w:rsid w:val="00EF4946"/>
    <w:rsid w:val="00EF69E9"/>
    <w:rsid w:val="00F00CBF"/>
    <w:rsid w:val="00F0476A"/>
    <w:rsid w:val="00F15FEC"/>
    <w:rsid w:val="00F1651D"/>
    <w:rsid w:val="00F169E1"/>
    <w:rsid w:val="00F17F1C"/>
    <w:rsid w:val="00F248D5"/>
    <w:rsid w:val="00F25FE5"/>
    <w:rsid w:val="00F41AC8"/>
    <w:rsid w:val="00F525B3"/>
    <w:rsid w:val="00F52F26"/>
    <w:rsid w:val="00F53669"/>
    <w:rsid w:val="00F54BBC"/>
    <w:rsid w:val="00F57138"/>
    <w:rsid w:val="00F571FE"/>
    <w:rsid w:val="00F65C51"/>
    <w:rsid w:val="00F66656"/>
    <w:rsid w:val="00F75150"/>
    <w:rsid w:val="00F769AE"/>
    <w:rsid w:val="00F80750"/>
    <w:rsid w:val="00F8237D"/>
    <w:rsid w:val="00F82809"/>
    <w:rsid w:val="00F91378"/>
    <w:rsid w:val="00F91857"/>
    <w:rsid w:val="00F91B1D"/>
    <w:rsid w:val="00F9450C"/>
    <w:rsid w:val="00FA1532"/>
    <w:rsid w:val="00FA4D54"/>
    <w:rsid w:val="00FB4D4E"/>
    <w:rsid w:val="00FC1E84"/>
    <w:rsid w:val="00FC6E48"/>
    <w:rsid w:val="00FD6179"/>
    <w:rsid w:val="00FE1B6F"/>
    <w:rsid w:val="00FE2BD2"/>
    <w:rsid w:val="00FE4E67"/>
    <w:rsid w:val="00FE5EC3"/>
    <w:rsid w:val="00FE7780"/>
    <w:rsid w:val="00FE7A0A"/>
    <w:rsid w:val="00FF40BD"/>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A6913849-C343-4A28-BCFA-859AC0DF1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4220</Words>
  <Characters>24054</Characters>
  <Application>Microsoft Office Word</Application>
  <DocSecurity>4</DocSecurity>
  <Lines>200</Lines>
  <Paragraphs>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2026-02-12T13:21:00Z</cp:lastPrinted>
  <dcterms:created xsi:type="dcterms:W3CDTF">2026-02-13T16:06:00Z</dcterms:created>
  <dcterms:modified xsi:type="dcterms:W3CDTF">2026-02-13T16:06:00Z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