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2E9A" w14:textId="77777777" w:rsidR="00673C93" w:rsidRPr="007A274E" w:rsidRDefault="00673C93" w:rsidP="00673C93">
      <w:pPr>
        <w:jc w:val="center"/>
        <w:rPr>
          <w:rFonts w:ascii="Book Antiqua" w:hAnsi="Book Antiqua"/>
          <w:caps/>
          <w:sz w:val="28"/>
          <w:szCs w:val="28"/>
          <w:lang w:val="es-ES"/>
        </w:rPr>
      </w:pPr>
      <w:r w:rsidRPr="007A274E">
        <w:rPr>
          <w:rFonts w:ascii="Book Antiqua" w:hAnsi="Book Antiqua"/>
          <w:caps/>
          <w:sz w:val="28"/>
          <w:szCs w:val="28"/>
          <w:lang w:val="es-ES"/>
        </w:rPr>
        <w:t>GOBIERNO de Puerto Rico</w:t>
      </w:r>
    </w:p>
    <w:p w14:paraId="39C794E0" w14:textId="77777777" w:rsidR="00673C93" w:rsidRPr="00B079EA" w:rsidRDefault="00673C93" w:rsidP="00673C93">
      <w:pPr>
        <w:jc w:val="center"/>
        <w:rPr>
          <w:rFonts w:ascii="Book Antiqua" w:hAnsi="Book Antiqua"/>
          <w:caps/>
          <w:sz w:val="24"/>
          <w:szCs w:val="24"/>
          <w:lang w:val="es-ES"/>
        </w:rPr>
      </w:pPr>
    </w:p>
    <w:p w14:paraId="38A7216E" w14:textId="38F54076" w:rsidR="00673C93" w:rsidRPr="007A274E" w:rsidRDefault="00C23B64" w:rsidP="00673C93">
      <w:pPr>
        <w:jc w:val="both"/>
        <w:rPr>
          <w:rFonts w:ascii="Book Antiqua" w:hAnsi="Book Antiqua"/>
          <w:sz w:val="24"/>
          <w:szCs w:val="32"/>
          <w:lang w:val="es-ES"/>
        </w:rPr>
      </w:pPr>
      <w:r w:rsidRPr="007A274E">
        <w:rPr>
          <w:rFonts w:ascii="Book Antiqua" w:hAnsi="Book Antiqua"/>
          <w:sz w:val="24"/>
          <w:szCs w:val="32"/>
          <w:lang w:val="es-ES"/>
        </w:rPr>
        <w:t>20m</w:t>
      </w:r>
      <w:r w:rsidR="00673C93" w:rsidRPr="007A274E">
        <w:rPr>
          <w:rFonts w:ascii="Book Antiqua" w:hAnsi="Book Antiqua"/>
          <w:sz w:val="24"/>
          <w:szCs w:val="32"/>
          <w:lang w:val="es-ES"/>
        </w:rPr>
        <w:t>a. Asamblea</w:t>
      </w:r>
      <w:r w:rsidR="00673C93" w:rsidRPr="007A274E">
        <w:rPr>
          <w:rFonts w:ascii="Book Antiqua" w:hAnsi="Book Antiqua"/>
          <w:sz w:val="24"/>
          <w:szCs w:val="32"/>
          <w:lang w:val="es-ES"/>
        </w:rPr>
        <w:tab/>
      </w:r>
      <w:r w:rsidR="00673C93" w:rsidRPr="007A274E">
        <w:rPr>
          <w:rFonts w:ascii="Book Antiqua" w:hAnsi="Book Antiqua"/>
          <w:sz w:val="24"/>
          <w:szCs w:val="32"/>
          <w:lang w:val="es-ES"/>
        </w:rPr>
        <w:tab/>
      </w:r>
      <w:r w:rsidR="00673C93" w:rsidRPr="007A274E">
        <w:rPr>
          <w:rFonts w:ascii="Book Antiqua" w:hAnsi="Book Antiqua"/>
          <w:sz w:val="24"/>
          <w:szCs w:val="32"/>
          <w:lang w:val="es-ES"/>
        </w:rPr>
        <w:tab/>
      </w:r>
      <w:r w:rsidR="00673C93" w:rsidRPr="007A274E">
        <w:rPr>
          <w:rFonts w:ascii="Book Antiqua" w:hAnsi="Book Antiqua"/>
          <w:sz w:val="24"/>
          <w:szCs w:val="32"/>
          <w:lang w:val="es-ES"/>
        </w:rPr>
        <w:tab/>
      </w:r>
      <w:r w:rsidR="00673C93" w:rsidRPr="007A274E">
        <w:rPr>
          <w:rFonts w:ascii="Book Antiqua" w:hAnsi="Book Antiqua"/>
          <w:sz w:val="24"/>
          <w:szCs w:val="32"/>
          <w:lang w:val="es-ES"/>
        </w:rPr>
        <w:tab/>
      </w:r>
      <w:r w:rsidR="00673C93" w:rsidRPr="007A274E">
        <w:rPr>
          <w:rFonts w:ascii="Book Antiqua" w:hAnsi="Book Antiqua"/>
          <w:sz w:val="24"/>
          <w:szCs w:val="32"/>
          <w:lang w:val="es-ES"/>
        </w:rPr>
        <w:tab/>
      </w:r>
      <w:r w:rsidR="00673C93" w:rsidRPr="007A274E">
        <w:rPr>
          <w:rFonts w:ascii="Book Antiqua" w:hAnsi="Book Antiqua"/>
          <w:sz w:val="24"/>
          <w:szCs w:val="32"/>
          <w:lang w:val="es-ES"/>
        </w:rPr>
        <w:tab/>
      </w:r>
      <w:r w:rsidR="00673C93" w:rsidRPr="007A274E">
        <w:rPr>
          <w:rFonts w:ascii="Book Antiqua" w:hAnsi="Book Antiqua"/>
          <w:sz w:val="24"/>
          <w:szCs w:val="32"/>
          <w:lang w:val="es-ES"/>
        </w:rPr>
        <w:tab/>
        <w:t xml:space="preserve">           </w:t>
      </w:r>
      <w:r w:rsidR="006B0589" w:rsidRPr="007A274E">
        <w:rPr>
          <w:rFonts w:ascii="Book Antiqua" w:hAnsi="Book Antiqua"/>
          <w:sz w:val="24"/>
          <w:szCs w:val="32"/>
          <w:lang w:val="es-ES"/>
        </w:rPr>
        <w:t>2d</w:t>
      </w:r>
      <w:r w:rsidR="00673C93" w:rsidRPr="007A274E">
        <w:rPr>
          <w:rFonts w:ascii="Book Antiqua" w:hAnsi="Book Antiqua"/>
          <w:sz w:val="24"/>
          <w:szCs w:val="32"/>
          <w:lang w:val="es-ES"/>
        </w:rPr>
        <w:t>a. Sesión</w:t>
      </w:r>
    </w:p>
    <w:p w14:paraId="7EBA3A72" w14:textId="77777777" w:rsidR="00673C93" w:rsidRPr="007A274E" w:rsidRDefault="00673C93" w:rsidP="00673C93">
      <w:pPr>
        <w:ind w:firstLine="561"/>
        <w:jc w:val="both"/>
        <w:rPr>
          <w:rFonts w:ascii="Book Antiqua" w:hAnsi="Book Antiqua"/>
          <w:sz w:val="24"/>
          <w:szCs w:val="32"/>
          <w:lang w:val="es-ES"/>
        </w:rPr>
      </w:pPr>
      <w:r w:rsidRPr="007A274E">
        <w:rPr>
          <w:rFonts w:ascii="Book Antiqua" w:hAnsi="Book Antiqua"/>
          <w:sz w:val="24"/>
          <w:szCs w:val="32"/>
          <w:lang w:val="es-ES"/>
        </w:rPr>
        <w:t xml:space="preserve"> Legislativa</w:t>
      </w:r>
      <w:r w:rsidRPr="007A274E">
        <w:rPr>
          <w:rFonts w:ascii="Book Antiqua" w:hAnsi="Book Antiqua"/>
          <w:sz w:val="24"/>
          <w:szCs w:val="32"/>
          <w:lang w:val="es-ES"/>
        </w:rPr>
        <w:tab/>
      </w:r>
      <w:r w:rsidRPr="007A274E">
        <w:rPr>
          <w:rFonts w:ascii="Book Antiqua" w:hAnsi="Book Antiqua"/>
          <w:sz w:val="24"/>
          <w:szCs w:val="32"/>
          <w:lang w:val="es-ES"/>
        </w:rPr>
        <w:tab/>
      </w:r>
      <w:r w:rsidRPr="007A274E">
        <w:rPr>
          <w:rFonts w:ascii="Book Antiqua" w:hAnsi="Book Antiqua"/>
          <w:sz w:val="24"/>
          <w:szCs w:val="32"/>
          <w:lang w:val="es-ES"/>
        </w:rPr>
        <w:tab/>
      </w:r>
      <w:r w:rsidRPr="007A274E">
        <w:rPr>
          <w:rFonts w:ascii="Book Antiqua" w:hAnsi="Book Antiqua"/>
          <w:sz w:val="24"/>
          <w:szCs w:val="32"/>
          <w:lang w:val="es-ES"/>
        </w:rPr>
        <w:tab/>
      </w:r>
      <w:r w:rsidRPr="007A274E">
        <w:rPr>
          <w:rFonts w:ascii="Book Antiqua" w:hAnsi="Book Antiqua"/>
          <w:sz w:val="24"/>
          <w:szCs w:val="32"/>
          <w:lang w:val="es-ES"/>
        </w:rPr>
        <w:tab/>
      </w:r>
      <w:r w:rsidRPr="007A274E">
        <w:rPr>
          <w:rFonts w:ascii="Book Antiqua" w:hAnsi="Book Antiqua"/>
          <w:sz w:val="24"/>
          <w:szCs w:val="32"/>
          <w:lang w:val="es-ES"/>
        </w:rPr>
        <w:tab/>
      </w:r>
      <w:r w:rsidRPr="007A274E">
        <w:rPr>
          <w:rFonts w:ascii="Book Antiqua" w:hAnsi="Book Antiqua"/>
          <w:sz w:val="24"/>
          <w:szCs w:val="32"/>
          <w:lang w:val="es-ES"/>
        </w:rPr>
        <w:tab/>
      </w:r>
      <w:r w:rsidRPr="007A274E">
        <w:rPr>
          <w:rFonts w:ascii="Book Antiqua" w:hAnsi="Book Antiqua"/>
          <w:sz w:val="24"/>
          <w:szCs w:val="32"/>
          <w:lang w:val="es-ES"/>
        </w:rPr>
        <w:tab/>
      </w:r>
      <w:r w:rsidRPr="007A274E">
        <w:rPr>
          <w:rFonts w:ascii="Book Antiqua" w:hAnsi="Book Antiqua"/>
          <w:sz w:val="24"/>
          <w:szCs w:val="32"/>
          <w:lang w:val="es-ES"/>
        </w:rPr>
        <w:tab/>
        <w:t xml:space="preserve">      Ordinaria</w:t>
      </w:r>
    </w:p>
    <w:p w14:paraId="49611E2D" w14:textId="77777777" w:rsidR="00673C93" w:rsidRPr="007A274E" w:rsidRDefault="00673C93" w:rsidP="00673C93">
      <w:pPr>
        <w:ind w:firstLine="561"/>
        <w:jc w:val="both"/>
        <w:rPr>
          <w:rFonts w:ascii="Book Antiqua" w:hAnsi="Book Antiqua"/>
          <w:sz w:val="24"/>
          <w:szCs w:val="24"/>
          <w:lang w:val="es-ES"/>
        </w:rPr>
      </w:pPr>
    </w:p>
    <w:p w14:paraId="2DCF7A71" w14:textId="77777777" w:rsidR="00673C93" w:rsidRPr="007A274E" w:rsidRDefault="00673C93" w:rsidP="00673C93">
      <w:pPr>
        <w:jc w:val="center"/>
        <w:rPr>
          <w:rFonts w:ascii="Book Antiqua" w:hAnsi="Book Antiqua"/>
          <w:b/>
          <w:sz w:val="36"/>
          <w:szCs w:val="36"/>
          <w:lang w:val="es-ES"/>
        </w:rPr>
      </w:pPr>
      <w:r w:rsidRPr="007A274E">
        <w:rPr>
          <w:rFonts w:ascii="Book Antiqua" w:hAnsi="Book Antiqua"/>
          <w:b/>
          <w:caps/>
          <w:sz w:val="36"/>
          <w:szCs w:val="36"/>
          <w:lang w:val="es-ES"/>
        </w:rPr>
        <w:t>Cámara</w:t>
      </w:r>
      <w:r w:rsidRPr="007A274E">
        <w:rPr>
          <w:rFonts w:ascii="Book Antiqua" w:hAnsi="Book Antiqua"/>
          <w:b/>
          <w:sz w:val="36"/>
          <w:szCs w:val="36"/>
          <w:lang w:val="es-ES"/>
        </w:rPr>
        <w:t xml:space="preserve"> DE REPRESENTANTES</w:t>
      </w:r>
    </w:p>
    <w:p w14:paraId="0B990F94" w14:textId="77777777" w:rsidR="00673C93" w:rsidRPr="00B079EA" w:rsidRDefault="00673C93" w:rsidP="00673C93">
      <w:pPr>
        <w:jc w:val="center"/>
        <w:rPr>
          <w:rFonts w:ascii="Book Antiqua" w:hAnsi="Book Antiqua"/>
          <w:b/>
          <w:sz w:val="24"/>
          <w:szCs w:val="24"/>
          <w:lang w:val="es-ES"/>
        </w:rPr>
      </w:pPr>
    </w:p>
    <w:p w14:paraId="09F76208" w14:textId="6C4BA8A0" w:rsidR="00673C93" w:rsidRPr="007A274E" w:rsidRDefault="00124F63" w:rsidP="00673C93">
      <w:pPr>
        <w:jc w:val="center"/>
        <w:rPr>
          <w:rFonts w:ascii="Book Antiqua" w:hAnsi="Book Antiqua"/>
          <w:b/>
          <w:szCs w:val="24"/>
          <w:lang w:val="es-ES"/>
        </w:rPr>
      </w:pPr>
      <w:r w:rsidRPr="007A274E">
        <w:rPr>
          <w:rFonts w:ascii="Book Antiqua" w:hAnsi="Book Antiqua"/>
          <w:b/>
          <w:sz w:val="52"/>
          <w:szCs w:val="52"/>
          <w:lang w:val="es-ES"/>
        </w:rPr>
        <w:t>P. de la C.</w:t>
      </w:r>
      <w:r w:rsidR="00B079EA">
        <w:rPr>
          <w:rFonts w:ascii="Book Antiqua" w:hAnsi="Book Antiqua"/>
          <w:b/>
          <w:sz w:val="52"/>
          <w:szCs w:val="52"/>
          <w:lang w:val="es-ES"/>
        </w:rPr>
        <w:t xml:space="preserve"> </w:t>
      </w:r>
      <w:r w:rsidR="00746FE1">
        <w:rPr>
          <w:rFonts w:ascii="Book Antiqua" w:hAnsi="Book Antiqua"/>
          <w:b/>
          <w:sz w:val="52"/>
          <w:szCs w:val="52"/>
          <w:lang w:val="es-ES"/>
        </w:rPr>
        <w:t>976</w:t>
      </w:r>
    </w:p>
    <w:p w14:paraId="72788866" w14:textId="77777777" w:rsidR="00673C93" w:rsidRPr="00B079EA" w:rsidRDefault="00673C93" w:rsidP="00673C93">
      <w:pPr>
        <w:jc w:val="center"/>
        <w:rPr>
          <w:rFonts w:ascii="Book Antiqua" w:hAnsi="Book Antiqua" w:cs="Arial"/>
          <w:caps/>
          <w:sz w:val="24"/>
          <w:szCs w:val="24"/>
          <w:lang w:val="es-ES"/>
        </w:rPr>
      </w:pPr>
    </w:p>
    <w:p w14:paraId="15159370" w14:textId="4C3CC97E" w:rsidR="00673C93" w:rsidRPr="007A274E" w:rsidRDefault="00217FFB" w:rsidP="00673C93">
      <w:pPr>
        <w:jc w:val="center"/>
        <w:rPr>
          <w:rFonts w:ascii="Book Antiqua" w:hAnsi="Book Antiqua" w:cs="Arial"/>
          <w:caps/>
          <w:sz w:val="24"/>
          <w:szCs w:val="32"/>
          <w:lang w:val="es-ES"/>
        </w:rPr>
      </w:pPr>
      <w:r>
        <w:rPr>
          <w:rFonts w:ascii="Book Antiqua" w:hAnsi="Book Antiqua" w:cs="Arial"/>
          <w:caps/>
          <w:sz w:val="24"/>
          <w:szCs w:val="32"/>
          <w:lang w:val="es-ES"/>
        </w:rPr>
        <w:t xml:space="preserve">12 </w:t>
      </w:r>
      <w:r w:rsidR="00C23B64" w:rsidRPr="007A274E">
        <w:rPr>
          <w:rFonts w:ascii="Book Antiqua" w:hAnsi="Book Antiqua" w:cs="Arial"/>
          <w:caps/>
          <w:sz w:val="24"/>
          <w:szCs w:val="32"/>
          <w:lang w:val="es-ES"/>
        </w:rPr>
        <w:t xml:space="preserve">de </w:t>
      </w:r>
      <w:r w:rsidR="006B0589" w:rsidRPr="007A274E">
        <w:rPr>
          <w:rFonts w:ascii="Book Antiqua" w:hAnsi="Book Antiqua" w:cs="Arial"/>
          <w:caps/>
          <w:sz w:val="24"/>
          <w:szCs w:val="32"/>
          <w:lang w:val="es-ES"/>
        </w:rPr>
        <w:t>NOVIEMBRE</w:t>
      </w:r>
      <w:r w:rsidR="00C23B64" w:rsidRPr="007A274E">
        <w:rPr>
          <w:rFonts w:ascii="Book Antiqua" w:hAnsi="Book Antiqua" w:cs="Arial"/>
          <w:caps/>
          <w:sz w:val="24"/>
          <w:szCs w:val="32"/>
          <w:lang w:val="es-ES"/>
        </w:rPr>
        <w:t xml:space="preserve"> de 2025</w:t>
      </w:r>
    </w:p>
    <w:p w14:paraId="77C5F631" w14:textId="77777777" w:rsidR="00673C93" w:rsidRPr="007A274E" w:rsidRDefault="00673C93" w:rsidP="00673C93">
      <w:pPr>
        <w:jc w:val="center"/>
        <w:rPr>
          <w:rFonts w:ascii="Book Antiqua" w:hAnsi="Book Antiqua" w:cs="Arial"/>
          <w:caps/>
          <w:sz w:val="24"/>
          <w:szCs w:val="32"/>
          <w:lang w:val="es-ES"/>
        </w:rPr>
      </w:pPr>
    </w:p>
    <w:p w14:paraId="0082B316" w14:textId="2B256201" w:rsidR="00673C93" w:rsidRPr="007A274E" w:rsidRDefault="00673C93" w:rsidP="00673C93">
      <w:pPr>
        <w:jc w:val="center"/>
        <w:rPr>
          <w:rFonts w:ascii="Book Antiqua" w:hAnsi="Book Antiqua" w:cs="Arial"/>
          <w:sz w:val="24"/>
          <w:szCs w:val="32"/>
          <w:lang w:val="es-ES"/>
        </w:rPr>
      </w:pPr>
      <w:r w:rsidRPr="007A274E">
        <w:rPr>
          <w:rFonts w:ascii="Book Antiqua" w:hAnsi="Book Antiqua" w:cs="Arial"/>
          <w:sz w:val="24"/>
          <w:szCs w:val="32"/>
          <w:lang w:val="es-ES"/>
        </w:rPr>
        <w:t xml:space="preserve">Presentado por </w:t>
      </w:r>
      <w:r w:rsidR="00217FFB">
        <w:rPr>
          <w:rFonts w:ascii="Book Antiqua" w:hAnsi="Book Antiqua" w:cs="Arial"/>
          <w:sz w:val="24"/>
          <w:szCs w:val="32"/>
          <w:lang w:val="es-ES"/>
        </w:rPr>
        <w:t>el</w:t>
      </w:r>
      <w:r w:rsidRPr="007A274E">
        <w:rPr>
          <w:rFonts w:ascii="Book Antiqua" w:hAnsi="Book Antiqua" w:cs="Arial"/>
          <w:sz w:val="24"/>
          <w:szCs w:val="32"/>
          <w:lang w:val="es-ES"/>
        </w:rPr>
        <w:t xml:space="preserve"> representante </w:t>
      </w:r>
      <w:r w:rsidR="002A1906" w:rsidRPr="002A1906">
        <w:rPr>
          <w:rFonts w:ascii="Book Antiqua" w:hAnsi="Book Antiqua" w:cs="Arial"/>
          <w:i/>
          <w:iCs/>
          <w:sz w:val="24"/>
          <w:szCs w:val="32"/>
          <w:lang w:val="es-ES"/>
        </w:rPr>
        <w:t>Nieves Rosario</w:t>
      </w:r>
    </w:p>
    <w:p w14:paraId="311CFB14" w14:textId="77777777" w:rsidR="00673C93" w:rsidRPr="007A274E" w:rsidRDefault="00673C93" w:rsidP="00673C93">
      <w:pPr>
        <w:jc w:val="center"/>
        <w:rPr>
          <w:rFonts w:ascii="Book Antiqua" w:hAnsi="Book Antiqua" w:cs="Arial"/>
          <w:sz w:val="24"/>
          <w:szCs w:val="32"/>
          <w:lang w:val="es-ES"/>
        </w:rPr>
      </w:pPr>
    </w:p>
    <w:p w14:paraId="3FD90EED" w14:textId="5D69F818" w:rsidR="00673C93" w:rsidRPr="007A274E" w:rsidRDefault="00673C93" w:rsidP="00673C93">
      <w:pPr>
        <w:jc w:val="center"/>
        <w:rPr>
          <w:rFonts w:ascii="Book Antiqua" w:hAnsi="Book Antiqua"/>
          <w:b/>
          <w:sz w:val="24"/>
          <w:szCs w:val="24"/>
          <w:lang w:val="es-ES"/>
        </w:rPr>
      </w:pPr>
      <w:r w:rsidRPr="007A274E">
        <w:rPr>
          <w:rFonts w:ascii="Book Antiqua" w:hAnsi="Book Antiqua"/>
          <w:sz w:val="24"/>
          <w:szCs w:val="24"/>
          <w:lang w:val="es-ES"/>
        </w:rPr>
        <w:t xml:space="preserve">Referido a </w:t>
      </w:r>
      <w:r w:rsidR="00911F9E" w:rsidRPr="007A274E">
        <w:rPr>
          <w:rFonts w:ascii="Book Antiqua" w:hAnsi="Book Antiqua"/>
          <w:sz w:val="24"/>
          <w:szCs w:val="24"/>
          <w:lang w:val="es-ES"/>
        </w:rPr>
        <w:t>la</w:t>
      </w:r>
      <w:r w:rsidR="006B76DC">
        <w:rPr>
          <w:rFonts w:ascii="Book Antiqua" w:hAnsi="Book Antiqua"/>
          <w:sz w:val="24"/>
          <w:szCs w:val="24"/>
          <w:lang w:val="es-ES"/>
        </w:rPr>
        <w:t>s</w:t>
      </w:r>
      <w:r w:rsidR="00911F9E" w:rsidRPr="007A274E">
        <w:rPr>
          <w:rFonts w:ascii="Book Antiqua" w:hAnsi="Book Antiqua"/>
          <w:sz w:val="24"/>
          <w:szCs w:val="24"/>
          <w:lang w:val="es-ES"/>
        </w:rPr>
        <w:t xml:space="preserve"> Comisi</w:t>
      </w:r>
      <w:r w:rsidR="006B76DC">
        <w:rPr>
          <w:rFonts w:ascii="Book Antiqua" w:hAnsi="Book Antiqua"/>
          <w:sz w:val="24"/>
          <w:szCs w:val="24"/>
          <w:lang w:val="es-ES"/>
        </w:rPr>
        <w:t>o</w:t>
      </w:r>
      <w:r w:rsidR="00911F9E" w:rsidRPr="007A274E">
        <w:rPr>
          <w:rFonts w:ascii="Book Antiqua" w:hAnsi="Book Antiqua"/>
          <w:sz w:val="24"/>
          <w:szCs w:val="24"/>
          <w:lang w:val="es-ES"/>
        </w:rPr>
        <w:t>n</w:t>
      </w:r>
      <w:r w:rsidR="006B76DC">
        <w:rPr>
          <w:rFonts w:ascii="Book Antiqua" w:hAnsi="Book Antiqua"/>
          <w:sz w:val="24"/>
          <w:szCs w:val="24"/>
          <w:lang w:val="es-ES"/>
        </w:rPr>
        <w:t>es</w:t>
      </w:r>
      <w:r w:rsidR="00911F9E" w:rsidRPr="007A274E">
        <w:rPr>
          <w:rFonts w:ascii="Book Antiqua" w:hAnsi="Book Antiqua"/>
          <w:sz w:val="24"/>
          <w:szCs w:val="24"/>
          <w:lang w:val="es-ES"/>
        </w:rPr>
        <w:t xml:space="preserve"> </w:t>
      </w:r>
      <w:r w:rsidR="00C23B64" w:rsidRPr="007A274E">
        <w:rPr>
          <w:rFonts w:ascii="Book Antiqua" w:hAnsi="Book Antiqua"/>
          <w:sz w:val="24"/>
          <w:szCs w:val="24"/>
          <w:lang w:val="es-ES"/>
        </w:rPr>
        <w:t xml:space="preserve">de </w:t>
      </w:r>
      <w:r w:rsidR="006B76DC">
        <w:rPr>
          <w:rFonts w:ascii="Book Antiqua" w:hAnsi="Book Antiqua"/>
          <w:sz w:val="24"/>
          <w:szCs w:val="24"/>
          <w:lang w:val="es-ES"/>
        </w:rPr>
        <w:t>Gobierno; y de Transportación e Infraestructura</w:t>
      </w:r>
    </w:p>
    <w:p w14:paraId="051E6538" w14:textId="77777777" w:rsidR="00673C93" w:rsidRPr="007A274E" w:rsidRDefault="00673C93" w:rsidP="00673C93">
      <w:pPr>
        <w:jc w:val="center"/>
        <w:rPr>
          <w:rFonts w:ascii="Book Antiqua" w:hAnsi="Book Antiqua"/>
          <w:b/>
          <w:sz w:val="24"/>
          <w:szCs w:val="32"/>
          <w:lang w:val="es-ES"/>
        </w:rPr>
      </w:pPr>
    </w:p>
    <w:p w14:paraId="7A1DB94E" w14:textId="77777777" w:rsidR="00673C93" w:rsidRPr="007A274E" w:rsidRDefault="00673C93" w:rsidP="00673C93">
      <w:pPr>
        <w:jc w:val="center"/>
        <w:rPr>
          <w:rFonts w:ascii="Book Antiqua" w:hAnsi="Book Antiqua"/>
          <w:b/>
          <w:sz w:val="28"/>
          <w:szCs w:val="28"/>
          <w:lang w:val="es-ES"/>
        </w:rPr>
      </w:pPr>
      <w:r w:rsidRPr="007A274E">
        <w:rPr>
          <w:rFonts w:ascii="Book Antiqua" w:hAnsi="Book Antiqua"/>
          <w:b/>
          <w:sz w:val="28"/>
          <w:szCs w:val="28"/>
          <w:lang w:val="es-ES"/>
        </w:rPr>
        <w:t>LEY</w:t>
      </w:r>
    </w:p>
    <w:p w14:paraId="615AECBB" w14:textId="77777777" w:rsidR="00673C93" w:rsidRPr="00B079EA" w:rsidRDefault="00673C93" w:rsidP="00673C93">
      <w:pPr>
        <w:jc w:val="center"/>
        <w:rPr>
          <w:rFonts w:ascii="Book Antiqua" w:hAnsi="Book Antiqua"/>
          <w:b/>
          <w:sz w:val="24"/>
          <w:szCs w:val="24"/>
          <w:lang w:val="es-ES"/>
        </w:rPr>
      </w:pPr>
    </w:p>
    <w:p w14:paraId="1B6C5DF4" w14:textId="0C9215A4" w:rsidR="003843AC" w:rsidRPr="007A274E" w:rsidRDefault="007A274E" w:rsidP="006110C4">
      <w:pPr>
        <w:pStyle w:val="BodyTextIndent2"/>
        <w:spacing w:after="0" w:line="240" w:lineRule="auto"/>
        <w:ind w:left="630" w:hanging="630"/>
        <w:jc w:val="both"/>
        <w:rPr>
          <w:rFonts w:ascii="Book Antiqua" w:hAnsi="Book Antiqua"/>
          <w:sz w:val="24"/>
          <w:szCs w:val="24"/>
          <w:lang w:val="es-ES"/>
        </w:rPr>
      </w:pPr>
      <w:r w:rsidRPr="007A274E">
        <w:rPr>
          <w:rFonts w:ascii="Book Antiqua" w:hAnsi="Book Antiqua"/>
          <w:sz w:val="24"/>
          <w:szCs w:val="24"/>
          <w:lang w:val="es-ES"/>
        </w:rPr>
        <w:t>Para crear las "Zonas de Alumbrado Público Apremiante" en rutas de alta vulnerabilidad para ciclistas y peatones; establecer un deber prioritario de mantenimiento y reparación expedita por parte del operador del sistema de transmisión y distribución de energía eléctrica en dichas zonas; y para otros fines relacionados</w:t>
      </w:r>
      <w:r w:rsidR="00B77FF1" w:rsidRPr="007A274E">
        <w:rPr>
          <w:rFonts w:ascii="Book Antiqua" w:hAnsi="Book Antiqua"/>
          <w:sz w:val="24"/>
          <w:szCs w:val="24"/>
          <w:lang w:val="es-ES"/>
        </w:rPr>
        <w:t xml:space="preserve">. </w:t>
      </w:r>
      <w:r w:rsidR="001A1640" w:rsidRPr="007A274E">
        <w:rPr>
          <w:rFonts w:ascii="Book Antiqua" w:hAnsi="Book Antiqua"/>
          <w:sz w:val="24"/>
          <w:szCs w:val="24"/>
          <w:lang w:val="es-ES"/>
        </w:rPr>
        <w:t xml:space="preserve"> </w:t>
      </w:r>
      <w:r w:rsidR="003843AC" w:rsidRPr="007A274E">
        <w:rPr>
          <w:rFonts w:ascii="Book Antiqua" w:hAnsi="Book Antiqua"/>
          <w:sz w:val="24"/>
          <w:szCs w:val="24"/>
          <w:u w:val="single"/>
          <w:lang w:val="es-ES"/>
        </w:rPr>
        <w:t xml:space="preserve"> </w:t>
      </w:r>
    </w:p>
    <w:p w14:paraId="275D1A4E" w14:textId="77777777" w:rsidR="003843AC" w:rsidRPr="007A274E" w:rsidRDefault="003843AC" w:rsidP="00BB2D32">
      <w:pPr>
        <w:pStyle w:val="BodyTextIndent2"/>
        <w:spacing w:after="0" w:line="240" w:lineRule="auto"/>
        <w:ind w:left="540" w:hanging="540"/>
        <w:jc w:val="both"/>
        <w:rPr>
          <w:rFonts w:ascii="Book Antiqua" w:hAnsi="Book Antiqua"/>
          <w:sz w:val="24"/>
          <w:szCs w:val="24"/>
          <w:lang w:val="es-ES"/>
        </w:rPr>
      </w:pPr>
    </w:p>
    <w:p w14:paraId="39C6F2CF" w14:textId="77777777" w:rsidR="00F85F88" w:rsidRPr="007A274E" w:rsidRDefault="003843AC" w:rsidP="00F85F88">
      <w:pPr>
        <w:jc w:val="center"/>
        <w:rPr>
          <w:rFonts w:ascii="Book Antiqua" w:hAnsi="Book Antiqua"/>
          <w:sz w:val="24"/>
          <w:szCs w:val="24"/>
          <w:lang w:val="es-ES"/>
        </w:rPr>
      </w:pPr>
      <w:r w:rsidRPr="007A274E">
        <w:rPr>
          <w:rFonts w:ascii="Book Antiqua" w:hAnsi="Book Antiqua"/>
          <w:sz w:val="24"/>
          <w:szCs w:val="24"/>
          <w:lang w:val="es-ES"/>
        </w:rPr>
        <w:t>EXPOSICIÓN DE MOTIVOS</w:t>
      </w:r>
    </w:p>
    <w:p w14:paraId="21E74D19" w14:textId="77777777" w:rsidR="000B5FE3" w:rsidRPr="007A274E" w:rsidRDefault="003676C0" w:rsidP="000B5FE3">
      <w:pPr>
        <w:jc w:val="both"/>
        <w:rPr>
          <w:rFonts w:ascii="Book Antiqua" w:hAnsi="Book Antiqua"/>
          <w:sz w:val="24"/>
          <w:szCs w:val="24"/>
          <w:lang w:val="es-ES"/>
        </w:rPr>
      </w:pPr>
      <w:r w:rsidRPr="007A274E">
        <w:rPr>
          <w:rFonts w:ascii="Book Antiqua" w:hAnsi="Book Antiqua"/>
          <w:sz w:val="24"/>
          <w:szCs w:val="24"/>
          <w:lang w:val="es-ES"/>
        </w:rPr>
        <w:tab/>
      </w:r>
    </w:p>
    <w:p w14:paraId="13924E61" w14:textId="77777777" w:rsidR="00936644" w:rsidRPr="00936644" w:rsidRDefault="00936644" w:rsidP="00936644">
      <w:pPr>
        <w:ind w:firstLine="720"/>
        <w:jc w:val="both"/>
        <w:rPr>
          <w:rFonts w:ascii="Book Antiqua" w:hAnsi="Book Antiqua"/>
          <w:sz w:val="24"/>
          <w:szCs w:val="24"/>
          <w:lang w:val="es-ES"/>
        </w:rPr>
      </w:pPr>
      <w:r w:rsidRPr="00936644">
        <w:rPr>
          <w:rFonts w:ascii="Book Antiqua" w:hAnsi="Book Antiqua"/>
          <w:sz w:val="24"/>
          <w:szCs w:val="24"/>
          <w:lang w:val="es-ES"/>
        </w:rPr>
        <w:t>La práctica de deportes al aire libre, como el ciclismo y el "</w:t>
      </w:r>
      <w:proofErr w:type="gramStart"/>
      <w:r w:rsidRPr="00936644">
        <w:rPr>
          <w:rFonts w:ascii="Book Antiqua" w:hAnsi="Book Antiqua"/>
          <w:sz w:val="24"/>
          <w:szCs w:val="24"/>
          <w:lang w:val="es-ES"/>
        </w:rPr>
        <w:t>jogging</w:t>
      </w:r>
      <w:proofErr w:type="gramEnd"/>
      <w:r w:rsidRPr="00936644">
        <w:rPr>
          <w:rFonts w:ascii="Book Antiqua" w:hAnsi="Book Antiqua"/>
          <w:sz w:val="24"/>
          <w:szCs w:val="24"/>
          <w:lang w:val="es-ES"/>
        </w:rPr>
        <w:t>" (correr), ha visto un crecimiento notable en Puerto Rico. Estas actividades son pilares para la salud pública, fomentando el bienestar físico y mental de nuestra ciudadanía. Quienes las practican, sin embargo, frecuentemente lo hacen en horarios de poca luz, como temprano en la mañana o al anochecer, para evitar el calor y compaginar con sus responsabilidades laborales.</w:t>
      </w:r>
    </w:p>
    <w:p w14:paraId="6ED59A5B" w14:textId="77777777" w:rsidR="00936644" w:rsidRPr="00936644" w:rsidRDefault="00936644" w:rsidP="00936644">
      <w:pPr>
        <w:ind w:firstLine="720"/>
        <w:jc w:val="both"/>
        <w:rPr>
          <w:rFonts w:ascii="Book Antiqua" w:hAnsi="Book Antiqua"/>
          <w:sz w:val="24"/>
          <w:szCs w:val="24"/>
          <w:lang w:val="es-ES"/>
        </w:rPr>
      </w:pPr>
    </w:p>
    <w:p w14:paraId="138F7AF7" w14:textId="77777777" w:rsidR="00936644" w:rsidRPr="00936644" w:rsidRDefault="00936644" w:rsidP="00936644">
      <w:pPr>
        <w:ind w:firstLine="720"/>
        <w:jc w:val="both"/>
        <w:rPr>
          <w:rFonts w:ascii="Book Antiqua" w:hAnsi="Book Antiqua"/>
          <w:sz w:val="24"/>
          <w:szCs w:val="24"/>
          <w:lang w:val="es-ES"/>
        </w:rPr>
      </w:pPr>
      <w:r w:rsidRPr="00936644">
        <w:rPr>
          <w:rFonts w:ascii="Book Antiqua" w:hAnsi="Book Antiqua"/>
          <w:sz w:val="24"/>
          <w:szCs w:val="24"/>
          <w:lang w:val="es-ES"/>
        </w:rPr>
        <w:t>Esta realidad los expone a un riesgo desproporcionado en nuestras vías públicas. La falta de un alumbrado público funcional y confiable en estas rutas se convierte en un factor determinante entre la seguridad y la tragedia. Las estadísticas recientes son alarmantes y exigen acción legislativa inmediata. Durante el año 2024, se reportó la trágica cifra de 37 ciclistas fallecidos en las carreteras de la isla, y para marzo de 2025, ya se contabilizaban 8 fatalidades adicionales.</w:t>
      </w:r>
    </w:p>
    <w:p w14:paraId="026D0A69" w14:textId="77777777" w:rsidR="00936644" w:rsidRPr="00936644" w:rsidRDefault="00936644" w:rsidP="00936644">
      <w:pPr>
        <w:ind w:firstLine="720"/>
        <w:jc w:val="both"/>
        <w:rPr>
          <w:rFonts w:ascii="Book Antiqua" w:hAnsi="Book Antiqua"/>
          <w:sz w:val="24"/>
          <w:szCs w:val="24"/>
          <w:lang w:val="es-ES"/>
        </w:rPr>
      </w:pPr>
    </w:p>
    <w:p w14:paraId="0DB320F2" w14:textId="77777777" w:rsidR="00506AD5" w:rsidRDefault="00936644" w:rsidP="00936644">
      <w:pPr>
        <w:ind w:firstLine="720"/>
        <w:jc w:val="both"/>
        <w:rPr>
          <w:rFonts w:ascii="Book Antiqua" w:hAnsi="Book Antiqua"/>
          <w:sz w:val="24"/>
          <w:szCs w:val="24"/>
          <w:lang w:val="es-ES"/>
        </w:rPr>
      </w:pPr>
      <w:r w:rsidRPr="00936644">
        <w:rPr>
          <w:rFonts w:ascii="Book Antiqua" w:hAnsi="Book Antiqua"/>
          <w:sz w:val="24"/>
          <w:szCs w:val="24"/>
          <w:lang w:val="es-ES"/>
        </w:rPr>
        <w:t xml:space="preserve">Estos números no son abstractos; representan vidas perdidas, como la de la respetada triatleta arrollada mortalmente en </w:t>
      </w:r>
      <w:proofErr w:type="spellStart"/>
      <w:r w:rsidRPr="00936644">
        <w:rPr>
          <w:rFonts w:ascii="Book Antiqua" w:hAnsi="Book Antiqua"/>
          <w:sz w:val="24"/>
          <w:szCs w:val="24"/>
          <w:lang w:val="es-ES"/>
        </w:rPr>
        <w:t>Toa</w:t>
      </w:r>
      <w:proofErr w:type="spellEnd"/>
      <w:r w:rsidRPr="00936644">
        <w:rPr>
          <w:rFonts w:ascii="Book Antiqua" w:hAnsi="Book Antiqua"/>
          <w:sz w:val="24"/>
          <w:szCs w:val="24"/>
          <w:lang w:val="es-ES"/>
        </w:rPr>
        <w:t xml:space="preserve"> Baja en febrero de 2025. En muchos de estos incidentes, la falta de iluminación es un factor contribuyente crítico. Por ejemplo, </w:t>
      </w:r>
      <w:r w:rsidRPr="00936644">
        <w:rPr>
          <w:rFonts w:ascii="Book Antiqua" w:hAnsi="Book Antiqua"/>
          <w:sz w:val="24"/>
          <w:szCs w:val="24"/>
          <w:lang w:val="es-ES"/>
        </w:rPr>
        <w:lastRenderedPageBreak/>
        <w:t>tras un accidente fatal de un ciclista en Humacao en 2024, los residentes de la comunidad criticaron específicamente la falta de alumbrado en la carretera como una causa directa del peligro. La situación ha generado tal alarma que ha motivado la convocatoria de cumbres de seguridad para buscar soluciones urgentes.</w:t>
      </w:r>
    </w:p>
    <w:p w14:paraId="11123011" w14:textId="77777777" w:rsidR="00506AD5" w:rsidRDefault="00506AD5" w:rsidP="00F658AF">
      <w:pPr>
        <w:ind w:firstLine="720"/>
        <w:jc w:val="both"/>
        <w:rPr>
          <w:rFonts w:ascii="Book Antiqua" w:hAnsi="Book Antiqua"/>
          <w:sz w:val="24"/>
          <w:szCs w:val="24"/>
          <w:lang w:val="es-ES"/>
        </w:rPr>
      </w:pPr>
    </w:p>
    <w:p w14:paraId="5C60E441" w14:textId="102CFA62" w:rsidR="00506AD5" w:rsidRPr="00506AD5" w:rsidRDefault="00506AD5" w:rsidP="00506AD5">
      <w:pPr>
        <w:ind w:firstLine="720"/>
        <w:jc w:val="both"/>
        <w:rPr>
          <w:rFonts w:ascii="Book Antiqua" w:hAnsi="Book Antiqua"/>
          <w:sz w:val="24"/>
          <w:szCs w:val="24"/>
          <w:lang w:val="es-ES"/>
        </w:rPr>
      </w:pPr>
      <w:r w:rsidRPr="00506AD5">
        <w:rPr>
          <w:rFonts w:ascii="Book Antiqua" w:hAnsi="Book Antiqua"/>
          <w:sz w:val="24"/>
          <w:szCs w:val="24"/>
          <w:lang w:val="es-ES"/>
        </w:rPr>
        <w:t>El inventario de luminarias en Puerto Rico incluye luminarias decorativas, que pueden ser propiedad de cada municipio o entidades privadas. Además, existen luminarias en tramos de carreteras que son propiedad del Departamento de Transportación y Obras Públicas y otras entidades.</w:t>
      </w:r>
      <w:r w:rsidR="00E766AE">
        <w:rPr>
          <w:rFonts w:ascii="Book Antiqua" w:hAnsi="Book Antiqua"/>
          <w:sz w:val="24"/>
          <w:szCs w:val="24"/>
          <w:lang w:val="es-ES"/>
        </w:rPr>
        <w:t xml:space="preserve"> Por otro lado, </w:t>
      </w:r>
      <w:r w:rsidR="00E766AE" w:rsidRPr="00E766AE">
        <w:rPr>
          <w:rFonts w:ascii="Book Antiqua" w:hAnsi="Book Antiqua"/>
          <w:sz w:val="24"/>
          <w:szCs w:val="24"/>
          <w:lang w:val="es-ES"/>
        </w:rPr>
        <w:t>LUMA ha implementado su "Iniciativa de Alumbrado Público Comunitario" para la modernización y reemplazo de luminarias. Si bien esta iniciativa es un paso positivo, opera como un programa de reemplazo general y carece de un mecanismo de priorización basado en el riesgo inminente a la seguridad pública. Una luminaria inoperante en una zona industrial no puede tener la misma prioridad que una en una ruta concurrida por corredores y ciclistas.</w:t>
      </w:r>
    </w:p>
    <w:p w14:paraId="496F10DF" w14:textId="319363A8" w:rsidR="00EB49EF" w:rsidRPr="007A274E" w:rsidRDefault="003676C0" w:rsidP="00EB49EF">
      <w:pPr>
        <w:jc w:val="both"/>
        <w:rPr>
          <w:rFonts w:ascii="Book Antiqua" w:hAnsi="Book Antiqua"/>
          <w:sz w:val="24"/>
          <w:szCs w:val="24"/>
          <w:lang w:val="es-ES"/>
        </w:rPr>
      </w:pPr>
      <w:r w:rsidRPr="007A274E">
        <w:rPr>
          <w:rFonts w:ascii="Book Antiqua" w:hAnsi="Book Antiqua"/>
          <w:sz w:val="24"/>
          <w:szCs w:val="24"/>
          <w:lang w:val="es-ES"/>
        </w:rPr>
        <w:tab/>
      </w:r>
    </w:p>
    <w:p w14:paraId="508769C2" w14:textId="2D4EA56D" w:rsidR="003843AC" w:rsidRPr="007A274E" w:rsidRDefault="005A27CB" w:rsidP="00B079EA">
      <w:pPr>
        <w:suppressAutoHyphens/>
        <w:spacing w:line="480" w:lineRule="auto"/>
        <w:jc w:val="both"/>
        <w:rPr>
          <w:rFonts w:ascii="Book Antiqua" w:hAnsi="Book Antiqua"/>
          <w:i/>
          <w:sz w:val="24"/>
          <w:szCs w:val="24"/>
          <w:lang w:val="es-ES"/>
        </w:rPr>
      </w:pPr>
      <w:r w:rsidRPr="007A274E">
        <w:rPr>
          <w:rFonts w:ascii="Book Antiqua" w:hAnsi="Book Antiqua"/>
          <w:i/>
          <w:sz w:val="24"/>
          <w:szCs w:val="24"/>
          <w:lang w:val="es-ES"/>
        </w:rPr>
        <w:t>DECR</w:t>
      </w:r>
      <w:r w:rsidR="00A269A9">
        <w:rPr>
          <w:rFonts w:ascii="Book Antiqua" w:hAnsi="Book Antiqua"/>
          <w:i/>
          <w:sz w:val="24"/>
          <w:szCs w:val="24"/>
          <w:lang w:val="es-ES"/>
        </w:rPr>
        <w:t>É</w:t>
      </w:r>
      <w:r w:rsidRPr="007A274E">
        <w:rPr>
          <w:rFonts w:ascii="Book Antiqua" w:hAnsi="Book Antiqua"/>
          <w:i/>
          <w:sz w:val="24"/>
          <w:szCs w:val="24"/>
          <w:lang w:val="es-ES"/>
        </w:rPr>
        <w:t>T</w:t>
      </w:r>
      <w:r w:rsidR="00A269A9">
        <w:rPr>
          <w:rFonts w:ascii="Book Antiqua" w:hAnsi="Book Antiqua"/>
          <w:i/>
          <w:sz w:val="24"/>
          <w:szCs w:val="24"/>
          <w:lang w:val="es-ES"/>
        </w:rPr>
        <w:t>A</w:t>
      </w:r>
      <w:r w:rsidR="003843AC" w:rsidRPr="007A274E">
        <w:rPr>
          <w:rFonts w:ascii="Book Antiqua" w:hAnsi="Book Antiqua"/>
          <w:i/>
          <w:sz w:val="24"/>
          <w:szCs w:val="24"/>
          <w:lang w:val="es-ES"/>
        </w:rPr>
        <w:t>SE POR LA</w:t>
      </w:r>
      <w:r w:rsidR="00A63B84" w:rsidRPr="007A274E">
        <w:rPr>
          <w:rFonts w:ascii="Book Antiqua" w:hAnsi="Book Antiqua"/>
          <w:i/>
          <w:sz w:val="24"/>
          <w:szCs w:val="24"/>
          <w:lang w:val="es-ES"/>
        </w:rPr>
        <w:t xml:space="preserve"> </w:t>
      </w:r>
      <w:r w:rsidR="00700BEC" w:rsidRPr="007A274E">
        <w:rPr>
          <w:rFonts w:ascii="Book Antiqua" w:hAnsi="Book Antiqua"/>
          <w:i/>
          <w:sz w:val="24"/>
          <w:szCs w:val="24"/>
          <w:lang w:val="es-ES"/>
        </w:rPr>
        <w:t>ASAMBLEA LEGISLATIVA DE PUERTO RICO</w:t>
      </w:r>
      <w:r w:rsidR="003843AC" w:rsidRPr="007A274E">
        <w:rPr>
          <w:rFonts w:ascii="Book Antiqua" w:hAnsi="Book Antiqua"/>
          <w:i/>
          <w:sz w:val="24"/>
          <w:szCs w:val="24"/>
          <w:lang w:val="es-ES"/>
        </w:rPr>
        <w:t>:</w:t>
      </w:r>
    </w:p>
    <w:p w14:paraId="75F11150" w14:textId="77777777" w:rsidR="003843AC" w:rsidRPr="007A274E" w:rsidRDefault="003843AC" w:rsidP="00B079EA">
      <w:pPr>
        <w:pStyle w:val="BodyTextIndent"/>
        <w:spacing w:after="0" w:line="480" w:lineRule="auto"/>
        <w:ind w:left="0" w:firstLine="720"/>
        <w:jc w:val="both"/>
        <w:rPr>
          <w:rFonts w:ascii="Book Antiqua" w:hAnsi="Book Antiqua"/>
          <w:sz w:val="24"/>
          <w:szCs w:val="24"/>
          <w:lang w:val="es-ES"/>
        </w:rPr>
        <w:sectPr w:rsidR="003843AC" w:rsidRPr="007A274E" w:rsidSect="00BB2D32">
          <w:headerReference w:type="even" r:id="rId7"/>
          <w:headerReference w:type="default" r:id="rId8"/>
          <w:type w:val="continuous"/>
          <w:pgSz w:w="12240" w:h="15840" w:code="1"/>
          <w:pgMar w:top="1440" w:right="1440" w:bottom="1440" w:left="1440" w:header="720" w:footer="720" w:gutter="0"/>
          <w:cols w:space="720"/>
          <w:titlePg/>
        </w:sectPr>
      </w:pPr>
    </w:p>
    <w:p w14:paraId="077BDC82" w14:textId="77777777" w:rsidR="007D2926" w:rsidRDefault="007D2926" w:rsidP="00B079EA">
      <w:pPr>
        <w:pStyle w:val="BodyTextIndent2"/>
        <w:spacing w:after="0"/>
        <w:ind w:left="0" w:firstLine="720"/>
        <w:jc w:val="both"/>
        <w:rPr>
          <w:rFonts w:ascii="Book Antiqua" w:hAnsi="Book Antiqua"/>
          <w:sz w:val="24"/>
          <w:szCs w:val="24"/>
          <w:lang w:val="es-ES"/>
        </w:rPr>
      </w:pPr>
      <w:r w:rsidRPr="007D2926">
        <w:rPr>
          <w:rFonts w:ascii="Book Antiqua" w:hAnsi="Book Antiqua"/>
          <w:sz w:val="24"/>
          <w:szCs w:val="24"/>
          <w:lang w:val="es-ES"/>
        </w:rPr>
        <w:t>Artículo 1.- Esta Ley se conocerá como la "Ley de Zonas de Alumbrado Público Apremiante para la Seguridad Vial".</w:t>
      </w:r>
    </w:p>
    <w:p w14:paraId="7939F795" w14:textId="77777777" w:rsidR="00046683" w:rsidRDefault="007D2926" w:rsidP="00B079EA">
      <w:pPr>
        <w:pStyle w:val="BodyTextIndent2"/>
        <w:spacing w:after="0"/>
        <w:ind w:left="0" w:firstLine="720"/>
        <w:jc w:val="both"/>
        <w:rPr>
          <w:rFonts w:ascii="Book Antiqua" w:hAnsi="Book Antiqua"/>
          <w:sz w:val="24"/>
          <w:szCs w:val="24"/>
          <w:lang w:val="es-ES"/>
        </w:rPr>
      </w:pPr>
      <w:r w:rsidRPr="007D2926">
        <w:rPr>
          <w:rFonts w:ascii="Book Antiqua" w:hAnsi="Book Antiqua"/>
          <w:sz w:val="24"/>
          <w:szCs w:val="24"/>
          <w:lang w:val="es-ES"/>
        </w:rPr>
        <w:t>Artículo 2.- El propósito principal de esta Ley es reducir la incidencia de accidentes y fatalidades de ciclistas y peatones (corredores) en las vías públicas, mediante la creación de zonas donde el mantenimiento y la reparación del alumbrado público sean considerados de máxima prioridad y de ejecución expedita.</w:t>
      </w:r>
    </w:p>
    <w:p w14:paraId="798FFBBF" w14:textId="77777777" w:rsidR="00896CEF" w:rsidRDefault="00564B76" w:rsidP="00B079EA">
      <w:pPr>
        <w:pStyle w:val="BodyTextIndent2"/>
        <w:spacing w:after="0"/>
        <w:ind w:left="0" w:firstLine="720"/>
        <w:jc w:val="both"/>
        <w:rPr>
          <w:rFonts w:ascii="Book Antiqua" w:hAnsi="Book Antiqua"/>
          <w:sz w:val="24"/>
          <w:szCs w:val="24"/>
          <w:lang w:val="es-ES"/>
        </w:rPr>
      </w:pPr>
      <w:r>
        <w:rPr>
          <w:rFonts w:ascii="Book Antiqua" w:hAnsi="Book Antiqua"/>
          <w:sz w:val="24"/>
          <w:szCs w:val="24"/>
          <w:lang w:val="es-ES"/>
        </w:rPr>
        <w:t xml:space="preserve">Artículo 3.- </w:t>
      </w:r>
      <w:r w:rsidRPr="00564B76">
        <w:rPr>
          <w:rFonts w:ascii="Book Antiqua" w:hAnsi="Book Antiqua"/>
          <w:sz w:val="24"/>
          <w:szCs w:val="24"/>
          <w:lang w:val="es-ES"/>
        </w:rPr>
        <w:t xml:space="preserve">Designación de Zonas de Alumbrado Público Apremiante (ZAPA). </w:t>
      </w:r>
    </w:p>
    <w:p w14:paraId="07EE3608" w14:textId="7D7B2D90" w:rsidR="00D556C2" w:rsidRDefault="00564B76" w:rsidP="00B079EA">
      <w:pPr>
        <w:pStyle w:val="BodyTextIndent2"/>
        <w:spacing w:after="0"/>
        <w:ind w:left="0" w:firstLine="720"/>
        <w:jc w:val="both"/>
        <w:rPr>
          <w:rFonts w:ascii="Book Antiqua" w:hAnsi="Book Antiqua"/>
          <w:sz w:val="24"/>
          <w:szCs w:val="24"/>
          <w:lang w:val="es-ES"/>
        </w:rPr>
      </w:pPr>
      <w:r w:rsidRPr="00564B76">
        <w:rPr>
          <w:rFonts w:ascii="Book Antiqua" w:hAnsi="Book Antiqua"/>
          <w:sz w:val="24"/>
          <w:szCs w:val="24"/>
          <w:lang w:val="es-ES"/>
        </w:rPr>
        <w:t xml:space="preserve">Se autoriza a cada Municipio a designar, mediante Ordenanza Municipal, las "Zonas de Alumbrado Público Apremiante" dentro de su jurisdicción. </w:t>
      </w:r>
    </w:p>
    <w:p w14:paraId="0D46684A" w14:textId="77777777" w:rsidR="00D556C2" w:rsidRDefault="00564B76" w:rsidP="00B079EA">
      <w:pPr>
        <w:pStyle w:val="BodyTextIndent2"/>
        <w:spacing w:after="0"/>
        <w:ind w:left="0" w:firstLine="720"/>
        <w:jc w:val="both"/>
        <w:rPr>
          <w:rFonts w:ascii="Book Antiqua" w:hAnsi="Book Antiqua"/>
          <w:sz w:val="24"/>
          <w:szCs w:val="24"/>
          <w:lang w:val="es-ES"/>
        </w:rPr>
      </w:pPr>
      <w:r w:rsidRPr="00564B76">
        <w:rPr>
          <w:rFonts w:ascii="Book Antiqua" w:hAnsi="Book Antiqua"/>
          <w:sz w:val="24"/>
          <w:szCs w:val="24"/>
          <w:lang w:val="es-ES"/>
        </w:rPr>
        <w:t xml:space="preserve">La designación deberá incluir una descripción detallada de la ruta, especificando los puntos de inicio y fin, nombres de las vías, y, de ser posible, coordenadas GPS de las luminarias incluidas. </w:t>
      </w:r>
    </w:p>
    <w:p w14:paraId="0B6F6B84" w14:textId="5EB984B2" w:rsidR="00D556C2" w:rsidRDefault="00564B76" w:rsidP="00B079EA">
      <w:pPr>
        <w:pStyle w:val="BodyTextIndent2"/>
        <w:spacing w:after="0"/>
        <w:ind w:left="0" w:firstLine="720"/>
        <w:jc w:val="both"/>
        <w:rPr>
          <w:rFonts w:ascii="Book Antiqua" w:hAnsi="Book Antiqua"/>
          <w:sz w:val="24"/>
          <w:szCs w:val="24"/>
          <w:lang w:val="es-ES"/>
        </w:rPr>
      </w:pPr>
      <w:r w:rsidRPr="00564B76">
        <w:rPr>
          <w:rFonts w:ascii="Book Antiqua" w:hAnsi="Book Antiqua"/>
          <w:sz w:val="24"/>
          <w:szCs w:val="24"/>
          <w:lang w:val="es-ES"/>
        </w:rPr>
        <w:t xml:space="preserve">El Municipio notificará la designación de toda ZAPA, adjuntando la Ordenanza </w:t>
      </w:r>
      <w:r w:rsidRPr="00564B76">
        <w:rPr>
          <w:rFonts w:ascii="Book Antiqua" w:hAnsi="Book Antiqua"/>
          <w:sz w:val="24"/>
          <w:szCs w:val="24"/>
          <w:lang w:val="es-ES"/>
        </w:rPr>
        <w:lastRenderedPageBreak/>
        <w:t>Municipal y la descripción de la ruta, al Operador del Sistema</w:t>
      </w:r>
      <w:r w:rsidR="001E4227">
        <w:rPr>
          <w:rFonts w:ascii="Book Antiqua" w:hAnsi="Book Antiqua"/>
          <w:sz w:val="24"/>
          <w:szCs w:val="24"/>
          <w:lang w:val="es-ES"/>
        </w:rPr>
        <w:t xml:space="preserve"> </w:t>
      </w:r>
      <w:r w:rsidR="00065852">
        <w:rPr>
          <w:rFonts w:ascii="Book Antiqua" w:hAnsi="Book Antiqua"/>
          <w:sz w:val="24"/>
          <w:szCs w:val="24"/>
          <w:lang w:val="es-ES"/>
        </w:rPr>
        <w:t>de energía eléctrica</w:t>
      </w:r>
      <w:r w:rsidR="00D556C2">
        <w:rPr>
          <w:rFonts w:ascii="Book Antiqua" w:hAnsi="Book Antiqua"/>
          <w:sz w:val="24"/>
          <w:szCs w:val="24"/>
          <w:lang w:val="es-ES"/>
        </w:rPr>
        <w:t xml:space="preserve"> y</w:t>
      </w:r>
      <w:r w:rsidR="00065852">
        <w:rPr>
          <w:rFonts w:ascii="Book Antiqua" w:hAnsi="Book Antiqua"/>
          <w:sz w:val="24"/>
          <w:szCs w:val="24"/>
          <w:lang w:val="es-ES"/>
        </w:rPr>
        <w:t xml:space="preserve"> </w:t>
      </w:r>
      <w:r w:rsidR="001E4227">
        <w:rPr>
          <w:rFonts w:ascii="Book Antiqua" w:hAnsi="Book Antiqua"/>
          <w:sz w:val="24"/>
          <w:szCs w:val="24"/>
          <w:lang w:val="es-ES"/>
        </w:rPr>
        <w:t>titular de las luminarias</w:t>
      </w:r>
      <w:r w:rsidRPr="00564B76">
        <w:rPr>
          <w:rFonts w:ascii="Book Antiqua" w:hAnsi="Book Antiqua"/>
          <w:sz w:val="24"/>
          <w:szCs w:val="24"/>
          <w:lang w:val="es-ES"/>
        </w:rPr>
        <w:t xml:space="preserve"> dentro de los diez (10) días laborables posteriores a su aprobación.</w:t>
      </w:r>
    </w:p>
    <w:p w14:paraId="74E3A056" w14:textId="33BC646D" w:rsidR="00896CEF" w:rsidRDefault="00896CEF" w:rsidP="00B079EA">
      <w:pPr>
        <w:pStyle w:val="BodyTextIndent2"/>
        <w:spacing w:after="0"/>
        <w:ind w:left="0" w:firstLine="720"/>
        <w:jc w:val="both"/>
        <w:rPr>
          <w:rFonts w:ascii="Book Antiqua" w:hAnsi="Book Antiqua"/>
          <w:sz w:val="24"/>
          <w:szCs w:val="24"/>
          <w:lang w:val="es-ES"/>
        </w:rPr>
      </w:pPr>
      <w:r>
        <w:rPr>
          <w:rFonts w:ascii="Book Antiqua" w:hAnsi="Book Antiqua"/>
          <w:sz w:val="24"/>
          <w:szCs w:val="24"/>
          <w:lang w:val="es-ES"/>
        </w:rPr>
        <w:t xml:space="preserve">Artículo 4.- </w:t>
      </w:r>
      <w:r w:rsidR="000C1AC1" w:rsidRPr="000C1AC1">
        <w:rPr>
          <w:rFonts w:ascii="Book Antiqua" w:hAnsi="Book Antiqua"/>
          <w:sz w:val="24"/>
          <w:szCs w:val="24"/>
          <w:lang w:val="es-ES"/>
        </w:rPr>
        <w:t xml:space="preserve">Deber de Mantenimiento Apremiante. </w:t>
      </w:r>
    </w:p>
    <w:p w14:paraId="6AB439E3" w14:textId="5873B421" w:rsidR="00896CEF" w:rsidRDefault="000C1AC1" w:rsidP="00B079EA">
      <w:pPr>
        <w:pStyle w:val="BodyTextIndent2"/>
        <w:spacing w:after="0"/>
        <w:ind w:left="0" w:firstLine="720"/>
        <w:jc w:val="both"/>
        <w:rPr>
          <w:rFonts w:ascii="Book Antiqua" w:hAnsi="Book Antiqua"/>
          <w:sz w:val="24"/>
          <w:szCs w:val="24"/>
          <w:lang w:val="es-ES"/>
        </w:rPr>
      </w:pPr>
      <w:r w:rsidRPr="000C1AC1">
        <w:rPr>
          <w:rFonts w:ascii="Book Antiqua" w:hAnsi="Book Antiqua"/>
          <w:sz w:val="24"/>
          <w:szCs w:val="24"/>
          <w:lang w:val="es-ES"/>
        </w:rPr>
        <w:t>Una vez notificada la designación de una ZAPA, el Operador del Sistema</w:t>
      </w:r>
      <w:r w:rsidR="00896CEF">
        <w:rPr>
          <w:rFonts w:ascii="Book Antiqua" w:hAnsi="Book Antiqua"/>
          <w:sz w:val="24"/>
          <w:szCs w:val="24"/>
          <w:lang w:val="es-ES"/>
        </w:rPr>
        <w:t xml:space="preserve"> y/o titular</w:t>
      </w:r>
      <w:r w:rsidRPr="000C1AC1">
        <w:rPr>
          <w:rFonts w:ascii="Book Antiqua" w:hAnsi="Book Antiqua"/>
          <w:sz w:val="24"/>
          <w:szCs w:val="24"/>
          <w:lang w:val="es-ES"/>
        </w:rPr>
        <w:t xml:space="preserve"> </w:t>
      </w:r>
      <w:r w:rsidR="00896CEF">
        <w:rPr>
          <w:rFonts w:ascii="Book Antiqua" w:hAnsi="Book Antiqua"/>
          <w:sz w:val="24"/>
          <w:szCs w:val="24"/>
          <w:lang w:val="es-ES"/>
        </w:rPr>
        <w:t xml:space="preserve">de las luminarias </w:t>
      </w:r>
      <w:r w:rsidRPr="000C1AC1">
        <w:rPr>
          <w:rFonts w:ascii="Book Antiqua" w:hAnsi="Book Antiqua"/>
          <w:sz w:val="24"/>
          <w:szCs w:val="24"/>
          <w:lang w:val="es-ES"/>
        </w:rPr>
        <w:t xml:space="preserve">tendrá el deber de inspeccionar y mantener el alumbrado público en dicha zona con carácter prioritario y apremiante. </w:t>
      </w:r>
    </w:p>
    <w:p w14:paraId="59F75568" w14:textId="0E08526B" w:rsidR="000C1AC1" w:rsidRDefault="000C1AC1" w:rsidP="00B079EA">
      <w:pPr>
        <w:pStyle w:val="BodyTextIndent2"/>
        <w:spacing w:after="0"/>
        <w:ind w:left="0" w:firstLine="720"/>
        <w:jc w:val="both"/>
        <w:rPr>
          <w:rFonts w:ascii="Book Antiqua" w:hAnsi="Book Antiqua"/>
          <w:sz w:val="24"/>
          <w:szCs w:val="24"/>
          <w:lang w:val="es-ES"/>
        </w:rPr>
      </w:pPr>
      <w:r w:rsidRPr="000C1AC1">
        <w:rPr>
          <w:rFonts w:ascii="Book Antiqua" w:hAnsi="Book Antiqua"/>
          <w:sz w:val="24"/>
          <w:szCs w:val="24"/>
          <w:lang w:val="es-ES"/>
        </w:rPr>
        <w:t xml:space="preserve">A partir de la notificación de una luminaria inoperante o defectuosa dentro de una ZAPA, sea por parte de un ciudadano o del Municipio, el Operador del </w:t>
      </w:r>
      <w:r w:rsidR="00B079EA" w:rsidRPr="000C1AC1">
        <w:rPr>
          <w:rFonts w:ascii="Book Antiqua" w:hAnsi="Book Antiqua"/>
          <w:sz w:val="24"/>
          <w:szCs w:val="24"/>
          <w:lang w:val="es-ES"/>
        </w:rPr>
        <w:t xml:space="preserve">Sistema </w:t>
      </w:r>
      <w:r w:rsidR="00B079EA">
        <w:rPr>
          <w:rFonts w:ascii="Book Antiqua" w:hAnsi="Book Antiqua"/>
          <w:sz w:val="24"/>
          <w:szCs w:val="24"/>
          <w:lang w:val="es-ES"/>
        </w:rPr>
        <w:t>y</w:t>
      </w:r>
      <w:r w:rsidR="00BD6AF5">
        <w:rPr>
          <w:rFonts w:ascii="Book Antiqua" w:hAnsi="Book Antiqua"/>
          <w:sz w:val="24"/>
          <w:szCs w:val="24"/>
          <w:lang w:val="es-ES"/>
        </w:rPr>
        <w:t xml:space="preserve">/o titular </w:t>
      </w:r>
      <w:r w:rsidRPr="000C1AC1">
        <w:rPr>
          <w:rFonts w:ascii="Book Antiqua" w:hAnsi="Book Antiqua"/>
          <w:sz w:val="24"/>
          <w:szCs w:val="24"/>
          <w:lang w:val="es-ES"/>
        </w:rPr>
        <w:t>deberá completar la reparación y puesta en funcionamiento de dicha luminaria en un término que no excederá las setenta y dos (72) horas (3 días laborables).</w:t>
      </w:r>
    </w:p>
    <w:p w14:paraId="4204CB5B" w14:textId="244279AE" w:rsidR="003676C0" w:rsidRPr="007A274E" w:rsidRDefault="000A5F5D" w:rsidP="00B079EA">
      <w:pPr>
        <w:pStyle w:val="BodyTextIndent2"/>
        <w:spacing w:after="0"/>
        <w:ind w:left="720"/>
        <w:jc w:val="both"/>
        <w:rPr>
          <w:rFonts w:ascii="Book Antiqua" w:hAnsi="Book Antiqua"/>
          <w:sz w:val="24"/>
          <w:szCs w:val="24"/>
          <w:lang w:val="es-ES"/>
        </w:rPr>
      </w:pPr>
      <w:r w:rsidRPr="007A274E">
        <w:rPr>
          <w:rFonts w:ascii="Book Antiqua" w:hAnsi="Book Antiqua"/>
          <w:sz w:val="24"/>
          <w:szCs w:val="24"/>
          <w:lang w:val="es-ES"/>
        </w:rPr>
        <w:t xml:space="preserve">Artículo </w:t>
      </w:r>
      <w:r w:rsidR="00312DC6">
        <w:rPr>
          <w:rFonts w:ascii="Book Antiqua" w:hAnsi="Book Antiqua"/>
          <w:sz w:val="24"/>
          <w:szCs w:val="24"/>
          <w:lang w:val="es-ES"/>
        </w:rPr>
        <w:t>5</w:t>
      </w:r>
      <w:r w:rsidR="003676C0" w:rsidRPr="007A274E">
        <w:rPr>
          <w:rFonts w:ascii="Book Antiqua" w:hAnsi="Book Antiqua"/>
          <w:sz w:val="24"/>
          <w:szCs w:val="24"/>
          <w:lang w:val="es-ES"/>
        </w:rPr>
        <w:t xml:space="preserve">.-Cláusula de Separabilidad </w:t>
      </w:r>
    </w:p>
    <w:p w14:paraId="4CFA2CE9" w14:textId="77777777" w:rsidR="003676C0" w:rsidRPr="007A274E" w:rsidRDefault="003676C0" w:rsidP="00B079EA">
      <w:pPr>
        <w:pStyle w:val="BodyTextIndent2"/>
        <w:spacing w:after="0"/>
        <w:ind w:left="0" w:firstLine="720"/>
        <w:jc w:val="both"/>
        <w:rPr>
          <w:rFonts w:ascii="Book Antiqua" w:hAnsi="Book Antiqua"/>
          <w:sz w:val="24"/>
          <w:szCs w:val="24"/>
          <w:lang w:val="es-ES"/>
        </w:rPr>
      </w:pPr>
      <w:r w:rsidRPr="007A274E">
        <w:rPr>
          <w:rFonts w:ascii="Book Antiqua" w:hAnsi="Book Antiqua"/>
          <w:sz w:val="24"/>
          <w:szCs w:val="24"/>
          <w:lang w:val="es-ES"/>
        </w:rPr>
        <w:t xml:space="preserve">Si alguna cláusula, párrafo, artículo, o parte de esta Ley fuera declarada nula o inconstitucional por un tribunal con jurisdicción competente, tal sentencia o resolución dictada al efecto, no invalidará las demás disposiciones de esta Ley. </w:t>
      </w:r>
    </w:p>
    <w:p w14:paraId="3499D218" w14:textId="28613198" w:rsidR="00FA67AD" w:rsidRPr="007A274E" w:rsidRDefault="000A5F5D" w:rsidP="00B079EA">
      <w:pPr>
        <w:pStyle w:val="BodyTextIndent2"/>
        <w:spacing w:after="0"/>
        <w:ind w:left="0" w:firstLine="720"/>
        <w:jc w:val="both"/>
        <w:rPr>
          <w:rFonts w:ascii="Book Antiqua" w:hAnsi="Book Antiqua"/>
          <w:sz w:val="24"/>
          <w:szCs w:val="24"/>
          <w:lang w:val="es-ES"/>
        </w:rPr>
      </w:pPr>
      <w:r w:rsidRPr="007A274E">
        <w:rPr>
          <w:rFonts w:ascii="Book Antiqua" w:hAnsi="Book Antiqua"/>
          <w:sz w:val="24"/>
          <w:szCs w:val="24"/>
          <w:lang w:val="es-ES"/>
        </w:rPr>
        <w:t xml:space="preserve">Artículo </w:t>
      </w:r>
      <w:r w:rsidR="00312DC6">
        <w:rPr>
          <w:rFonts w:ascii="Book Antiqua" w:hAnsi="Book Antiqua"/>
          <w:sz w:val="24"/>
          <w:szCs w:val="24"/>
          <w:lang w:val="es-ES"/>
        </w:rPr>
        <w:t>6</w:t>
      </w:r>
      <w:r w:rsidR="003676C0" w:rsidRPr="007A274E">
        <w:rPr>
          <w:rFonts w:ascii="Book Antiqua" w:hAnsi="Book Antiqua"/>
          <w:sz w:val="24"/>
          <w:szCs w:val="24"/>
          <w:lang w:val="es-ES"/>
        </w:rPr>
        <w:t>.-Esta Ley comenzará a regir inmediatamente después de su aprobación.</w:t>
      </w:r>
    </w:p>
    <w:sectPr w:rsidR="00FA67AD" w:rsidRPr="007A274E"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15DEA" w14:textId="77777777" w:rsidR="001A1191" w:rsidRDefault="001A1191">
      <w:r>
        <w:separator/>
      </w:r>
    </w:p>
  </w:endnote>
  <w:endnote w:type="continuationSeparator" w:id="0">
    <w:p w14:paraId="32AF4387" w14:textId="77777777" w:rsidR="001A1191" w:rsidRDefault="001A1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9A16" w14:textId="77777777" w:rsidR="001A1191" w:rsidRDefault="001A1191">
      <w:r>
        <w:separator/>
      </w:r>
    </w:p>
  </w:footnote>
  <w:footnote w:type="continuationSeparator" w:id="0">
    <w:p w14:paraId="0F66A912" w14:textId="77777777" w:rsidR="001A1191" w:rsidRDefault="001A1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3F5"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9BE344"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5173"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2</w:t>
    </w:r>
    <w:r>
      <w:rPr>
        <w:rStyle w:val="PageNumber"/>
      </w:rPr>
      <w:fldChar w:fldCharType="end"/>
    </w:r>
  </w:p>
  <w:p w14:paraId="057B8D09"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3FBB"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4BC4DF" w14:textId="77777777" w:rsidR="003843AC" w:rsidRDefault="00384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D46"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7</w:t>
    </w:r>
    <w:r>
      <w:rPr>
        <w:rStyle w:val="PageNumber"/>
      </w:rPr>
      <w:fldChar w:fldCharType="end"/>
    </w:r>
  </w:p>
  <w:p w14:paraId="275D7F26" w14:textId="6059A328" w:rsidR="003843AC" w:rsidRDefault="00673C93">
    <w:pPr>
      <w:widowControl/>
    </w:pPr>
    <w:r>
      <w:rPr>
        <w:noProof/>
      </w:rPr>
      <mc:AlternateContent>
        <mc:Choice Requires="wps">
          <w:drawing>
            <wp:anchor distT="0" distB="0" distL="114300" distR="114300" simplePos="0" relativeHeight="251657728" behindDoc="0" locked="0" layoutInCell="0" allowOverlap="1" wp14:anchorId="6A9CF1E7" wp14:editId="35E2FEE7">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CF1E7"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" o:allowincell="f" stroked="f">
              <v:textbo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1"/>
  </w:num>
  <w:num w:numId="2" w16cid:durableId="454448339">
    <w:abstractNumId w:val="2"/>
  </w:num>
  <w:num w:numId="3" w16cid:durableId="183961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274F4"/>
    <w:rsid w:val="00046683"/>
    <w:rsid w:val="00063004"/>
    <w:rsid w:val="00065852"/>
    <w:rsid w:val="00084AD4"/>
    <w:rsid w:val="00085207"/>
    <w:rsid w:val="000929E4"/>
    <w:rsid w:val="00095A8F"/>
    <w:rsid w:val="000A4092"/>
    <w:rsid w:val="000A50E7"/>
    <w:rsid w:val="000A589A"/>
    <w:rsid w:val="000A5F5D"/>
    <w:rsid w:val="000A7242"/>
    <w:rsid w:val="000B1061"/>
    <w:rsid w:val="000B5FE3"/>
    <w:rsid w:val="000B78C4"/>
    <w:rsid w:val="000C1AC1"/>
    <w:rsid w:val="000D2AF4"/>
    <w:rsid w:val="000F5E37"/>
    <w:rsid w:val="00124F63"/>
    <w:rsid w:val="001436A4"/>
    <w:rsid w:val="00146E6D"/>
    <w:rsid w:val="00155D63"/>
    <w:rsid w:val="00174D3E"/>
    <w:rsid w:val="00177ED7"/>
    <w:rsid w:val="00184377"/>
    <w:rsid w:val="00187D7B"/>
    <w:rsid w:val="00196EB0"/>
    <w:rsid w:val="001A0F94"/>
    <w:rsid w:val="001A1191"/>
    <w:rsid w:val="001A1640"/>
    <w:rsid w:val="001A5A1C"/>
    <w:rsid w:val="001B2B24"/>
    <w:rsid w:val="001C259C"/>
    <w:rsid w:val="001C3F21"/>
    <w:rsid w:val="001D6816"/>
    <w:rsid w:val="001E3D56"/>
    <w:rsid w:val="001E4227"/>
    <w:rsid w:val="001F2AD3"/>
    <w:rsid w:val="001F64FE"/>
    <w:rsid w:val="00217FFB"/>
    <w:rsid w:val="002319DE"/>
    <w:rsid w:val="002375C2"/>
    <w:rsid w:val="00271748"/>
    <w:rsid w:val="00281443"/>
    <w:rsid w:val="002844B3"/>
    <w:rsid w:val="0028642B"/>
    <w:rsid w:val="002A1906"/>
    <w:rsid w:val="002D75CA"/>
    <w:rsid w:val="002F21ED"/>
    <w:rsid w:val="00312DC6"/>
    <w:rsid w:val="003143E0"/>
    <w:rsid w:val="00356EDF"/>
    <w:rsid w:val="0036636E"/>
    <w:rsid w:val="003676C0"/>
    <w:rsid w:val="003843AC"/>
    <w:rsid w:val="00387011"/>
    <w:rsid w:val="003A3CFA"/>
    <w:rsid w:val="003B107F"/>
    <w:rsid w:val="003D299D"/>
    <w:rsid w:val="003D3ED0"/>
    <w:rsid w:val="003E44AE"/>
    <w:rsid w:val="003E63B3"/>
    <w:rsid w:val="003F4FF9"/>
    <w:rsid w:val="003F530A"/>
    <w:rsid w:val="00423E55"/>
    <w:rsid w:val="00450884"/>
    <w:rsid w:val="004532F2"/>
    <w:rsid w:val="00461212"/>
    <w:rsid w:val="00471D9F"/>
    <w:rsid w:val="00483627"/>
    <w:rsid w:val="0049211E"/>
    <w:rsid w:val="00492F3D"/>
    <w:rsid w:val="004A7A6D"/>
    <w:rsid w:val="004B1CD0"/>
    <w:rsid w:val="004B3913"/>
    <w:rsid w:val="004C6B37"/>
    <w:rsid w:val="004D1BD8"/>
    <w:rsid w:val="004D67E5"/>
    <w:rsid w:val="004F2541"/>
    <w:rsid w:val="004F7B17"/>
    <w:rsid w:val="00506AD5"/>
    <w:rsid w:val="00511B28"/>
    <w:rsid w:val="00536BBF"/>
    <w:rsid w:val="005454D5"/>
    <w:rsid w:val="005537D6"/>
    <w:rsid w:val="00564B76"/>
    <w:rsid w:val="00572133"/>
    <w:rsid w:val="005732CF"/>
    <w:rsid w:val="00575820"/>
    <w:rsid w:val="005A27CB"/>
    <w:rsid w:val="005C361E"/>
    <w:rsid w:val="005C7614"/>
    <w:rsid w:val="005D34A1"/>
    <w:rsid w:val="006110C4"/>
    <w:rsid w:val="006244EA"/>
    <w:rsid w:val="00627B2A"/>
    <w:rsid w:val="006319DB"/>
    <w:rsid w:val="00673C93"/>
    <w:rsid w:val="0067433B"/>
    <w:rsid w:val="00696BCE"/>
    <w:rsid w:val="006A0E70"/>
    <w:rsid w:val="006A1550"/>
    <w:rsid w:val="006A2DAF"/>
    <w:rsid w:val="006A38ED"/>
    <w:rsid w:val="006A3972"/>
    <w:rsid w:val="006B0589"/>
    <w:rsid w:val="006B76DC"/>
    <w:rsid w:val="006E4CAD"/>
    <w:rsid w:val="006F3779"/>
    <w:rsid w:val="00700BEC"/>
    <w:rsid w:val="00705703"/>
    <w:rsid w:val="00715F04"/>
    <w:rsid w:val="007235BE"/>
    <w:rsid w:val="00724158"/>
    <w:rsid w:val="00744C80"/>
    <w:rsid w:val="00746FE1"/>
    <w:rsid w:val="007725D4"/>
    <w:rsid w:val="007A274E"/>
    <w:rsid w:val="007B1FF7"/>
    <w:rsid w:val="007B5096"/>
    <w:rsid w:val="007C2522"/>
    <w:rsid w:val="007C4D7F"/>
    <w:rsid w:val="007D02B9"/>
    <w:rsid w:val="007D2926"/>
    <w:rsid w:val="007D2B55"/>
    <w:rsid w:val="007E2BF6"/>
    <w:rsid w:val="00800C46"/>
    <w:rsid w:val="0081463E"/>
    <w:rsid w:val="00840E0D"/>
    <w:rsid w:val="00840FA1"/>
    <w:rsid w:val="00852F2C"/>
    <w:rsid w:val="008578FC"/>
    <w:rsid w:val="00862BEB"/>
    <w:rsid w:val="008665D2"/>
    <w:rsid w:val="00867899"/>
    <w:rsid w:val="0087057B"/>
    <w:rsid w:val="00890027"/>
    <w:rsid w:val="00896C0D"/>
    <w:rsid w:val="00896CEF"/>
    <w:rsid w:val="00897DA9"/>
    <w:rsid w:val="008A57C2"/>
    <w:rsid w:val="008A61FD"/>
    <w:rsid w:val="008C4F6D"/>
    <w:rsid w:val="008D0A88"/>
    <w:rsid w:val="008D5726"/>
    <w:rsid w:val="008E502C"/>
    <w:rsid w:val="00900A97"/>
    <w:rsid w:val="0091197A"/>
    <w:rsid w:val="00911F9E"/>
    <w:rsid w:val="00916EC7"/>
    <w:rsid w:val="009209B0"/>
    <w:rsid w:val="00922655"/>
    <w:rsid w:val="009237B2"/>
    <w:rsid w:val="009272EC"/>
    <w:rsid w:val="00936644"/>
    <w:rsid w:val="00936F29"/>
    <w:rsid w:val="00961048"/>
    <w:rsid w:val="009B289F"/>
    <w:rsid w:val="009D1E80"/>
    <w:rsid w:val="009E6095"/>
    <w:rsid w:val="009F3AA9"/>
    <w:rsid w:val="009F5743"/>
    <w:rsid w:val="00A03736"/>
    <w:rsid w:val="00A049F6"/>
    <w:rsid w:val="00A04F17"/>
    <w:rsid w:val="00A069B7"/>
    <w:rsid w:val="00A269A9"/>
    <w:rsid w:val="00A3165B"/>
    <w:rsid w:val="00A3184D"/>
    <w:rsid w:val="00A44350"/>
    <w:rsid w:val="00A50199"/>
    <w:rsid w:val="00A63B84"/>
    <w:rsid w:val="00A94EE4"/>
    <w:rsid w:val="00A96750"/>
    <w:rsid w:val="00A97761"/>
    <w:rsid w:val="00AA2591"/>
    <w:rsid w:val="00AE43A4"/>
    <w:rsid w:val="00AF273A"/>
    <w:rsid w:val="00B04451"/>
    <w:rsid w:val="00B079EA"/>
    <w:rsid w:val="00B12CDA"/>
    <w:rsid w:val="00B145A5"/>
    <w:rsid w:val="00B24AB1"/>
    <w:rsid w:val="00B3446E"/>
    <w:rsid w:val="00B43649"/>
    <w:rsid w:val="00B719AE"/>
    <w:rsid w:val="00B77FF1"/>
    <w:rsid w:val="00B80109"/>
    <w:rsid w:val="00B90C3F"/>
    <w:rsid w:val="00B94A16"/>
    <w:rsid w:val="00BB0AE7"/>
    <w:rsid w:val="00BB2D32"/>
    <w:rsid w:val="00BC0F2E"/>
    <w:rsid w:val="00BD6AF5"/>
    <w:rsid w:val="00BF05C9"/>
    <w:rsid w:val="00BF542E"/>
    <w:rsid w:val="00C164CA"/>
    <w:rsid w:val="00C23B64"/>
    <w:rsid w:val="00C27AD3"/>
    <w:rsid w:val="00C3255C"/>
    <w:rsid w:val="00C3527C"/>
    <w:rsid w:val="00C36EF7"/>
    <w:rsid w:val="00C42A3B"/>
    <w:rsid w:val="00C63D31"/>
    <w:rsid w:val="00C678AB"/>
    <w:rsid w:val="00C82454"/>
    <w:rsid w:val="00CA4682"/>
    <w:rsid w:val="00CA7955"/>
    <w:rsid w:val="00CB1DC8"/>
    <w:rsid w:val="00CB616A"/>
    <w:rsid w:val="00CC7366"/>
    <w:rsid w:val="00CD3C85"/>
    <w:rsid w:val="00CE2F2D"/>
    <w:rsid w:val="00CF0593"/>
    <w:rsid w:val="00CF0C7C"/>
    <w:rsid w:val="00CF5EF5"/>
    <w:rsid w:val="00CF61EA"/>
    <w:rsid w:val="00D01701"/>
    <w:rsid w:val="00D05F30"/>
    <w:rsid w:val="00D54698"/>
    <w:rsid w:val="00D5488F"/>
    <w:rsid w:val="00D556C2"/>
    <w:rsid w:val="00D669D9"/>
    <w:rsid w:val="00DA0D90"/>
    <w:rsid w:val="00DB4E75"/>
    <w:rsid w:val="00DC26D0"/>
    <w:rsid w:val="00DC3265"/>
    <w:rsid w:val="00DC4219"/>
    <w:rsid w:val="00DE7F05"/>
    <w:rsid w:val="00DF57B6"/>
    <w:rsid w:val="00E05196"/>
    <w:rsid w:val="00E25D2B"/>
    <w:rsid w:val="00E37A6C"/>
    <w:rsid w:val="00E564E6"/>
    <w:rsid w:val="00E57784"/>
    <w:rsid w:val="00E60811"/>
    <w:rsid w:val="00E713DA"/>
    <w:rsid w:val="00E766AE"/>
    <w:rsid w:val="00EA7C1B"/>
    <w:rsid w:val="00EB49EF"/>
    <w:rsid w:val="00EB5AF8"/>
    <w:rsid w:val="00EC1E85"/>
    <w:rsid w:val="00ED6934"/>
    <w:rsid w:val="00EF5E38"/>
    <w:rsid w:val="00F00DB1"/>
    <w:rsid w:val="00F2793F"/>
    <w:rsid w:val="00F403AF"/>
    <w:rsid w:val="00F479D4"/>
    <w:rsid w:val="00F535AA"/>
    <w:rsid w:val="00F62E29"/>
    <w:rsid w:val="00F658AF"/>
    <w:rsid w:val="00F85F88"/>
    <w:rsid w:val="00F85FFD"/>
    <w:rsid w:val="00FA1DC8"/>
    <w:rsid w:val="00FA67AD"/>
    <w:rsid w:val="00FD28F5"/>
    <w:rsid w:val="00FD591E"/>
    <w:rsid w:val="00FF5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51C705"/>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semiHidden/>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character" w:customStyle="1" w:styleId="apple-converted-space">
    <w:name w:val="apple-converted-space"/>
    <w:rsid w:val="00063004"/>
  </w:style>
  <w:style w:type="character" w:styleId="Strong">
    <w:name w:val="Strong"/>
    <w:uiPriority w:val="22"/>
    <w:qFormat/>
    <w:rsid w:val="00063004"/>
    <w:rPr>
      <w:b/>
      <w:bCs/>
    </w:rPr>
  </w:style>
  <w:style w:type="paragraph" w:styleId="BalloonText">
    <w:name w:val="Balloon Text"/>
    <w:basedOn w:val="Normal"/>
    <w:link w:val="BalloonTextChar"/>
    <w:rsid w:val="00FF5282"/>
    <w:rPr>
      <w:rFonts w:ascii="Segoe UI" w:hAnsi="Segoe UI" w:cs="Segoe UI"/>
      <w:sz w:val="18"/>
      <w:szCs w:val="18"/>
    </w:rPr>
  </w:style>
  <w:style w:type="character" w:customStyle="1" w:styleId="BalloonTextChar">
    <w:name w:val="Balloon Text Char"/>
    <w:link w:val="BalloonText"/>
    <w:rsid w:val="00FF5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764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Gladys J. Burgos Torres</cp:lastModifiedBy>
  <cp:revision>5</cp:revision>
  <cp:lastPrinted>2019-04-25T14:23:00Z</cp:lastPrinted>
  <dcterms:created xsi:type="dcterms:W3CDTF">2025-11-13T14:30:00Z</dcterms:created>
  <dcterms:modified xsi:type="dcterms:W3CDTF">2025-11-13T15:24:00Z</dcterms:modified>
</cp:coreProperties>
</file>