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CD7B0" w14:textId="77777777" w:rsidR="00B2253B" w:rsidRPr="008D2855" w:rsidRDefault="00B2253B" w:rsidP="00B2253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bookmarkStart w:id="1" w:name="_Hlk218677452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132B3E3A" w14:textId="437B657E" w:rsidR="00B2253B" w:rsidRPr="008D2855" w:rsidRDefault="00B2253B" w:rsidP="00B2253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 w:rsidR="00B57FA4">
        <w:rPr>
          <w:rFonts w:ascii="Book Antiqua" w:hAnsi="Book Antiqua"/>
          <w:b/>
          <w:bCs/>
          <w:lang w:val="es-PR"/>
        </w:rPr>
        <w:t>27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 w:rsidR="00B57FA4">
        <w:rPr>
          <w:rFonts w:ascii="Book Antiqua" w:hAnsi="Book Antiqua"/>
          <w:b/>
          <w:bCs/>
          <w:lang w:val="es-PR"/>
        </w:rPr>
        <w:t>ENERO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6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7CFEEEE3" w14:textId="77777777" w:rsidR="00B2253B" w:rsidRPr="008D2855" w:rsidRDefault="00B2253B" w:rsidP="00B2253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B1F8707" wp14:editId="638C0E7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F4EA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4650ABD6" w14:textId="7F727DF1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19EAEB99" w:rsidR="00CD6474" w:rsidRPr="00290573" w:rsidRDefault="00036982" w:rsidP="00036982">
      <w:pPr>
        <w:rPr>
          <w:rFonts w:ascii="Book Antiqua" w:hAnsi="Book Antiqua"/>
          <w:lang w:val="es-PR"/>
        </w:rPr>
      </w:pPr>
      <w:r w:rsidRPr="00290573">
        <w:rPr>
          <w:rFonts w:ascii="Book Antiqua" w:hAnsi="Book Antiqua"/>
          <w:lang w:val="es-PR"/>
        </w:rPr>
        <w:t>20ma.</w:t>
      </w:r>
      <w:r w:rsidR="00CD6474" w:rsidRPr="00290573">
        <w:rPr>
          <w:rFonts w:ascii="Book Antiqua" w:hAnsi="Book Antiqua"/>
          <w:lang w:val="es-PR"/>
        </w:rPr>
        <w:t xml:space="preserve"> </w:t>
      </w:r>
      <w:r w:rsidRPr="00290573">
        <w:rPr>
          <w:rFonts w:ascii="Book Antiqua" w:hAnsi="Book Antiqua"/>
          <w:lang w:val="es-PR"/>
        </w:rPr>
        <w:t xml:space="preserve"> </w:t>
      </w:r>
      <w:r w:rsidR="00CD6474" w:rsidRPr="00290573">
        <w:rPr>
          <w:rFonts w:ascii="Book Antiqua" w:hAnsi="Book Antiqua"/>
          <w:lang w:val="es-PR"/>
        </w:rPr>
        <w:t>Asamblea</w:t>
      </w:r>
      <w:r w:rsidR="00CD6474"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  <w:t xml:space="preserve">          2da.</w:t>
      </w:r>
      <w:r w:rsidR="00CD6474" w:rsidRPr="00290573">
        <w:rPr>
          <w:rFonts w:ascii="Book Antiqua" w:hAnsi="Book Antiqua"/>
          <w:lang w:val="es-PR"/>
        </w:rPr>
        <w:t xml:space="preserve"> Sesión</w:t>
      </w:r>
    </w:p>
    <w:p w14:paraId="124FDFF5" w14:textId="438A9AD1" w:rsidR="00CD6474" w:rsidRPr="00290573" w:rsidRDefault="00CD6474" w:rsidP="00036982">
      <w:pPr>
        <w:rPr>
          <w:rFonts w:ascii="Book Antiqua" w:hAnsi="Book Antiqua"/>
          <w:lang w:val="es-PR"/>
        </w:rPr>
      </w:pPr>
      <w:r w:rsidRPr="00290573">
        <w:rPr>
          <w:rFonts w:ascii="Book Antiqua" w:hAnsi="Book Antiqua"/>
          <w:lang w:val="es-PR"/>
        </w:rPr>
        <w:tab/>
        <w:t>Legislativa</w:t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  <w:t xml:space="preserve">                  </w:t>
      </w:r>
      <w:r w:rsidR="00036982" w:rsidRPr="00290573">
        <w:rPr>
          <w:rFonts w:ascii="Book Antiqua" w:hAnsi="Book Antiqua"/>
          <w:lang w:val="es-PR"/>
        </w:rPr>
        <w:t xml:space="preserve">                                                                        </w:t>
      </w:r>
      <w:r w:rsidRPr="00290573">
        <w:rPr>
          <w:rFonts w:ascii="Book Antiqua" w:hAnsi="Book Antiqua"/>
          <w:lang w:val="es-PR"/>
        </w:rPr>
        <w:t>Ordinaria</w:t>
      </w:r>
    </w:p>
    <w:p w14:paraId="307D3686" w14:textId="77777777" w:rsidR="009F497D" w:rsidRPr="00290573" w:rsidRDefault="009F497D" w:rsidP="009F497D">
      <w:pPr>
        <w:jc w:val="center"/>
        <w:rPr>
          <w:rFonts w:ascii="Book Antiqua" w:hAnsi="Book Antiqua"/>
          <w:lang w:val="es-PR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1CE02F0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B2C1C">
        <w:rPr>
          <w:rFonts w:ascii="Book Antiqua" w:hAnsi="Book Antiqua"/>
          <w:b/>
          <w:sz w:val="52"/>
          <w:szCs w:val="52"/>
          <w:lang w:val="es-ES_tradnl"/>
        </w:rPr>
        <w:t>504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22496418" w:rsidR="009F497D" w:rsidRPr="00F9699B" w:rsidRDefault="009B2C1C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12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862789">
        <w:rPr>
          <w:rFonts w:ascii="Book Antiqua" w:hAnsi="Book Antiqua"/>
          <w:color w:val="000000"/>
          <w:lang w:val="es-ES_tradnl"/>
        </w:rPr>
        <w:t>NOVIEMBRE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29E494EF" w14:textId="77777777" w:rsidR="00036982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 xml:space="preserve">Presentada por </w:t>
      </w:r>
      <w:r w:rsidR="001375AE">
        <w:rPr>
          <w:rFonts w:ascii="Book Antiqua" w:hAnsi="Book Antiqua" w:cs="Arial"/>
          <w:lang w:val="es-ES_tradnl"/>
        </w:rPr>
        <w:t>los</w:t>
      </w:r>
      <w:r w:rsidRPr="00F9699B">
        <w:rPr>
          <w:rFonts w:ascii="Book Antiqua" w:hAnsi="Book Antiqua" w:cs="Arial"/>
          <w:lang w:val="es-ES_tradnl"/>
        </w:rPr>
        <w:t xml:space="preserve"> representante</w:t>
      </w:r>
      <w:r w:rsidR="001375AE">
        <w:rPr>
          <w:rFonts w:ascii="Book Antiqua" w:hAnsi="Book Antiqua" w:cs="Arial"/>
          <w:lang w:val="es-ES_tradnl"/>
        </w:rPr>
        <w:t>s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E44AB2" w:rsidRPr="00F9699B">
        <w:rPr>
          <w:rFonts w:ascii="Book Antiqua" w:hAnsi="Book Antiqua" w:cs="Arial"/>
          <w:i/>
          <w:lang w:val="es-ES_tradnl"/>
        </w:rPr>
        <w:t>Rodríguez Aguiló</w:t>
      </w:r>
      <w:r w:rsidR="001375AE">
        <w:rPr>
          <w:rFonts w:ascii="Book Antiqua" w:hAnsi="Book Antiqua" w:cs="Arial"/>
          <w:i/>
          <w:lang w:val="es-ES_tradnl"/>
        </w:rPr>
        <w:t xml:space="preserve">, Ferrer Santiago </w:t>
      </w:r>
    </w:p>
    <w:p w14:paraId="17421500" w14:textId="3D3D42BF" w:rsidR="009F497D" w:rsidRPr="00F9699B" w:rsidRDefault="001375AE" w:rsidP="009F497D">
      <w:pPr>
        <w:jc w:val="center"/>
        <w:rPr>
          <w:rFonts w:ascii="Book Antiqua" w:hAnsi="Book Antiqua" w:cs="Arial"/>
          <w:i/>
          <w:lang w:val="es-ES_tradnl"/>
        </w:rPr>
      </w:pPr>
      <w:r w:rsidRPr="00036982">
        <w:rPr>
          <w:rFonts w:ascii="Book Antiqua" w:hAnsi="Book Antiqua" w:cs="Arial"/>
          <w:iCs/>
          <w:lang w:val="es-ES_tradnl"/>
        </w:rPr>
        <w:t>y</w:t>
      </w:r>
      <w:r>
        <w:rPr>
          <w:rFonts w:ascii="Book Antiqua" w:hAnsi="Book Antiqua" w:cs="Arial"/>
          <w:i/>
          <w:lang w:val="es-ES_tradnl"/>
        </w:rPr>
        <w:t xml:space="preserve"> Márquez Lebrón 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3242BBA9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la </w:t>
      </w:r>
      <w:r w:rsidRPr="00F9699B">
        <w:rPr>
          <w:rFonts w:ascii="Book Antiqua" w:hAnsi="Book Antiqua"/>
          <w:color w:val="000000"/>
          <w:lang w:val="es-ES_tradnl"/>
        </w:rPr>
        <w:t>Comisión de</w:t>
      </w:r>
      <w:r w:rsidR="007A17FD" w:rsidRPr="00F9699B">
        <w:rPr>
          <w:rFonts w:ascii="Book Antiqua" w:hAnsi="Book Antiqua"/>
          <w:color w:val="000000"/>
          <w:lang w:val="es-ES_tradnl"/>
        </w:rPr>
        <w:t xml:space="preserve"> </w:t>
      </w:r>
      <w:r w:rsidR="00D8069D" w:rsidRPr="00B84B38">
        <w:rPr>
          <w:rFonts w:ascii="Book Antiqua" w:hAnsi="Book Antiqua"/>
          <w:color w:val="000000"/>
          <w:lang w:val="es-ES_tradnl"/>
        </w:rPr>
        <w:t>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E6D445F" w14:textId="77777777" w:rsidR="00862789" w:rsidRDefault="00862789" w:rsidP="00862789">
      <w:pPr>
        <w:rPr>
          <w:lang w:val="es-ES_tradnl"/>
        </w:rPr>
      </w:pPr>
    </w:p>
    <w:p w14:paraId="126B149F" w14:textId="7F70C4A4" w:rsidR="00862789" w:rsidRPr="00B2253B" w:rsidRDefault="00862789" w:rsidP="00036982">
      <w:pPr>
        <w:ind w:left="720" w:hanging="720"/>
        <w:jc w:val="both"/>
        <w:rPr>
          <w:rFonts w:ascii="Book Antiqua" w:hAnsi="Book Antiqua"/>
          <w:lang w:val="es-ES_tradnl"/>
        </w:rPr>
      </w:pPr>
      <w:r w:rsidRPr="00B2253B">
        <w:rPr>
          <w:rFonts w:ascii="Book Antiqua" w:hAnsi="Book Antiqua"/>
          <w:lang w:val="es-ES_tradnl"/>
        </w:rPr>
        <w:t xml:space="preserve">Para ordenar a la Comisión de </w:t>
      </w:r>
      <w:r w:rsidRPr="00B2253B">
        <w:rPr>
          <w:rFonts w:ascii="Book Antiqua" w:hAnsi="Book Antiqua"/>
          <w:color w:val="000000" w:themeColor="text1"/>
          <w:lang w:val="es-PR"/>
        </w:rPr>
        <w:t>lo Jurídico</w:t>
      </w:r>
      <w:r w:rsidR="009D5835" w:rsidRPr="00B2253B">
        <w:rPr>
          <w:rFonts w:ascii="Book Antiqua" w:hAnsi="Book Antiqua"/>
          <w:color w:val="000000" w:themeColor="text1"/>
          <w:lang w:val="es-PR"/>
        </w:rPr>
        <w:t xml:space="preserve"> de la Cámara de Representantes de Puerto Rico, realizar una investigación exhaustiva en torno</w:t>
      </w:r>
      <w:r w:rsidRPr="00B2253B">
        <w:rPr>
          <w:rFonts w:ascii="Book Antiqua" w:hAnsi="Book Antiqua"/>
          <w:color w:val="000000" w:themeColor="text1"/>
          <w:lang w:val="es-PR"/>
        </w:rPr>
        <w:t xml:space="preserve"> a la aplicación de la Ley Núm. </w:t>
      </w:r>
      <w:r w:rsidR="009D5835" w:rsidRPr="00B2253B">
        <w:rPr>
          <w:rFonts w:ascii="Book Antiqua" w:hAnsi="Book Antiqua"/>
          <w:color w:val="000000" w:themeColor="text1"/>
          <w:lang w:val="es-PR"/>
        </w:rPr>
        <w:t>54 de 15 de agosto de 1989, según enmendada</w:t>
      </w:r>
      <w:r w:rsidR="001375AE" w:rsidRPr="00B2253B">
        <w:rPr>
          <w:rFonts w:ascii="Book Antiqua" w:hAnsi="Book Antiqua"/>
          <w:color w:val="000000" w:themeColor="text1"/>
          <w:lang w:val="es-PR"/>
        </w:rPr>
        <w:t>,</w:t>
      </w:r>
      <w:r w:rsidRPr="00B2253B">
        <w:rPr>
          <w:rFonts w:ascii="Book Antiqua" w:hAnsi="Book Antiqua"/>
          <w:color w:val="000000" w:themeColor="text1"/>
          <w:lang w:val="es-PR"/>
        </w:rPr>
        <w:t xml:space="preserve"> en casos que involucren menores de edad y su compatibilidad con los derechos constitucionales de los menores; y para otros fines relacionados.</w:t>
      </w:r>
    </w:p>
    <w:p w14:paraId="3E3B10A9" w14:textId="77777777" w:rsidR="004815A1" w:rsidRPr="00B2253B" w:rsidRDefault="004815A1" w:rsidP="00036982">
      <w:pPr>
        <w:ind w:left="540" w:hanging="540"/>
        <w:jc w:val="both"/>
        <w:rPr>
          <w:rFonts w:ascii="Book Antiqua" w:hAnsi="Book Antiqua"/>
          <w:lang w:val="es-PR"/>
        </w:rPr>
      </w:pPr>
    </w:p>
    <w:p w14:paraId="5D39CDF1" w14:textId="30A90CCE" w:rsidR="003E6123" w:rsidRPr="00B2253B" w:rsidRDefault="009F497D" w:rsidP="00036982">
      <w:pPr>
        <w:jc w:val="center"/>
        <w:rPr>
          <w:rFonts w:ascii="Book Antiqua" w:hAnsi="Book Antiqua"/>
          <w:lang w:val="es-ES_tradnl"/>
        </w:rPr>
      </w:pPr>
      <w:r w:rsidRPr="00B2253B">
        <w:rPr>
          <w:rFonts w:ascii="Book Antiqua" w:hAnsi="Book Antiqua"/>
          <w:lang w:val="es-ES_tradnl"/>
        </w:rPr>
        <w:t>EXPOSICIÓN DE MOTIVOS</w:t>
      </w:r>
    </w:p>
    <w:p w14:paraId="014A4D0C" w14:textId="77777777" w:rsidR="00811417" w:rsidRPr="00B2253B" w:rsidRDefault="00811417" w:rsidP="00036982">
      <w:pPr>
        <w:jc w:val="both"/>
        <w:rPr>
          <w:rFonts w:ascii="Book Antiqua" w:hAnsi="Book Antiqua"/>
          <w:lang w:val="es-ES_tradnl"/>
        </w:rPr>
      </w:pPr>
    </w:p>
    <w:p w14:paraId="6D55D394" w14:textId="6C38F6D8" w:rsidR="00862789" w:rsidRPr="00B2253B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>La Constitución de Puerto Rico, en su Artículo I, Sección 2, dispone que el poder del Estado emana del pueblo y debe ejercerse conforme a los límites constitucionales. Asimismo, el Artículo V establece la separación de poderes entre las ramas Ejecutiva, Legislativa y Judicial, imponiendo al Poder Legislativo el deber de supervisar, investigar y corregir desviaciones en la interpretación y aplicación de las leyes que pudieran menoscabar derechos constitucionales fundamentales, particularmente los de los menores de edad.</w:t>
      </w:r>
    </w:p>
    <w:p w14:paraId="7AFD5CA3" w14:textId="77777777" w:rsidR="00036982" w:rsidRPr="00B2253B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F97793A" w14:textId="38475F69" w:rsidR="00862789" w:rsidRPr="00B2253B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 xml:space="preserve">El reciente caso en el cual una menor de dieciséis (16) años fue sujeta a una orden de protección bajo la Ley Núm. </w:t>
      </w:r>
      <w:r w:rsidR="009D5835" w:rsidRPr="00B2253B">
        <w:rPr>
          <w:rFonts w:ascii="Book Antiqua" w:hAnsi="Book Antiqua"/>
          <w:color w:val="000000" w:themeColor="text1"/>
          <w:lang w:val="es-PR"/>
        </w:rPr>
        <w:t>54 de 15 de agosto de 1989, según enmendada</w:t>
      </w:r>
      <w:r w:rsidR="009D5835" w:rsidRPr="00B2253B">
        <w:rPr>
          <w:rFonts w:ascii="Book Antiqua" w:hAnsi="Book Antiqua"/>
          <w:lang w:val="es-PR"/>
        </w:rPr>
        <w:t>, conocida como “Ley para la Prevención e Intervención con la Violencia Doméstica</w:t>
      </w:r>
      <w:r w:rsidR="002C3AE9" w:rsidRPr="00B2253B">
        <w:rPr>
          <w:rFonts w:ascii="Book Antiqua" w:hAnsi="Book Antiqua"/>
          <w:lang w:val="es-PR"/>
        </w:rPr>
        <w:t>”,</w:t>
      </w:r>
      <w:r w:rsidRPr="00B2253B">
        <w:rPr>
          <w:rFonts w:ascii="Book Antiqua" w:hAnsi="Book Antiqua"/>
          <w:lang w:val="es-PR"/>
        </w:rPr>
        <w:t xml:space="preserve"> confirmada por el Tribunal Supremo de Puerto Rico al denegar el auxilio de jurisdicción y prevalecer </w:t>
      </w:r>
      <w:r w:rsidRPr="00B2253B">
        <w:rPr>
          <w:rFonts w:ascii="Book Antiqua" w:hAnsi="Book Antiqua"/>
          <w:lang w:val="es-PR"/>
        </w:rPr>
        <w:lastRenderedPageBreak/>
        <w:t>la decisión del Tribunal de Apelaciones, plantea un conflicto jurídico y constitucional de alta relevancia pública.</w:t>
      </w:r>
      <w:r w:rsidR="002214CF" w:rsidRPr="00B2253B">
        <w:rPr>
          <w:rFonts w:ascii="Book Antiqua" w:hAnsi="Book Antiqua"/>
          <w:lang w:val="es-PR"/>
        </w:rPr>
        <w:t xml:space="preserve"> En su </w:t>
      </w:r>
      <w:r w:rsidRPr="00B2253B">
        <w:rPr>
          <w:rFonts w:ascii="Book Antiqua" w:hAnsi="Book Antiqua"/>
          <w:lang w:val="es-PR"/>
        </w:rPr>
        <w:t xml:space="preserve">opinión </w:t>
      </w:r>
      <w:r w:rsidR="006E790A" w:rsidRPr="00B2253B">
        <w:rPr>
          <w:rFonts w:ascii="Book Antiqua" w:hAnsi="Book Antiqua"/>
          <w:lang w:val="es-PR"/>
        </w:rPr>
        <w:t>disidente, el</w:t>
      </w:r>
      <w:r w:rsidRPr="00B2253B">
        <w:rPr>
          <w:rFonts w:ascii="Book Antiqua" w:hAnsi="Book Antiqua"/>
          <w:lang w:val="es-PR"/>
        </w:rPr>
        <w:t xml:space="preserve"> juez asociado </w:t>
      </w:r>
      <w:r w:rsidR="009D5835" w:rsidRPr="00B2253B">
        <w:rPr>
          <w:rFonts w:ascii="Book Antiqua" w:hAnsi="Book Antiqua"/>
          <w:lang w:val="es-PR"/>
        </w:rPr>
        <w:t xml:space="preserve">Hon. </w:t>
      </w:r>
      <w:r w:rsidRPr="00B2253B">
        <w:rPr>
          <w:rFonts w:ascii="Book Antiqua" w:hAnsi="Book Antiqua"/>
          <w:lang w:val="es-PR"/>
        </w:rPr>
        <w:t>Luis Estrella Martínez</w:t>
      </w:r>
      <w:r w:rsidR="002214CF" w:rsidRPr="00B2253B">
        <w:rPr>
          <w:rFonts w:ascii="Book Antiqua" w:hAnsi="Book Antiqua"/>
          <w:lang w:val="es-PR"/>
        </w:rPr>
        <w:t xml:space="preserve">, expresa que se </w:t>
      </w:r>
      <w:r w:rsidRPr="00B2253B">
        <w:rPr>
          <w:rFonts w:ascii="Book Antiqua" w:hAnsi="Book Antiqua"/>
          <w:lang w:val="es-PR"/>
        </w:rPr>
        <w:t xml:space="preserve">extiende la aplicación de una ley de naturaleza penal y punitiva, </w:t>
      </w:r>
      <w:r w:rsidR="00B2289E" w:rsidRPr="00B2253B">
        <w:rPr>
          <w:rFonts w:ascii="Book Antiqua" w:hAnsi="Book Antiqua"/>
          <w:lang w:val="es-PR"/>
        </w:rPr>
        <w:t>diseñada</w:t>
      </w:r>
      <w:r w:rsidRPr="00B2253B">
        <w:rPr>
          <w:rFonts w:ascii="Book Antiqua" w:hAnsi="Book Antiqua"/>
          <w:lang w:val="es-PR"/>
        </w:rPr>
        <w:t xml:space="preserve"> para adultos, a una población menor de edad, contraviniendo así el espíritu de la Ley Núm. </w:t>
      </w:r>
      <w:r w:rsidR="009D5835" w:rsidRPr="00B2253B">
        <w:rPr>
          <w:rFonts w:ascii="Book Antiqua" w:hAnsi="Book Antiqua"/>
          <w:lang w:val="es-PR"/>
        </w:rPr>
        <w:t>88 de 9 de julio de 1986, según enmendada, conocida como “</w:t>
      </w:r>
      <w:r w:rsidRPr="00B2253B">
        <w:rPr>
          <w:rFonts w:ascii="Book Antiqua" w:hAnsi="Book Antiqua"/>
          <w:lang w:val="es-PR"/>
        </w:rPr>
        <w:t>Ley de Menores de Puerto Rico</w:t>
      </w:r>
      <w:r w:rsidR="009D5835" w:rsidRPr="00B2253B">
        <w:rPr>
          <w:rFonts w:ascii="Book Antiqua" w:hAnsi="Book Antiqua"/>
          <w:lang w:val="es-PR"/>
        </w:rPr>
        <w:t>”</w:t>
      </w:r>
      <w:r w:rsidRPr="00B2253B">
        <w:rPr>
          <w:rFonts w:ascii="Book Antiqua" w:hAnsi="Book Antiqua"/>
          <w:lang w:val="es-PR"/>
        </w:rPr>
        <w:t>, cuyo propósito es rehabilitador, protector y educativo, no sancionador.</w:t>
      </w:r>
    </w:p>
    <w:p w14:paraId="555DEE0B" w14:textId="77777777" w:rsidR="002C3AE9" w:rsidRPr="00B2253B" w:rsidRDefault="002C3AE9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1127A5E" w14:textId="2E836710" w:rsidR="00862789" w:rsidRPr="00B2253B" w:rsidRDefault="002214CF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 xml:space="preserve">Continúa el </w:t>
      </w:r>
      <w:r w:rsidR="00862789" w:rsidRPr="00B2253B">
        <w:rPr>
          <w:rFonts w:ascii="Book Antiqua" w:hAnsi="Book Antiqua"/>
          <w:lang w:val="es-PR"/>
        </w:rPr>
        <w:t>juez Estrella Martínez advirti</w:t>
      </w:r>
      <w:r w:rsidRPr="00B2253B">
        <w:rPr>
          <w:rFonts w:ascii="Book Antiqua" w:hAnsi="Book Antiqua"/>
          <w:lang w:val="es-PR"/>
        </w:rPr>
        <w:t>endo</w:t>
      </w:r>
      <w:r w:rsidR="00862789" w:rsidRPr="00B2253B">
        <w:rPr>
          <w:rFonts w:ascii="Book Antiqua" w:hAnsi="Book Antiqua"/>
          <w:lang w:val="es-PR"/>
        </w:rPr>
        <w:t xml:space="preserve"> que</w:t>
      </w:r>
      <w:r w:rsidRPr="00B2253B">
        <w:rPr>
          <w:rFonts w:ascii="Book Antiqua" w:hAnsi="Book Antiqua"/>
          <w:lang w:val="es-PR"/>
        </w:rPr>
        <w:t>,</w:t>
      </w:r>
      <w:r w:rsidR="00862789" w:rsidRPr="00B2253B">
        <w:rPr>
          <w:rFonts w:ascii="Book Antiqua" w:hAnsi="Book Antiqua"/>
          <w:lang w:val="es-PR"/>
        </w:rPr>
        <w:t xml:space="preserve"> “la Ley Núm. 54 no fue diseñada para regir la conducta de menores de edad” y que su aplicación a éstos resulta “incompatible con los principios constitucionales de debido proceso, proporcionalidad penal y protección especial de la niñez”.</w:t>
      </w:r>
    </w:p>
    <w:p w14:paraId="69325EED" w14:textId="77777777" w:rsidR="00036982" w:rsidRPr="00B2253B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2CED28E3" w14:textId="182A0351" w:rsidR="00862789" w:rsidRPr="00B2253B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 xml:space="preserve">Este planteamiento no solo es jurídicamente persuasivo, sino que </w:t>
      </w:r>
      <w:r w:rsidR="002214CF" w:rsidRPr="00B2253B">
        <w:rPr>
          <w:rFonts w:ascii="Book Antiqua" w:hAnsi="Book Antiqua"/>
          <w:lang w:val="es-PR"/>
        </w:rPr>
        <w:t xml:space="preserve">no es novel, ejemplo de esto es </w:t>
      </w:r>
      <w:r w:rsidR="001375AE" w:rsidRPr="00B2253B">
        <w:rPr>
          <w:rFonts w:ascii="Book Antiqua" w:hAnsi="Book Antiqua"/>
          <w:lang w:val="es-PR"/>
        </w:rPr>
        <w:t>el debate público que resultó en la última reforma de la Ley de Menores.</w:t>
      </w:r>
    </w:p>
    <w:p w14:paraId="035EAFC3" w14:textId="77777777" w:rsidR="00036982" w:rsidRPr="00B2253B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08B847C" w14:textId="34953D04" w:rsidR="00862789" w:rsidRPr="00B2253B" w:rsidRDefault="001375AE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>Actualmente</w:t>
      </w:r>
      <w:r w:rsidR="00862789" w:rsidRPr="00B2253B">
        <w:rPr>
          <w:rFonts w:ascii="Book Antiqua" w:hAnsi="Book Antiqua"/>
          <w:lang w:val="es-PR"/>
        </w:rPr>
        <w:t xml:space="preserve"> exist</w:t>
      </w:r>
      <w:r w:rsidRPr="00B2253B">
        <w:rPr>
          <w:rFonts w:ascii="Book Antiqua" w:hAnsi="Book Antiqua"/>
          <w:lang w:val="es-PR"/>
        </w:rPr>
        <w:t>e</w:t>
      </w:r>
      <w:r w:rsidR="00862789" w:rsidRPr="00B2253B">
        <w:rPr>
          <w:rFonts w:ascii="Book Antiqua" w:hAnsi="Book Antiqua"/>
          <w:lang w:val="es-PR"/>
        </w:rPr>
        <w:t xml:space="preserve"> “discrepancia entre tribunales” sobre si la Ley 54 cobija o no relaciones de noviazgo adolescente</w:t>
      </w:r>
      <w:r w:rsidRPr="00B2253B">
        <w:rPr>
          <w:rFonts w:ascii="Book Antiqua" w:hAnsi="Book Antiqua"/>
          <w:lang w:val="es-PR"/>
        </w:rPr>
        <w:t xml:space="preserve">. </w:t>
      </w:r>
    </w:p>
    <w:p w14:paraId="7EDE592A" w14:textId="77777777" w:rsidR="00036982" w:rsidRPr="00B2253B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60E2CB1" w14:textId="25241B29" w:rsidR="00862789" w:rsidRPr="00B2253B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 xml:space="preserve">La </w:t>
      </w:r>
      <w:r w:rsidR="005533FA" w:rsidRPr="00B2253B">
        <w:rPr>
          <w:rFonts w:ascii="Book Antiqua" w:hAnsi="Book Antiqua"/>
          <w:lang w:val="es-PR"/>
        </w:rPr>
        <w:t>Cámara de Representantes</w:t>
      </w:r>
      <w:r w:rsidRPr="00B2253B">
        <w:rPr>
          <w:rFonts w:ascii="Book Antiqua" w:hAnsi="Book Antiqua"/>
          <w:lang w:val="es-PR"/>
        </w:rPr>
        <w:t>, en cumplimiento de su deber constitucional, considera necesario investigar las interpretaciones judiciales de la Ley 54 en casos que involucran menores, evaluar su conformidad con la voluntad legislativa vigente y con los principios de protección de la niñez, y emitir recomendaciones legislativas para asegurar que ningún menor sea tratado bajo un régimen punitivo inaplicable.</w:t>
      </w:r>
    </w:p>
    <w:p w14:paraId="6D5EA58B" w14:textId="77777777" w:rsidR="00036982" w:rsidRPr="00B2253B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1060CCD3" w14:textId="1C6ECC83" w:rsidR="00036982" w:rsidRPr="00B2253B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B2253B">
        <w:rPr>
          <w:rFonts w:ascii="Book Antiqua" w:hAnsi="Book Antiqua"/>
          <w:lang w:val="es-PR"/>
        </w:rPr>
        <w:t>El respeto a la separación de poderes y a la protección integral de la niñez exige que esta Rama Legislativa afirme su prerrogativa de interpretación y política pública, reafirmando que los menores deben ser tratados bajo un marco de orientación, educación y rehabilitación, y no bajo un régimen penal adulto incompatible con su condición jurídica y emocional.</w:t>
      </w:r>
    </w:p>
    <w:p w14:paraId="4F11B662" w14:textId="77777777" w:rsidR="00862789" w:rsidRPr="00F9699B" w:rsidRDefault="00862789" w:rsidP="00036982">
      <w:pPr>
        <w:ind w:firstLine="720"/>
        <w:jc w:val="both"/>
        <w:rPr>
          <w:rFonts w:ascii="Book Antiqua" w:hAnsi="Book Antiqua"/>
          <w:lang w:val="es-ES_tradnl"/>
        </w:rPr>
      </w:pPr>
    </w:p>
    <w:p w14:paraId="568112C3" w14:textId="738784D2" w:rsidR="009F497D" w:rsidRDefault="009F497D" w:rsidP="00B2253B">
      <w:pPr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036982" w:rsidRPr="00F9699B" w:rsidRDefault="00036982" w:rsidP="00B2253B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036982" w:rsidRPr="00F9699B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A326AE2" w14:textId="0AFD58EB" w:rsidR="007E6E82" w:rsidRPr="00B2253B" w:rsidRDefault="009F497D" w:rsidP="00B2253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bookmarkStart w:id="2" w:name="Place"/>
      <w:bookmarkEnd w:id="2"/>
      <w:r w:rsidRPr="00B2253B">
        <w:rPr>
          <w:rFonts w:ascii="Book Antiqua" w:hAnsi="Book Antiqua"/>
          <w:color w:val="000000" w:themeColor="text1"/>
          <w:lang w:val="es-ES_tradnl"/>
        </w:rPr>
        <w:t>Sección 1.-</w:t>
      </w:r>
      <w:r w:rsidR="00862789" w:rsidRPr="00B2253B">
        <w:rPr>
          <w:rFonts w:ascii="Book Antiqua" w:hAnsi="Book Antiqua"/>
          <w:color w:val="000000" w:themeColor="text1"/>
          <w:lang w:val="es-ES_tradnl"/>
        </w:rPr>
        <w:t xml:space="preserve"> </w:t>
      </w:r>
      <w:r w:rsidR="00862789" w:rsidRPr="00B2253B">
        <w:rPr>
          <w:rFonts w:ascii="Book Antiqua" w:hAnsi="Book Antiqua"/>
          <w:lang w:val="es-PR"/>
        </w:rPr>
        <w:t xml:space="preserve">Se ordena a la Comisión de lo Jurídico de la </w:t>
      </w:r>
      <w:r w:rsidR="002C3AE9" w:rsidRPr="00B2253B">
        <w:rPr>
          <w:rFonts w:ascii="Book Antiqua" w:hAnsi="Book Antiqua"/>
          <w:lang w:val="es-PR"/>
        </w:rPr>
        <w:t xml:space="preserve">Cámara de Representantes </w:t>
      </w:r>
      <w:r w:rsidR="00862789" w:rsidRPr="00B2253B">
        <w:rPr>
          <w:rFonts w:ascii="Book Antiqua" w:hAnsi="Book Antiqua"/>
          <w:lang w:val="es-PR"/>
        </w:rPr>
        <w:t>de Puerto Rico</w:t>
      </w:r>
      <w:r w:rsidR="002C3AE9" w:rsidRPr="00B2253B">
        <w:rPr>
          <w:rFonts w:ascii="Book Antiqua" w:hAnsi="Book Antiqua"/>
          <w:lang w:val="es-PR"/>
        </w:rPr>
        <w:t>,</w:t>
      </w:r>
      <w:r w:rsidR="00862789" w:rsidRPr="00B2253B">
        <w:rPr>
          <w:rFonts w:ascii="Book Antiqua" w:hAnsi="Book Antiqua"/>
          <w:lang w:val="es-PR"/>
        </w:rPr>
        <w:t xml:space="preserve"> realizar una investigación exhaustiva </w:t>
      </w:r>
      <w:r w:rsidR="002C3AE9" w:rsidRPr="00B2253B">
        <w:rPr>
          <w:rFonts w:ascii="Book Antiqua" w:hAnsi="Book Antiqua"/>
          <w:lang w:val="es-PR"/>
        </w:rPr>
        <w:t xml:space="preserve">en torno a </w:t>
      </w:r>
      <w:r w:rsidR="002C3AE9" w:rsidRPr="00B2253B">
        <w:rPr>
          <w:rFonts w:ascii="Book Antiqua" w:hAnsi="Book Antiqua"/>
          <w:color w:val="000000" w:themeColor="text1"/>
          <w:lang w:val="es-PR"/>
        </w:rPr>
        <w:t>la aplicación de la Ley Núm. 54 de 15 de agosto de 1989, según enmendada, en casos que involucren menores de edad y su compatibilidad con los derechos constitucionales de los menores.</w:t>
      </w:r>
      <w:r w:rsidR="002C3AE9" w:rsidRPr="00B2253B">
        <w:rPr>
          <w:rFonts w:ascii="Book Antiqua" w:hAnsi="Book Antiqua"/>
          <w:lang w:val="es-PR"/>
        </w:rPr>
        <w:t xml:space="preserve"> </w:t>
      </w:r>
    </w:p>
    <w:p w14:paraId="24A20988" w14:textId="77777777" w:rsidR="002C3AE9" w:rsidRPr="00B2253B" w:rsidRDefault="002C3AE9" w:rsidP="00B2253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t>Sección 2.-Como parte de su análisis, la Comisión deberá evaluar lo siguiente:</w:t>
      </w:r>
    </w:p>
    <w:p w14:paraId="70291E23" w14:textId="591DEEC1" w:rsidR="002C3AE9" w:rsidRPr="00B2253B" w:rsidRDefault="002C3AE9" w:rsidP="00B2253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lastRenderedPageBreak/>
        <w:t xml:space="preserve">Los casos y determinaciones judiciales en las cuales se haya aplicado la Ley Núm. </w:t>
      </w:r>
      <w:r w:rsidR="0011629D" w:rsidRPr="00B2253B">
        <w:rPr>
          <w:rFonts w:ascii="Book Antiqua" w:hAnsi="Book Antiqua"/>
          <w:color w:val="000000" w:themeColor="text1"/>
          <w:lang w:val="es-PR"/>
        </w:rPr>
        <w:t>54 de 15 de agosto de 1989, según enmendada,</w:t>
      </w:r>
      <w:r w:rsidR="0011629D" w:rsidRPr="00B2253B">
        <w:rPr>
          <w:rFonts w:ascii="Book Antiqua" w:hAnsi="Book Antiqua"/>
          <w:color w:val="000000" w:themeColor="text1"/>
          <w:lang w:val="es-ES_tradnl"/>
        </w:rPr>
        <w:t xml:space="preserve"> </w:t>
      </w:r>
      <w:r w:rsidRPr="00B2253B">
        <w:rPr>
          <w:rFonts w:ascii="Book Antiqua" w:hAnsi="Book Antiqua"/>
          <w:color w:val="000000" w:themeColor="text1"/>
          <w:lang w:val="es-ES_tradnl"/>
        </w:rPr>
        <w:t>en controversias que involucren menores de edad;</w:t>
      </w:r>
    </w:p>
    <w:p w14:paraId="27AF639C" w14:textId="51F7AB9F" w:rsidR="002C3AE9" w:rsidRPr="00B2253B" w:rsidRDefault="002C3AE9" w:rsidP="00B2253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t xml:space="preserve">El alcance interpretativo que el Poder Judicial ha dado al artículo 2.3 de la referida </w:t>
      </w:r>
      <w:r w:rsidR="0011629D" w:rsidRPr="00B2253B">
        <w:rPr>
          <w:rFonts w:ascii="Book Antiqua" w:hAnsi="Book Antiqua"/>
          <w:color w:val="000000" w:themeColor="text1"/>
          <w:lang w:val="es-ES_tradnl"/>
        </w:rPr>
        <w:t>L</w:t>
      </w:r>
      <w:r w:rsidRPr="00B2253B">
        <w:rPr>
          <w:rFonts w:ascii="Book Antiqua" w:hAnsi="Book Antiqua"/>
          <w:color w:val="000000" w:themeColor="text1"/>
          <w:lang w:val="es-ES_tradnl"/>
        </w:rPr>
        <w:t xml:space="preserve">ey y su compatibilidad con la Ley Núm. </w:t>
      </w:r>
      <w:r w:rsidR="0011629D" w:rsidRPr="00B2253B">
        <w:rPr>
          <w:rFonts w:ascii="Book Antiqua" w:hAnsi="Book Antiqua"/>
          <w:color w:val="000000" w:themeColor="text1"/>
          <w:lang w:val="es-PR"/>
        </w:rPr>
        <w:t>88 de 9 de julio de 1986, según enmendada</w:t>
      </w:r>
      <w:r w:rsidRPr="00B2253B">
        <w:rPr>
          <w:rFonts w:ascii="Book Antiqua" w:hAnsi="Book Antiqua"/>
          <w:color w:val="000000" w:themeColor="text1"/>
          <w:lang w:val="es-ES_tradnl"/>
        </w:rPr>
        <w:t>;</w:t>
      </w:r>
    </w:p>
    <w:p w14:paraId="04C698BE" w14:textId="33538F5B" w:rsidR="002C3AE9" w:rsidRPr="00B2253B" w:rsidRDefault="002C3AE9" w:rsidP="00B2253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t>Si dichas interpretaciones pueden representar una violación a los derechos constitucionales de los menores, incluyendo el derecho al debido proceso de ley, a la educación y a la igualdad ante la ley.</w:t>
      </w:r>
    </w:p>
    <w:p w14:paraId="3FE0864E" w14:textId="58FCBB8D" w:rsidR="0011629D" w:rsidRPr="00B2253B" w:rsidRDefault="0011629D" w:rsidP="00B2253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lang w:val="es-PR"/>
        </w:rPr>
        <w:t>Identificar opiniones de expertos y recomendaciones de enmiendas legislativas o reglamentarias para garantizar la protección de los derechos de los menores en Puerto Rico.</w:t>
      </w:r>
    </w:p>
    <w:p w14:paraId="6301B1BB" w14:textId="1A455944" w:rsidR="009F497D" w:rsidRPr="00B2253B" w:rsidRDefault="0011629D" w:rsidP="00B2253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t>Sección 3.-</w:t>
      </w:r>
      <w:r w:rsidR="009F497D" w:rsidRPr="00B2253B">
        <w:rPr>
          <w:rFonts w:ascii="Book Antiqua" w:hAnsi="Book Antiqua"/>
          <w:color w:val="000000" w:themeColor="text1"/>
          <w:lang w:val="es-ES_tradnl"/>
        </w:rPr>
        <w:t xml:space="preserve">La Comisión realizará la investigación que aquí se dispone y presentará un informe a la Cámara de Representantes de Puerto Rico, conteniendo </w:t>
      </w:r>
      <w:r w:rsidR="00327AF2" w:rsidRPr="00B2253B">
        <w:rPr>
          <w:rFonts w:ascii="Book Antiqua" w:hAnsi="Book Antiqua"/>
          <w:color w:val="000000" w:themeColor="text1"/>
          <w:lang w:val="es-ES_tradnl"/>
        </w:rPr>
        <w:t>sus hallazgos</w:t>
      </w:r>
      <w:r w:rsidR="009F497D" w:rsidRPr="00B2253B">
        <w:rPr>
          <w:rFonts w:ascii="Book Antiqua" w:hAnsi="Book Antiqua"/>
          <w:color w:val="000000" w:themeColor="text1"/>
          <w:lang w:val="es-ES_tradnl"/>
        </w:rPr>
        <w:t>, conclusiones y recomen</w:t>
      </w:r>
      <w:r w:rsidR="00F02672" w:rsidRPr="00B2253B">
        <w:rPr>
          <w:rFonts w:ascii="Book Antiqua" w:hAnsi="Book Antiqua"/>
          <w:color w:val="000000" w:themeColor="text1"/>
          <w:lang w:val="es-ES_tradnl"/>
        </w:rPr>
        <w:t>dacion</w:t>
      </w:r>
      <w:r w:rsidR="001577BE" w:rsidRPr="00B2253B">
        <w:rPr>
          <w:rFonts w:ascii="Book Antiqua" w:hAnsi="Book Antiqua"/>
          <w:color w:val="000000" w:themeColor="text1"/>
          <w:lang w:val="es-ES_tradnl"/>
        </w:rPr>
        <w:t xml:space="preserve">es, </w:t>
      </w:r>
      <w:r w:rsidR="000D75AD" w:rsidRPr="00B2253B">
        <w:rPr>
          <w:rFonts w:ascii="Book Antiqua" w:hAnsi="Book Antiqua"/>
          <w:color w:val="000000" w:themeColor="text1"/>
          <w:lang w:val="es-ES_tradnl"/>
        </w:rPr>
        <w:t>dentro de los ciento</w:t>
      </w:r>
      <w:r w:rsidR="00DB6BAA" w:rsidRPr="00B2253B">
        <w:rPr>
          <w:rFonts w:ascii="Book Antiqua" w:hAnsi="Book Antiqua"/>
          <w:color w:val="000000" w:themeColor="text1"/>
          <w:lang w:val="es-ES_tradnl"/>
        </w:rPr>
        <w:t xml:space="preserve"> </w:t>
      </w:r>
      <w:r w:rsidR="007E6E82" w:rsidRPr="00B2253B">
        <w:rPr>
          <w:rFonts w:ascii="Book Antiqua" w:hAnsi="Book Antiqua"/>
          <w:color w:val="000000" w:themeColor="text1"/>
          <w:lang w:val="es-ES_tradnl"/>
        </w:rPr>
        <w:t xml:space="preserve">veinte </w:t>
      </w:r>
      <w:r w:rsidR="00DB6BAA" w:rsidRPr="00B2253B">
        <w:rPr>
          <w:rFonts w:ascii="Book Antiqua" w:hAnsi="Book Antiqua"/>
          <w:color w:val="000000" w:themeColor="text1"/>
          <w:lang w:val="es-ES_tradnl"/>
        </w:rPr>
        <w:t>(1</w:t>
      </w:r>
      <w:r w:rsidR="007E6E82" w:rsidRPr="00B2253B">
        <w:rPr>
          <w:rFonts w:ascii="Book Antiqua" w:hAnsi="Book Antiqua"/>
          <w:color w:val="000000" w:themeColor="text1"/>
          <w:lang w:val="es-ES_tradnl"/>
        </w:rPr>
        <w:t>2</w:t>
      </w:r>
      <w:r w:rsidR="00DB6BAA" w:rsidRPr="00B2253B">
        <w:rPr>
          <w:rFonts w:ascii="Book Antiqua" w:hAnsi="Book Antiqua"/>
          <w:color w:val="000000" w:themeColor="text1"/>
          <w:lang w:val="es-ES_tradnl"/>
        </w:rPr>
        <w:t>0</w:t>
      </w:r>
      <w:r w:rsidR="009F497D" w:rsidRPr="00B2253B">
        <w:rPr>
          <w:rFonts w:ascii="Book Antiqua" w:hAnsi="Book Antiqua"/>
          <w:color w:val="000000" w:themeColor="text1"/>
          <w:lang w:val="es-ES_tradnl"/>
        </w:rPr>
        <w:t>) días siguientes a la fecha de aprobación de esta Resolución.</w:t>
      </w:r>
    </w:p>
    <w:p w14:paraId="1D75B094" w14:textId="70DCBE06" w:rsidR="007E6E82" w:rsidRPr="00B2253B" w:rsidRDefault="009F497D" w:rsidP="00B2253B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B2253B">
        <w:rPr>
          <w:rFonts w:ascii="Book Antiqua" w:hAnsi="Book Antiqua"/>
          <w:color w:val="000000" w:themeColor="text1"/>
          <w:lang w:val="es-ES_tradnl"/>
        </w:rPr>
        <w:tab/>
      </w:r>
      <w:r w:rsidR="007E6E82" w:rsidRPr="00B2253B">
        <w:rPr>
          <w:rFonts w:ascii="Book Antiqua" w:hAnsi="Book Antiqua"/>
          <w:color w:val="000000" w:themeColor="text1"/>
          <w:lang w:val="es-ES_tradnl"/>
        </w:rPr>
        <w:t>Sección 4.-Esta Resolución comenzará a regir inmediatamente después de su aprobación.</w:t>
      </w:r>
    </w:p>
    <w:sectPr w:rsidR="007E6E82" w:rsidRPr="00B2253B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4457C" w14:textId="77777777" w:rsidR="007543F5" w:rsidRDefault="007543F5" w:rsidP="009F497D">
      <w:r>
        <w:separator/>
      </w:r>
    </w:p>
  </w:endnote>
  <w:endnote w:type="continuationSeparator" w:id="0">
    <w:p w14:paraId="3D7C6C17" w14:textId="77777777" w:rsidR="007543F5" w:rsidRDefault="007543F5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4FAD4" w14:textId="77777777" w:rsidR="007543F5" w:rsidRDefault="007543F5" w:rsidP="009F497D">
      <w:r>
        <w:separator/>
      </w:r>
    </w:p>
  </w:footnote>
  <w:footnote w:type="continuationSeparator" w:id="0">
    <w:p w14:paraId="3B550059" w14:textId="77777777" w:rsidR="007543F5" w:rsidRDefault="007543F5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0E39"/>
    <w:multiLevelType w:val="hybridMultilevel"/>
    <w:tmpl w:val="8FD6B0F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4E1397"/>
    <w:multiLevelType w:val="hybridMultilevel"/>
    <w:tmpl w:val="0B923FBC"/>
    <w:lvl w:ilvl="0" w:tplc="5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80183"/>
    <w:multiLevelType w:val="hybridMultilevel"/>
    <w:tmpl w:val="A5C027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7305">
    <w:abstractNumId w:val="2"/>
  </w:num>
  <w:num w:numId="2" w16cid:durableId="889925848">
    <w:abstractNumId w:val="1"/>
  </w:num>
  <w:num w:numId="3" w16cid:durableId="188547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6ABC"/>
    <w:rsid w:val="00036982"/>
    <w:rsid w:val="00036B6A"/>
    <w:rsid w:val="00046385"/>
    <w:rsid w:val="000624F3"/>
    <w:rsid w:val="00072775"/>
    <w:rsid w:val="00072D13"/>
    <w:rsid w:val="0008186D"/>
    <w:rsid w:val="000A2888"/>
    <w:rsid w:val="000B2E2E"/>
    <w:rsid w:val="000C1D24"/>
    <w:rsid w:val="000C7D46"/>
    <w:rsid w:val="000D75AD"/>
    <w:rsid w:val="000E41F7"/>
    <w:rsid w:val="0010234D"/>
    <w:rsid w:val="00102523"/>
    <w:rsid w:val="0011629D"/>
    <w:rsid w:val="00121B70"/>
    <w:rsid w:val="00122778"/>
    <w:rsid w:val="001269AE"/>
    <w:rsid w:val="001375AE"/>
    <w:rsid w:val="001468B5"/>
    <w:rsid w:val="001577BE"/>
    <w:rsid w:val="001610D5"/>
    <w:rsid w:val="00185592"/>
    <w:rsid w:val="00194DAF"/>
    <w:rsid w:val="001C1507"/>
    <w:rsid w:val="001C4497"/>
    <w:rsid w:val="001C664B"/>
    <w:rsid w:val="001D6A60"/>
    <w:rsid w:val="001E244E"/>
    <w:rsid w:val="00202EDB"/>
    <w:rsid w:val="002100EE"/>
    <w:rsid w:val="002129BC"/>
    <w:rsid w:val="002202FE"/>
    <w:rsid w:val="002214CF"/>
    <w:rsid w:val="00221A06"/>
    <w:rsid w:val="00227780"/>
    <w:rsid w:val="002464AA"/>
    <w:rsid w:val="002534E2"/>
    <w:rsid w:val="00267AEC"/>
    <w:rsid w:val="00270D7F"/>
    <w:rsid w:val="00290573"/>
    <w:rsid w:val="002A0D52"/>
    <w:rsid w:val="002A259D"/>
    <w:rsid w:val="002B2D3A"/>
    <w:rsid w:val="002B5260"/>
    <w:rsid w:val="002C39CD"/>
    <w:rsid w:val="002C3AE9"/>
    <w:rsid w:val="002D54E1"/>
    <w:rsid w:val="002D6381"/>
    <w:rsid w:val="00307F1B"/>
    <w:rsid w:val="00313B2F"/>
    <w:rsid w:val="0031586B"/>
    <w:rsid w:val="00324AD1"/>
    <w:rsid w:val="00327AF2"/>
    <w:rsid w:val="00345BDD"/>
    <w:rsid w:val="00366F0D"/>
    <w:rsid w:val="003714B3"/>
    <w:rsid w:val="003A6074"/>
    <w:rsid w:val="003B2B25"/>
    <w:rsid w:val="003C073E"/>
    <w:rsid w:val="003C1725"/>
    <w:rsid w:val="003C50EB"/>
    <w:rsid w:val="003D28DF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306A0"/>
    <w:rsid w:val="0045615E"/>
    <w:rsid w:val="00460970"/>
    <w:rsid w:val="00465506"/>
    <w:rsid w:val="004815A1"/>
    <w:rsid w:val="00493642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1E1D"/>
    <w:rsid w:val="005077BD"/>
    <w:rsid w:val="00525E8B"/>
    <w:rsid w:val="00537842"/>
    <w:rsid w:val="00546727"/>
    <w:rsid w:val="005533FA"/>
    <w:rsid w:val="0056099C"/>
    <w:rsid w:val="00561593"/>
    <w:rsid w:val="00570E91"/>
    <w:rsid w:val="00571793"/>
    <w:rsid w:val="00583973"/>
    <w:rsid w:val="0059528B"/>
    <w:rsid w:val="00596CEB"/>
    <w:rsid w:val="005A2FD1"/>
    <w:rsid w:val="005D07B7"/>
    <w:rsid w:val="005F69EE"/>
    <w:rsid w:val="00625725"/>
    <w:rsid w:val="00626799"/>
    <w:rsid w:val="006327A5"/>
    <w:rsid w:val="00660DF6"/>
    <w:rsid w:val="00661B48"/>
    <w:rsid w:val="006A0BC6"/>
    <w:rsid w:val="006A29EF"/>
    <w:rsid w:val="006A6E53"/>
    <w:rsid w:val="006C2A2D"/>
    <w:rsid w:val="006C795F"/>
    <w:rsid w:val="006D3460"/>
    <w:rsid w:val="006E790A"/>
    <w:rsid w:val="00700407"/>
    <w:rsid w:val="007039BC"/>
    <w:rsid w:val="00704955"/>
    <w:rsid w:val="00715E76"/>
    <w:rsid w:val="007164AE"/>
    <w:rsid w:val="00733603"/>
    <w:rsid w:val="0075268D"/>
    <w:rsid w:val="007543F5"/>
    <w:rsid w:val="00757AF0"/>
    <w:rsid w:val="0076151A"/>
    <w:rsid w:val="00772E8E"/>
    <w:rsid w:val="00792176"/>
    <w:rsid w:val="007A17FD"/>
    <w:rsid w:val="007C0B99"/>
    <w:rsid w:val="007E6E82"/>
    <w:rsid w:val="007F61B8"/>
    <w:rsid w:val="00811417"/>
    <w:rsid w:val="00850D45"/>
    <w:rsid w:val="0085238D"/>
    <w:rsid w:val="0085285E"/>
    <w:rsid w:val="00862789"/>
    <w:rsid w:val="0088616A"/>
    <w:rsid w:val="008944FD"/>
    <w:rsid w:val="00895D9A"/>
    <w:rsid w:val="008A5B61"/>
    <w:rsid w:val="008D3C3B"/>
    <w:rsid w:val="008E3EA3"/>
    <w:rsid w:val="008F614B"/>
    <w:rsid w:val="00903CDE"/>
    <w:rsid w:val="00915D63"/>
    <w:rsid w:val="0091746E"/>
    <w:rsid w:val="009240AD"/>
    <w:rsid w:val="0094441F"/>
    <w:rsid w:val="00953A81"/>
    <w:rsid w:val="00955D7A"/>
    <w:rsid w:val="0096063F"/>
    <w:rsid w:val="00971B96"/>
    <w:rsid w:val="0097307B"/>
    <w:rsid w:val="00982813"/>
    <w:rsid w:val="00991456"/>
    <w:rsid w:val="009A4B7C"/>
    <w:rsid w:val="009B2C1C"/>
    <w:rsid w:val="009C1F32"/>
    <w:rsid w:val="009C37A9"/>
    <w:rsid w:val="009D2058"/>
    <w:rsid w:val="009D50E0"/>
    <w:rsid w:val="009D5835"/>
    <w:rsid w:val="009D6CA0"/>
    <w:rsid w:val="009F3C9A"/>
    <w:rsid w:val="009F497D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40418"/>
    <w:rsid w:val="00A63DA6"/>
    <w:rsid w:val="00A704EC"/>
    <w:rsid w:val="00A763E3"/>
    <w:rsid w:val="00A90546"/>
    <w:rsid w:val="00AC2394"/>
    <w:rsid w:val="00AE59C4"/>
    <w:rsid w:val="00AF58E1"/>
    <w:rsid w:val="00B138FF"/>
    <w:rsid w:val="00B2253B"/>
    <w:rsid w:val="00B2289E"/>
    <w:rsid w:val="00B331B3"/>
    <w:rsid w:val="00B429F3"/>
    <w:rsid w:val="00B47F22"/>
    <w:rsid w:val="00B509DD"/>
    <w:rsid w:val="00B51019"/>
    <w:rsid w:val="00B57FA4"/>
    <w:rsid w:val="00B6641F"/>
    <w:rsid w:val="00B73525"/>
    <w:rsid w:val="00B74F94"/>
    <w:rsid w:val="00B80BFA"/>
    <w:rsid w:val="00B811B6"/>
    <w:rsid w:val="00B8376B"/>
    <w:rsid w:val="00B8406A"/>
    <w:rsid w:val="00B846E6"/>
    <w:rsid w:val="00B84B38"/>
    <w:rsid w:val="00BA5006"/>
    <w:rsid w:val="00BB4F51"/>
    <w:rsid w:val="00BC20AD"/>
    <w:rsid w:val="00BD4418"/>
    <w:rsid w:val="00BF1C94"/>
    <w:rsid w:val="00C02301"/>
    <w:rsid w:val="00C166F0"/>
    <w:rsid w:val="00C2613A"/>
    <w:rsid w:val="00C31CC9"/>
    <w:rsid w:val="00C3774E"/>
    <w:rsid w:val="00C461C2"/>
    <w:rsid w:val="00C55855"/>
    <w:rsid w:val="00C5642B"/>
    <w:rsid w:val="00C67200"/>
    <w:rsid w:val="00C7380C"/>
    <w:rsid w:val="00CB76BD"/>
    <w:rsid w:val="00CD6474"/>
    <w:rsid w:val="00CE1F69"/>
    <w:rsid w:val="00CE5DBE"/>
    <w:rsid w:val="00CF3A03"/>
    <w:rsid w:val="00D021A9"/>
    <w:rsid w:val="00D246C4"/>
    <w:rsid w:val="00D40792"/>
    <w:rsid w:val="00D51B27"/>
    <w:rsid w:val="00D541FD"/>
    <w:rsid w:val="00D8069D"/>
    <w:rsid w:val="00D8136C"/>
    <w:rsid w:val="00D82C7A"/>
    <w:rsid w:val="00D93366"/>
    <w:rsid w:val="00DB0D7F"/>
    <w:rsid w:val="00DB6BAA"/>
    <w:rsid w:val="00DF7FF3"/>
    <w:rsid w:val="00E14EA8"/>
    <w:rsid w:val="00E16034"/>
    <w:rsid w:val="00E16736"/>
    <w:rsid w:val="00E17782"/>
    <w:rsid w:val="00E24D54"/>
    <w:rsid w:val="00E434B4"/>
    <w:rsid w:val="00E44AB2"/>
    <w:rsid w:val="00E56B83"/>
    <w:rsid w:val="00E65E40"/>
    <w:rsid w:val="00E929BA"/>
    <w:rsid w:val="00E96D15"/>
    <w:rsid w:val="00E979A4"/>
    <w:rsid w:val="00EC3EBB"/>
    <w:rsid w:val="00EE7A25"/>
    <w:rsid w:val="00F02672"/>
    <w:rsid w:val="00F53E3A"/>
    <w:rsid w:val="00F57163"/>
    <w:rsid w:val="00F668F4"/>
    <w:rsid w:val="00F709B3"/>
    <w:rsid w:val="00F756AB"/>
    <w:rsid w:val="00F75C7F"/>
    <w:rsid w:val="00F842A7"/>
    <w:rsid w:val="00F86034"/>
    <w:rsid w:val="00F94F05"/>
    <w:rsid w:val="00F9699B"/>
    <w:rsid w:val="00F97C66"/>
    <w:rsid w:val="00FA552E"/>
    <w:rsid w:val="00FB01CE"/>
    <w:rsid w:val="00FC18FC"/>
    <w:rsid w:val="00FD5299"/>
    <w:rsid w:val="00FD598C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7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7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62789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800</Words>
  <Characters>4243</Characters>
  <Application>Microsoft Office Word</Application>
  <DocSecurity>0</DocSecurity>
  <Lines>97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Victor E. Vélez Cucuta</cp:lastModifiedBy>
  <cp:revision>2</cp:revision>
  <cp:lastPrinted>2026-01-28T17:08:00Z</cp:lastPrinted>
  <dcterms:created xsi:type="dcterms:W3CDTF">2026-01-28T17:12:00Z</dcterms:created>
  <dcterms:modified xsi:type="dcterms:W3CDTF">2026-01-28T17:12:00Z</dcterms:modified>
</cp:coreProperties>
</file>