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E3A5C" w14:textId="77777777" w:rsidR="00A44FBC" w:rsidRPr="00F605B6" w:rsidRDefault="00A44FBC" w:rsidP="00A44FBC">
      <w:pPr>
        <w:spacing w:line="281" w:lineRule="auto"/>
        <w:jc w:val="center"/>
        <w:rPr>
          <w:rFonts w:ascii="Book Antiqua" w:hAnsi="Book Antiqua"/>
          <w:sz w:val="28"/>
          <w:szCs w:val="28"/>
          <w:lang w:val="es-PR"/>
        </w:rPr>
      </w:pPr>
      <w:r w:rsidRPr="00F605B6">
        <w:rPr>
          <w:rFonts w:ascii="Book Antiqua" w:hAnsi="Book Antiqua"/>
          <w:sz w:val="28"/>
          <w:szCs w:val="28"/>
          <w:lang w:val="es-PR"/>
        </w:rPr>
        <w:t>GOBIERNO DE PUERTO RICO</w:t>
      </w:r>
    </w:p>
    <w:p w14:paraId="0171C1A1" w14:textId="77777777" w:rsidR="00A44FBC" w:rsidRPr="00F605B6" w:rsidRDefault="00A44FBC" w:rsidP="00A44FBC">
      <w:pPr>
        <w:tabs>
          <w:tab w:val="right" w:pos="9000"/>
        </w:tabs>
        <w:spacing w:line="281" w:lineRule="auto"/>
        <w:rPr>
          <w:rFonts w:ascii="Book Antiqua" w:hAnsi="Book Antiqua"/>
          <w:lang w:val="es-PR"/>
        </w:rPr>
      </w:pPr>
      <w:r w:rsidRPr="00F605B6">
        <w:rPr>
          <w:rFonts w:ascii="Book Antiqua" w:hAnsi="Book Antiqua"/>
          <w:lang w:val="es-PR"/>
        </w:rPr>
        <w:t>20</w:t>
      </w:r>
      <w:r w:rsidRPr="00F605B6">
        <w:rPr>
          <w:rFonts w:ascii="Book Antiqua" w:hAnsi="Book Antiqua"/>
          <w:vertAlign w:val="superscript"/>
          <w:lang w:val="es-PR"/>
        </w:rPr>
        <w:t>ma</w:t>
      </w:r>
      <w:r w:rsidRPr="00F605B6">
        <w:rPr>
          <w:rFonts w:ascii="Book Antiqua" w:hAnsi="Book Antiqua"/>
          <w:lang w:val="es-PR"/>
        </w:rPr>
        <w:t xml:space="preserve"> Asamblea</w:t>
      </w:r>
      <w:r w:rsidRPr="00F605B6">
        <w:rPr>
          <w:rFonts w:ascii="Book Antiqua" w:hAnsi="Book Antiqua"/>
          <w:lang w:val="es-PR"/>
        </w:rPr>
        <w:tab/>
        <w:t>3</w:t>
      </w:r>
      <w:r w:rsidRPr="00F605B6">
        <w:rPr>
          <w:rFonts w:ascii="Book Antiqua" w:hAnsi="Book Antiqua"/>
          <w:vertAlign w:val="superscript"/>
          <w:lang w:val="es-PR"/>
        </w:rPr>
        <w:t>ra</w:t>
      </w:r>
      <w:r w:rsidRPr="00F605B6">
        <w:rPr>
          <w:rFonts w:ascii="Book Antiqua" w:hAnsi="Book Antiqua"/>
          <w:lang w:val="es-PR"/>
        </w:rPr>
        <w:t xml:space="preserve"> Sesión</w:t>
      </w:r>
    </w:p>
    <w:p w14:paraId="041DE7AD" w14:textId="77777777" w:rsidR="00A44FBC" w:rsidRPr="00F605B6" w:rsidRDefault="00A44FBC" w:rsidP="00A44FBC">
      <w:pPr>
        <w:tabs>
          <w:tab w:val="right" w:pos="9000"/>
        </w:tabs>
        <w:spacing w:line="281" w:lineRule="auto"/>
        <w:rPr>
          <w:rFonts w:ascii="Book Antiqua" w:hAnsi="Book Antiqua"/>
          <w:lang w:val="es-PR"/>
        </w:rPr>
      </w:pPr>
      <w:r w:rsidRPr="00F605B6">
        <w:rPr>
          <w:rFonts w:ascii="Book Antiqua" w:hAnsi="Book Antiqua"/>
          <w:lang w:val="es-PR"/>
        </w:rPr>
        <w:t>Legislativa</w:t>
      </w:r>
      <w:r w:rsidRPr="00F605B6">
        <w:rPr>
          <w:rFonts w:ascii="Book Antiqua" w:hAnsi="Book Antiqua"/>
          <w:lang w:val="es-PR"/>
        </w:rPr>
        <w:tab/>
        <w:t>Ordinaria</w:t>
      </w:r>
    </w:p>
    <w:p w14:paraId="0A4D9572" w14:textId="77777777" w:rsidR="00A44FBC" w:rsidRPr="00F605B6" w:rsidRDefault="00A44FBC" w:rsidP="00A44FBC">
      <w:pPr>
        <w:spacing w:before="80" w:after="120"/>
        <w:jc w:val="center"/>
        <w:rPr>
          <w:rFonts w:ascii="Book Antiqua" w:hAnsi="Book Antiqua"/>
          <w:b/>
          <w:bCs/>
          <w:sz w:val="36"/>
          <w:szCs w:val="36"/>
          <w:lang w:val="es-PR"/>
        </w:rPr>
      </w:pPr>
      <w:r w:rsidRPr="00F605B6">
        <w:rPr>
          <w:rFonts w:ascii="Book Antiqua" w:hAnsi="Book Antiqua"/>
          <w:b/>
          <w:bCs/>
          <w:sz w:val="36"/>
          <w:szCs w:val="36"/>
          <w:lang w:val="es-PR"/>
        </w:rPr>
        <w:t>CÁMARA DE REPRESENTANTES</w:t>
      </w:r>
    </w:p>
    <w:p w14:paraId="5D6ADADC" w14:textId="4FB426E8" w:rsidR="00A44FBC" w:rsidRPr="00F605B6" w:rsidRDefault="00A44FBC" w:rsidP="00A44FBC">
      <w:pPr>
        <w:spacing w:after="120"/>
        <w:jc w:val="center"/>
        <w:rPr>
          <w:rFonts w:ascii="Book Antiqua" w:hAnsi="Book Antiqua"/>
          <w:sz w:val="52"/>
          <w:szCs w:val="52"/>
          <w:lang w:val="es-PR"/>
        </w:rPr>
      </w:pPr>
      <w:r w:rsidRPr="00F605B6">
        <w:rPr>
          <w:rFonts w:ascii="Book Antiqua" w:hAnsi="Book Antiqua"/>
          <w:b/>
          <w:bCs/>
          <w:sz w:val="52"/>
          <w:szCs w:val="52"/>
          <w:lang w:val="es-PR"/>
        </w:rPr>
        <w:t>R. C. DE LA C. 2</w:t>
      </w:r>
      <w:r w:rsidR="00F605B6">
        <w:rPr>
          <w:rFonts w:ascii="Book Antiqua" w:hAnsi="Book Antiqua"/>
          <w:b/>
          <w:bCs/>
          <w:sz w:val="52"/>
          <w:szCs w:val="52"/>
          <w:lang w:val="es-PR"/>
        </w:rPr>
        <w:t>45</w:t>
      </w:r>
    </w:p>
    <w:p w14:paraId="675B1D71" w14:textId="77777777" w:rsidR="00A44FBC" w:rsidRPr="00F605B6" w:rsidRDefault="00A44FBC" w:rsidP="00A44FBC">
      <w:pPr>
        <w:spacing w:before="80" w:after="120"/>
        <w:jc w:val="center"/>
        <w:rPr>
          <w:rFonts w:ascii="Book Antiqua" w:hAnsi="Book Antiqua"/>
          <w:lang w:val="es-PR"/>
        </w:rPr>
      </w:pPr>
    </w:p>
    <w:p w14:paraId="2D855D35" w14:textId="77777777" w:rsidR="00A44FBC" w:rsidRPr="00A140CB" w:rsidRDefault="00A44FBC" w:rsidP="00A44FBC">
      <w:pPr>
        <w:spacing w:after="120"/>
        <w:jc w:val="center"/>
        <w:rPr>
          <w:rFonts w:ascii="Book Antiqua" w:hAnsi="Book Antiqua"/>
          <w:b/>
          <w:bCs/>
          <w:sz w:val="24"/>
          <w:szCs w:val="24"/>
          <w:lang w:val="es-PR"/>
        </w:rPr>
      </w:pPr>
      <w:r w:rsidRPr="00A140CB">
        <w:rPr>
          <w:rFonts w:ascii="Book Antiqua" w:hAnsi="Book Antiqua"/>
          <w:b/>
          <w:bCs/>
          <w:sz w:val="24"/>
          <w:szCs w:val="24"/>
          <w:lang w:val="es-PR"/>
        </w:rPr>
        <w:t>INFORME POSITIVO</w:t>
      </w:r>
    </w:p>
    <w:p w14:paraId="705575F8" w14:textId="215279A4" w:rsidR="00A44FBC" w:rsidRPr="00A140CB" w:rsidRDefault="000523CC" w:rsidP="00A44FBC">
      <w:pPr>
        <w:spacing w:after="120"/>
        <w:jc w:val="center"/>
        <w:rPr>
          <w:rFonts w:ascii="Book Antiqua" w:hAnsi="Book Antiqua"/>
          <w:sz w:val="24"/>
          <w:szCs w:val="24"/>
          <w:lang w:val="es-PR"/>
        </w:rPr>
      </w:pPr>
      <w:r>
        <w:rPr>
          <w:rFonts w:ascii="Book Antiqua" w:hAnsi="Book Antiqua"/>
          <w:b/>
          <w:bCs/>
          <w:sz w:val="24"/>
          <w:szCs w:val="24"/>
          <w:lang w:val="es-PR"/>
        </w:rPr>
        <w:t>9</w:t>
      </w:r>
      <w:r w:rsidR="00A44FBC" w:rsidRPr="00A140CB">
        <w:rPr>
          <w:rFonts w:ascii="Book Antiqua" w:hAnsi="Book Antiqua"/>
          <w:b/>
          <w:bCs/>
          <w:sz w:val="24"/>
          <w:szCs w:val="24"/>
          <w:lang w:val="es-PR"/>
        </w:rPr>
        <w:t xml:space="preserve"> </w:t>
      </w:r>
      <w:r w:rsidR="002A10E9" w:rsidRPr="00A140CB">
        <w:rPr>
          <w:rFonts w:ascii="Book Antiqua" w:hAnsi="Book Antiqua"/>
          <w:b/>
          <w:bCs/>
          <w:sz w:val="24"/>
          <w:szCs w:val="24"/>
          <w:lang w:val="es-PR"/>
        </w:rPr>
        <w:t xml:space="preserve">de junio de </w:t>
      </w:r>
      <w:r w:rsidR="00A44FBC" w:rsidRPr="00A140CB">
        <w:rPr>
          <w:rFonts w:ascii="Book Antiqua" w:hAnsi="Book Antiqua"/>
          <w:b/>
          <w:bCs/>
          <w:sz w:val="24"/>
          <w:szCs w:val="24"/>
          <w:lang w:val="es-PR"/>
        </w:rPr>
        <w:t>2026</w:t>
      </w:r>
    </w:p>
    <w:p w14:paraId="73D6B260" w14:textId="77777777" w:rsidR="00A44FBC" w:rsidRPr="00F605B6" w:rsidRDefault="00A44FBC">
      <w:pPr>
        <w:spacing w:after="160"/>
        <w:rPr>
          <w:rFonts w:ascii="Book Antiqua" w:hAnsi="Book Antiqua"/>
          <w:b/>
          <w:bCs/>
          <w:sz w:val="24"/>
          <w:szCs w:val="24"/>
          <w:lang w:val="es-PR"/>
        </w:rPr>
      </w:pPr>
    </w:p>
    <w:p w14:paraId="7B75CEB8" w14:textId="429BF36F" w:rsidR="007463E2" w:rsidRPr="00F605B6" w:rsidRDefault="00FA5AC5">
      <w:pPr>
        <w:spacing w:after="160"/>
        <w:rPr>
          <w:rFonts w:ascii="Book Antiqua" w:hAnsi="Book Antiqua"/>
          <w:lang w:val="es-PR"/>
        </w:rPr>
      </w:pPr>
      <w:r w:rsidRPr="00F605B6">
        <w:rPr>
          <w:rFonts w:ascii="Book Antiqua" w:hAnsi="Book Antiqua"/>
          <w:b/>
          <w:bCs/>
          <w:sz w:val="24"/>
          <w:szCs w:val="24"/>
          <w:lang w:val="es-PR"/>
        </w:rPr>
        <w:t>A LA CÁMARA DE REPRESENTANTES DE PUERTO RICO:</w:t>
      </w:r>
    </w:p>
    <w:p w14:paraId="71886E5D"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La </w:t>
      </w:r>
      <w:r w:rsidRPr="00F605B6">
        <w:rPr>
          <w:rFonts w:ascii="Book Antiqua" w:hAnsi="Book Antiqua"/>
          <w:b/>
          <w:bCs/>
          <w:sz w:val="24"/>
          <w:szCs w:val="24"/>
          <w:lang w:val="es-PR"/>
        </w:rPr>
        <w:t>Comisión de Recursos Naturales de la Cámara de Representantes</w:t>
      </w:r>
      <w:r w:rsidRPr="00F605B6">
        <w:rPr>
          <w:rFonts w:ascii="Book Antiqua" w:hAnsi="Book Antiqua"/>
          <w:sz w:val="24"/>
          <w:szCs w:val="24"/>
          <w:lang w:val="es-PR"/>
        </w:rPr>
        <w:t xml:space="preserve"> </w:t>
      </w:r>
      <w:r w:rsidRPr="00F605B6">
        <w:rPr>
          <w:rFonts w:ascii="Book Antiqua" w:hAnsi="Book Antiqua"/>
          <w:b/>
          <w:bCs/>
          <w:sz w:val="24"/>
          <w:szCs w:val="24"/>
          <w:lang w:val="es-PR"/>
        </w:rPr>
        <w:t>del Gobierno de Puerto Rico</w:t>
      </w:r>
      <w:r w:rsidRPr="00F605B6">
        <w:rPr>
          <w:rFonts w:ascii="Book Antiqua" w:hAnsi="Book Antiqua"/>
          <w:sz w:val="24"/>
          <w:szCs w:val="24"/>
          <w:lang w:val="es-PR"/>
        </w:rPr>
        <w:t xml:space="preserve">, previo estudio y consideración de la </w:t>
      </w:r>
      <w:r w:rsidRPr="00F605B6">
        <w:rPr>
          <w:rFonts w:ascii="Book Antiqua" w:hAnsi="Book Antiqua"/>
          <w:b/>
          <w:bCs/>
          <w:sz w:val="24"/>
          <w:szCs w:val="24"/>
          <w:lang w:val="es-PR"/>
        </w:rPr>
        <w:t>Resolución Conjunta de la Cámara 245</w:t>
      </w:r>
      <w:r w:rsidRPr="00F605B6">
        <w:rPr>
          <w:rFonts w:ascii="Book Antiqua" w:hAnsi="Book Antiqua"/>
          <w:sz w:val="24"/>
          <w:szCs w:val="24"/>
          <w:lang w:val="es-PR"/>
        </w:rPr>
        <w:t xml:space="preserve">, tiene el honor de recomendar a este Honorable Cuerpo Legislativo su </w:t>
      </w:r>
      <w:r w:rsidRPr="00F605B6">
        <w:rPr>
          <w:rFonts w:ascii="Book Antiqua" w:hAnsi="Book Antiqua"/>
          <w:b/>
          <w:bCs/>
          <w:sz w:val="24"/>
          <w:szCs w:val="24"/>
          <w:lang w:val="es-PR"/>
        </w:rPr>
        <w:t xml:space="preserve">aprobación, con enmiendas, </w:t>
      </w:r>
      <w:r w:rsidRPr="00F605B6">
        <w:rPr>
          <w:rFonts w:ascii="Book Antiqua" w:hAnsi="Book Antiqua"/>
          <w:sz w:val="24"/>
          <w:szCs w:val="24"/>
          <w:lang w:val="es-PR"/>
        </w:rPr>
        <w:t xml:space="preserve">según surge del texto entrillado que acompaña el presente Informe. La única enmienda consiste en sustituir la denominación “Comisión Conjunta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xml:space="preserve">” por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en todo el texto de la medida, eliminando la palabra “Conjunta” del nombre del ente creado.</w:t>
      </w:r>
    </w:p>
    <w:p w14:paraId="19FEDA00" w14:textId="77777777" w:rsidR="007463E2" w:rsidRPr="00F605B6" w:rsidRDefault="007463E2" w:rsidP="00D32867">
      <w:pPr>
        <w:spacing w:after="120"/>
        <w:rPr>
          <w:rFonts w:ascii="Book Antiqua" w:hAnsi="Book Antiqua"/>
          <w:lang w:val="es-PR"/>
        </w:rPr>
      </w:pPr>
    </w:p>
    <w:p w14:paraId="60FE0159" w14:textId="77777777" w:rsidR="007463E2" w:rsidRPr="00F605B6" w:rsidRDefault="00FA5AC5" w:rsidP="00D32867">
      <w:pPr>
        <w:spacing w:after="120"/>
        <w:jc w:val="center"/>
        <w:rPr>
          <w:rFonts w:ascii="Book Antiqua" w:hAnsi="Book Antiqua"/>
          <w:lang w:val="es-PR"/>
        </w:rPr>
      </w:pPr>
      <w:r w:rsidRPr="00F605B6">
        <w:rPr>
          <w:rFonts w:ascii="Book Antiqua" w:hAnsi="Book Antiqua"/>
          <w:b/>
          <w:bCs/>
          <w:sz w:val="24"/>
          <w:szCs w:val="24"/>
          <w:lang w:val="es-PR"/>
        </w:rPr>
        <w:t>ALCANCE DE LA MEDIDA</w:t>
      </w:r>
    </w:p>
    <w:p w14:paraId="0B869AE3" w14:textId="0A8CB6EC"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La Resolución Conjunta de la Cámara 245, según enmendada, crea la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xml:space="preserve"> en atención a la Erosión Costera en el Municipio de Loíza (en adelante, “la Comisión”), con el propósito de establecer un mecanismo formal de coordinación y acción gubernamental para atender la crítica situación de erosión costera que afecta al Municipio de Loíza. La medida ubica a la Comisión como ente coordinador entre agencias estatales, federales y municipales, así como con organizaciones comunitarias y del sector académico, con miras a delinear estrategias de resiliencia costera, evaluar impactos en comunidades específicas, identificar proyectos de mitigación y recomendar medidas de política pública.</w:t>
      </w:r>
    </w:p>
    <w:p w14:paraId="45F0AAFD" w14:textId="061AE1E3"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La medida ordena a la Comisión atender, de manera prioritaria, los siguientes asuntos: evaluar el impacto actual de la erosión costera en el Municipio de Loíza, con especial atención a las comunidades más afectadas, tales como Parcelas Suárez, Medianía Alta y Baja, Piñones y otras zonas costeras vulnerables; identificar proyectos de infraestructura y mitigación prioritarios, incluyendo barreras naturales, restauración de dunas y litorales de arena, reforestación costera, </w:t>
      </w:r>
      <w:r w:rsidR="009860F3" w:rsidRPr="00F605B6">
        <w:rPr>
          <w:rFonts w:ascii="Book Antiqua" w:hAnsi="Book Antiqua"/>
          <w:sz w:val="24"/>
          <w:szCs w:val="24"/>
          <w:lang w:val="es-PR"/>
        </w:rPr>
        <w:t>relocalización</w:t>
      </w:r>
      <w:r w:rsidRPr="00F605B6">
        <w:rPr>
          <w:rFonts w:ascii="Book Antiqua" w:hAnsi="Book Antiqua"/>
          <w:sz w:val="24"/>
          <w:szCs w:val="24"/>
          <w:lang w:val="es-PR"/>
        </w:rPr>
        <w:t xml:space="preserve"> planificada de viviendas y estabilización de taludes; recomendar medidas de política pública y legislación; establecer un plan de acción a corto, mediano y largo plazo con cronograma y métricas de cumplimiento; incorporar participación comunitaria efectiva; coordinar esfuerzos con </w:t>
      </w:r>
      <w:r w:rsidRPr="00F605B6">
        <w:rPr>
          <w:rFonts w:ascii="Book Antiqua" w:hAnsi="Book Antiqua"/>
          <w:sz w:val="24"/>
          <w:szCs w:val="24"/>
          <w:lang w:val="es-PR"/>
        </w:rPr>
        <w:lastRenderedPageBreak/>
        <w:t>el Cuerpo de Ingenieros del Ejército de los Estados Unidos de América (USACE), FEMA, NOAA y el DRNA para viabilizar el acceso a fondos federales de mitigación y resiliencia costera; e investigar la aplicabilidad de fondos federales administrativos disponibles, incluyendo los programas HUD (CDBG-MIT), HMGP y CZM.</w:t>
      </w:r>
    </w:p>
    <w:p w14:paraId="3CDC926A"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La Comisión estará compuesta por el Secretario del Departamento de Recursos Naturales y Ambientales, quien la presidirá; el Director Ejecutivo de la Oficina Central de Recuperación, Reconstrucción y Resiliencia (COR3); la Alcaldesa del Municipio de Loíza, quien fungirá como vicepresidenta; un (1) representante de la Cámara de Representantes; un (1) representante del Senado; un (1) representante de la Oficina del Comisionado Residente en Washington D.C.; un (1) representante del USACE; un (1) representante del Servicio Nacional de Meteorología (NOAA); un (1) representante del Negociado para el Manejo de Emergencias y Administración de Desastres de Puerto Rico (NMEAD); un (1) representante de la Universidad de Puerto Rico (UPR) con peritaje en ingeniería costera y planificación ambiental; un (1) representante de las comunidades afectadas; y un (1) representante de organizaciones ambientales sin fines de lucro.</w:t>
      </w:r>
    </w:p>
    <w:p w14:paraId="74E9B290"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La medida dispone que la Comisión deberá rendir un informe parcial a la Asamblea Legislativa en un término no mayor de ciento ochenta (180) días desde su constitución, y un informe final no más tarde del último día de la Cuarta Sesión Ordinaria de la Vigésima Asamblea Legislativa. Sus facultades culminarán en esa misma fecha, y todos los materiales producidos serán remitidos a la Oficina de Servicios Legislativos. Los gastos derivados de su funcionamiento serán sufragados con las partidas presupuestarias existentes de las agencias participantes, sin requerir asignación adicional del Fondo General.</w:t>
      </w:r>
    </w:p>
    <w:p w14:paraId="44743825" w14:textId="77777777" w:rsidR="007463E2" w:rsidRPr="00F605B6" w:rsidRDefault="007463E2" w:rsidP="00D32867">
      <w:pPr>
        <w:spacing w:after="120"/>
        <w:rPr>
          <w:rFonts w:ascii="Book Antiqua" w:hAnsi="Book Antiqua"/>
          <w:lang w:val="es-PR"/>
        </w:rPr>
      </w:pPr>
    </w:p>
    <w:p w14:paraId="399ACAC5" w14:textId="77777777" w:rsidR="007463E2" w:rsidRPr="00F605B6" w:rsidRDefault="00FA5AC5" w:rsidP="00D32867">
      <w:pPr>
        <w:spacing w:after="120"/>
        <w:jc w:val="center"/>
        <w:rPr>
          <w:rFonts w:ascii="Book Antiqua" w:hAnsi="Book Antiqua"/>
          <w:lang w:val="es-PR"/>
        </w:rPr>
      </w:pPr>
      <w:r w:rsidRPr="00F605B6">
        <w:rPr>
          <w:rFonts w:ascii="Book Antiqua" w:hAnsi="Book Antiqua"/>
          <w:b/>
          <w:bCs/>
          <w:sz w:val="24"/>
          <w:szCs w:val="24"/>
          <w:lang w:val="es-PR"/>
        </w:rPr>
        <w:t>ANÁLISIS DE LA MEDIDA</w:t>
      </w:r>
    </w:p>
    <w:p w14:paraId="784BC6B9" w14:textId="34258EBE"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La Comisión recibió memoriales explicativos y ponencias de las siguientes entidades: el Departamento de Recursos Naturales y Ambientales (DRNA), suscrito </w:t>
      </w:r>
      <w:r w:rsidR="00AA560A">
        <w:rPr>
          <w:rFonts w:ascii="Book Antiqua" w:hAnsi="Book Antiqua"/>
          <w:sz w:val="24"/>
          <w:szCs w:val="24"/>
          <w:lang w:val="es-PR"/>
        </w:rPr>
        <w:br w:type="textWrapping" w:clear="all"/>
      </w:r>
      <w:r w:rsidRPr="00F605B6">
        <w:rPr>
          <w:rFonts w:ascii="Book Antiqua" w:hAnsi="Book Antiqua"/>
          <w:sz w:val="24"/>
          <w:szCs w:val="24"/>
          <w:lang w:val="es-PR"/>
        </w:rPr>
        <w:t xml:space="preserve">por su </w:t>
      </w:r>
      <w:proofErr w:type="gramStart"/>
      <w:r w:rsidRPr="00F605B6">
        <w:rPr>
          <w:rFonts w:ascii="Book Antiqua" w:hAnsi="Book Antiqua"/>
          <w:sz w:val="24"/>
          <w:szCs w:val="24"/>
          <w:lang w:val="es-PR"/>
        </w:rPr>
        <w:t>Secretario</w:t>
      </w:r>
      <w:proofErr w:type="gramEnd"/>
      <w:r w:rsidRPr="00F605B6">
        <w:rPr>
          <w:rFonts w:ascii="Book Antiqua" w:hAnsi="Book Antiqua"/>
          <w:sz w:val="24"/>
          <w:szCs w:val="24"/>
          <w:lang w:val="es-PR"/>
        </w:rPr>
        <w:t xml:space="preserve">, el Hon. Waldemar Quiles Pérez, con fecha del 10 de abril de 2026; la Oficina Central de Recuperación, Reconstrucción y Resiliencia (COR3), suscrito por su </w:t>
      </w:r>
      <w:proofErr w:type="spellStart"/>
      <w:r w:rsidRPr="00F605B6">
        <w:rPr>
          <w:rFonts w:ascii="Book Antiqua" w:hAnsi="Book Antiqua"/>
          <w:sz w:val="24"/>
          <w:szCs w:val="24"/>
          <w:lang w:val="es-PR"/>
        </w:rPr>
        <w:t>Sub-directora</w:t>
      </w:r>
      <w:proofErr w:type="spellEnd"/>
      <w:r w:rsidRPr="00F605B6">
        <w:rPr>
          <w:rFonts w:ascii="Book Antiqua" w:hAnsi="Book Antiqua"/>
          <w:sz w:val="24"/>
          <w:szCs w:val="24"/>
          <w:lang w:val="es-PR"/>
        </w:rPr>
        <w:t xml:space="preserve"> Interina, la Sra. María L. Maña Colón, con fecha del 9 de febrero de 2026; </w:t>
      </w:r>
      <w:r w:rsidR="00AA560A">
        <w:rPr>
          <w:rFonts w:ascii="Book Antiqua" w:hAnsi="Book Antiqua"/>
          <w:sz w:val="24"/>
          <w:szCs w:val="24"/>
          <w:lang w:val="es-PR"/>
        </w:rPr>
        <w:br w:type="textWrapping" w:clear="all"/>
      </w:r>
      <w:r w:rsidRPr="00F605B6">
        <w:rPr>
          <w:rFonts w:ascii="Book Antiqua" w:hAnsi="Book Antiqua"/>
          <w:sz w:val="24"/>
          <w:szCs w:val="24"/>
          <w:lang w:val="es-PR"/>
        </w:rPr>
        <w:t xml:space="preserve">el Municipio de Loíza, a través de su </w:t>
      </w:r>
      <w:proofErr w:type="gramStart"/>
      <w:r w:rsidRPr="00F605B6">
        <w:rPr>
          <w:rFonts w:ascii="Book Antiqua" w:hAnsi="Book Antiqua"/>
          <w:sz w:val="24"/>
          <w:szCs w:val="24"/>
          <w:lang w:val="es-PR"/>
        </w:rPr>
        <w:t>Alcaldesa</w:t>
      </w:r>
      <w:proofErr w:type="gramEnd"/>
      <w:r w:rsidRPr="00F605B6">
        <w:rPr>
          <w:rFonts w:ascii="Book Antiqua" w:hAnsi="Book Antiqua"/>
          <w:sz w:val="24"/>
          <w:szCs w:val="24"/>
          <w:lang w:val="es-PR"/>
        </w:rPr>
        <w:t xml:space="preserve">, la Hon. Julia María Nazario Fuentes, </w:t>
      </w:r>
      <w:r w:rsidR="00AA560A">
        <w:rPr>
          <w:rFonts w:ascii="Book Antiqua" w:hAnsi="Book Antiqua"/>
          <w:sz w:val="24"/>
          <w:szCs w:val="24"/>
          <w:lang w:val="es-PR"/>
        </w:rPr>
        <w:br w:type="textWrapping" w:clear="all"/>
      </w:r>
      <w:r w:rsidRPr="00F605B6">
        <w:rPr>
          <w:rFonts w:ascii="Book Antiqua" w:hAnsi="Book Antiqua"/>
          <w:sz w:val="24"/>
          <w:szCs w:val="24"/>
          <w:lang w:val="es-PR"/>
        </w:rPr>
        <w:t xml:space="preserve">con fecha del 19 de febrero de 2026; el Servicio Nacional de Meteorología (NOAA/NWS), suscrito por su Meteorólogo a Cargo (MIC), el Sr. Ernesto Rodríguez, con fecha del </w:t>
      </w:r>
      <w:r w:rsidR="00AA560A">
        <w:rPr>
          <w:rFonts w:ascii="Book Antiqua" w:hAnsi="Book Antiqua"/>
          <w:sz w:val="24"/>
          <w:szCs w:val="24"/>
          <w:lang w:val="es-PR"/>
        </w:rPr>
        <w:br w:type="textWrapping" w:clear="all"/>
      </w:r>
      <w:r w:rsidRPr="00F605B6">
        <w:rPr>
          <w:rFonts w:ascii="Book Antiqua" w:hAnsi="Book Antiqua"/>
          <w:sz w:val="24"/>
          <w:szCs w:val="24"/>
          <w:lang w:val="es-PR"/>
        </w:rPr>
        <w:t xml:space="preserve">12 de febrero de 2026; y la Universidad de Puerto Rico (UPR), suscrita por su </w:t>
      </w:r>
      <w:proofErr w:type="gramStart"/>
      <w:r w:rsidRPr="00F605B6">
        <w:rPr>
          <w:rFonts w:ascii="Book Antiqua" w:hAnsi="Book Antiqua"/>
          <w:sz w:val="24"/>
          <w:szCs w:val="24"/>
          <w:lang w:val="es-PR"/>
        </w:rPr>
        <w:t>Presidenta</w:t>
      </w:r>
      <w:proofErr w:type="gramEnd"/>
      <w:r w:rsidRPr="00F605B6">
        <w:rPr>
          <w:rFonts w:ascii="Book Antiqua" w:hAnsi="Book Antiqua"/>
          <w:sz w:val="24"/>
          <w:szCs w:val="24"/>
          <w:lang w:val="es-PR"/>
        </w:rPr>
        <w:t xml:space="preserve">, la Dra. </w:t>
      </w:r>
      <w:proofErr w:type="spellStart"/>
      <w:r w:rsidRPr="00F605B6">
        <w:rPr>
          <w:rFonts w:ascii="Book Antiqua" w:hAnsi="Book Antiqua"/>
          <w:sz w:val="24"/>
          <w:szCs w:val="24"/>
          <w:lang w:val="es-PR"/>
        </w:rPr>
        <w:t>Zayira</w:t>
      </w:r>
      <w:proofErr w:type="spellEnd"/>
      <w:r w:rsidRPr="00F605B6">
        <w:rPr>
          <w:rFonts w:ascii="Book Antiqua" w:hAnsi="Book Antiqua"/>
          <w:sz w:val="24"/>
          <w:szCs w:val="24"/>
          <w:lang w:val="es-PR"/>
        </w:rPr>
        <w:t xml:space="preserve"> Jordán Conde, con fecha del 13 de febrero de 2026. Asimismo, </w:t>
      </w:r>
      <w:r w:rsidR="00AA560A">
        <w:rPr>
          <w:rFonts w:ascii="Book Antiqua" w:hAnsi="Book Antiqua"/>
          <w:sz w:val="24"/>
          <w:szCs w:val="24"/>
          <w:lang w:val="es-PR"/>
        </w:rPr>
        <w:br w:type="textWrapping" w:clear="all"/>
      </w:r>
      <w:r w:rsidRPr="00F605B6">
        <w:rPr>
          <w:rFonts w:ascii="Book Antiqua" w:hAnsi="Book Antiqua"/>
          <w:sz w:val="24"/>
          <w:szCs w:val="24"/>
          <w:lang w:val="es-PR"/>
        </w:rPr>
        <w:t xml:space="preserve">la Comisión recibió el Informe 2026-495 de la Oficina de Presupuesto de la Asamblea Legislativa (OPAL), emitido en mayo de 2026 y suscrito por su </w:t>
      </w:r>
      <w:proofErr w:type="gramStart"/>
      <w:r w:rsidRPr="00F605B6">
        <w:rPr>
          <w:rFonts w:ascii="Book Antiqua" w:hAnsi="Book Antiqua"/>
          <w:sz w:val="24"/>
          <w:szCs w:val="24"/>
          <w:lang w:val="es-PR"/>
        </w:rPr>
        <w:t>Director Ejecutivo</w:t>
      </w:r>
      <w:proofErr w:type="gramEnd"/>
      <w:r w:rsidRPr="00F605B6">
        <w:rPr>
          <w:rFonts w:ascii="Book Antiqua" w:hAnsi="Book Antiqua"/>
          <w:sz w:val="24"/>
          <w:szCs w:val="24"/>
          <w:lang w:val="es-PR"/>
        </w:rPr>
        <w:t xml:space="preserve">, </w:t>
      </w:r>
      <w:r w:rsidR="00AA560A">
        <w:rPr>
          <w:rFonts w:ascii="Book Antiqua" w:hAnsi="Book Antiqua"/>
          <w:sz w:val="24"/>
          <w:szCs w:val="24"/>
          <w:lang w:val="es-PR"/>
        </w:rPr>
        <w:br w:type="textWrapping" w:clear="all"/>
      </w:r>
      <w:r w:rsidRPr="00F605B6">
        <w:rPr>
          <w:rFonts w:ascii="Book Antiqua" w:hAnsi="Book Antiqua"/>
          <w:sz w:val="24"/>
          <w:szCs w:val="24"/>
          <w:lang w:val="es-PR"/>
        </w:rPr>
        <w:t xml:space="preserve">el Lcdo. </w:t>
      </w:r>
      <w:proofErr w:type="spellStart"/>
      <w:r w:rsidRPr="00F605B6">
        <w:rPr>
          <w:rFonts w:ascii="Book Antiqua" w:hAnsi="Book Antiqua"/>
          <w:sz w:val="24"/>
          <w:szCs w:val="24"/>
          <w:lang w:val="es-PR"/>
        </w:rPr>
        <w:t>Hecrian</w:t>
      </w:r>
      <w:proofErr w:type="spellEnd"/>
      <w:r w:rsidRPr="00F605B6">
        <w:rPr>
          <w:rFonts w:ascii="Book Antiqua" w:hAnsi="Book Antiqua"/>
          <w:sz w:val="24"/>
          <w:szCs w:val="24"/>
          <w:lang w:val="es-PR"/>
        </w:rPr>
        <w:t xml:space="preserve"> D. Martínez </w:t>
      </w:r>
      <w:proofErr w:type="spellStart"/>
      <w:r w:rsidRPr="00F605B6">
        <w:rPr>
          <w:rFonts w:ascii="Book Antiqua" w:hAnsi="Book Antiqua"/>
          <w:sz w:val="24"/>
          <w:szCs w:val="24"/>
          <w:lang w:val="es-PR"/>
        </w:rPr>
        <w:t>Martínez</w:t>
      </w:r>
      <w:proofErr w:type="spellEnd"/>
      <w:r w:rsidRPr="00F605B6">
        <w:rPr>
          <w:rFonts w:ascii="Book Antiqua" w:hAnsi="Book Antiqua"/>
          <w:sz w:val="24"/>
          <w:szCs w:val="24"/>
          <w:lang w:val="es-PR"/>
        </w:rPr>
        <w:t>.</w:t>
      </w:r>
    </w:p>
    <w:p w14:paraId="0E139283" w14:textId="77777777" w:rsidR="007463E2" w:rsidRDefault="007463E2" w:rsidP="00D32867">
      <w:pPr>
        <w:spacing w:after="120"/>
        <w:rPr>
          <w:rFonts w:ascii="Book Antiqua" w:hAnsi="Book Antiqua"/>
          <w:lang w:val="es-PR"/>
        </w:rPr>
      </w:pPr>
    </w:p>
    <w:p w14:paraId="16D239E4" w14:textId="77777777" w:rsidR="00D32867" w:rsidRPr="00F605B6" w:rsidRDefault="00D32867" w:rsidP="00D32867">
      <w:pPr>
        <w:spacing w:after="120"/>
        <w:rPr>
          <w:rFonts w:ascii="Book Antiqua" w:hAnsi="Book Antiqua"/>
          <w:lang w:val="es-PR"/>
        </w:rPr>
      </w:pPr>
    </w:p>
    <w:p w14:paraId="1FE853FA" w14:textId="77777777" w:rsidR="007463E2" w:rsidRPr="00F605B6" w:rsidRDefault="00FA5AC5" w:rsidP="00D32867">
      <w:pPr>
        <w:spacing w:after="120"/>
        <w:rPr>
          <w:rFonts w:ascii="Book Antiqua" w:hAnsi="Book Antiqua"/>
          <w:lang w:val="es-PR"/>
        </w:rPr>
      </w:pPr>
      <w:r w:rsidRPr="00F605B6">
        <w:rPr>
          <w:rFonts w:ascii="Book Antiqua" w:hAnsi="Book Antiqua"/>
          <w:b/>
          <w:bCs/>
          <w:sz w:val="24"/>
          <w:szCs w:val="24"/>
          <w:lang w:val="es-PR"/>
        </w:rPr>
        <w:lastRenderedPageBreak/>
        <w:t>Departamento de Recursos Naturales y Ambientales</w:t>
      </w:r>
    </w:p>
    <w:p w14:paraId="73708667" w14:textId="364533C3"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El DRNA reconoce que la erosión costera constituye una problemática compleja </w:t>
      </w:r>
      <w:r w:rsidR="00AA560A">
        <w:rPr>
          <w:rFonts w:ascii="Book Antiqua" w:hAnsi="Book Antiqua"/>
          <w:sz w:val="24"/>
          <w:szCs w:val="24"/>
          <w:lang w:val="es-PR"/>
        </w:rPr>
        <w:br w:type="textWrapping" w:clear="all"/>
      </w:r>
      <w:r w:rsidRPr="00F605B6">
        <w:rPr>
          <w:rFonts w:ascii="Book Antiqua" w:hAnsi="Book Antiqua"/>
          <w:sz w:val="24"/>
          <w:szCs w:val="24"/>
          <w:lang w:val="es-PR"/>
        </w:rPr>
        <w:t xml:space="preserve">y dinámica que ha provocado la pérdida progresiva de terreno, la exposición </w:t>
      </w:r>
      <w:r w:rsidR="00AA560A">
        <w:rPr>
          <w:rFonts w:ascii="Book Antiqua" w:hAnsi="Book Antiqua"/>
          <w:sz w:val="24"/>
          <w:szCs w:val="24"/>
          <w:lang w:val="es-PR"/>
        </w:rPr>
        <w:br w:type="textWrapping" w:clear="all"/>
      </w:r>
      <w:r w:rsidRPr="00F605B6">
        <w:rPr>
          <w:rFonts w:ascii="Book Antiqua" w:hAnsi="Book Antiqua"/>
          <w:sz w:val="24"/>
          <w:szCs w:val="24"/>
          <w:lang w:val="es-PR"/>
        </w:rPr>
        <w:t>de infraestructura crítica y el aumento en la vulnerabilidad de comunidades como Parcelas Suárez, Tocones, Colobo, Villa Kennedy y Las Carreras en el Municipio de Loíza. La agencia informó que ha adoptado un enfoque integrado para atender la erosión costera mediante soluciones basadas en la naturaleza, intervenciones de infraestructura y planificación técnica. Entre las iniciativas ya en curso, destacan proyectos de infraestructura verde en las áreas de Punta Cangrejos y Piñones, incluyendo la restauración de dunas, siembra de vegetación costera, jardines de lluvia y sistemas de biorretención.</w:t>
      </w:r>
    </w:p>
    <w:p w14:paraId="3EE100EC" w14:textId="77AA4010"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El DRNA informó que se encuentra en fase de planificación un proyecto piloto en coordinación con la Universidad de Puerto Rico en Aguadilla, que contempla el uso del método de </w:t>
      </w:r>
      <w:r w:rsidR="00AA560A">
        <w:rPr>
          <w:rFonts w:ascii="Book Antiqua" w:hAnsi="Book Antiqua"/>
          <w:sz w:val="24"/>
          <w:szCs w:val="24"/>
          <w:lang w:val="es-PR"/>
        </w:rPr>
        <w:t>“</w:t>
      </w:r>
      <w:proofErr w:type="spellStart"/>
      <w:r w:rsidRPr="00F605B6">
        <w:rPr>
          <w:rFonts w:ascii="Book Antiqua" w:hAnsi="Book Antiqua"/>
          <w:sz w:val="24"/>
          <w:szCs w:val="24"/>
          <w:lang w:val="es-PR"/>
        </w:rPr>
        <w:t>trap</w:t>
      </w:r>
      <w:proofErr w:type="spellEnd"/>
      <w:r w:rsidRPr="00F605B6">
        <w:rPr>
          <w:rFonts w:ascii="Book Antiqua" w:hAnsi="Book Antiqua"/>
          <w:sz w:val="24"/>
          <w:szCs w:val="24"/>
          <w:lang w:val="es-PR"/>
        </w:rPr>
        <w:t xml:space="preserve"> bags</w:t>
      </w:r>
      <w:r w:rsidR="00AA560A">
        <w:rPr>
          <w:rFonts w:ascii="Book Antiqua" w:hAnsi="Book Antiqua"/>
          <w:sz w:val="24"/>
          <w:szCs w:val="24"/>
          <w:lang w:val="es-PR"/>
        </w:rPr>
        <w:t>”</w:t>
      </w:r>
      <w:r w:rsidRPr="00F605B6">
        <w:rPr>
          <w:rFonts w:ascii="Book Antiqua" w:hAnsi="Book Antiqua"/>
          <w:sz w:val="24"/>
          <w:szCs w:val="24"/>
          <w:lang w:val="es-PR"/>
        </w:rPr>
        <w:t xml:space="preserve"> para la mitigación de la erosión costera en Parcelas Suárez. Asimismo, en colaboración con el </w:t>
      </w:r>
      <w:proofErr w:type="spellStart"/>
      <w:r w:rsidRPr="00F605B6">
        <w:rPr>
          <w:rFonts w:ascii="Book Antiqua" w:hAnsi="Book Antiqua"/>
          <w:sz w:val="24"/>
          <w:szCs w:val="24"/>
          <w:lang w:val="es-PR"/>
        </w:rPr>
        <w:t>United</w:t>
      </w:r>
      <w:proofErr w:type="spellEnd"/>
      <w:r w:rsidRPr="00F605B6">
        <w:rPr>
          <w:rFonts w:ascii="Book Antiqua" w:hAnsi="Book Antiqua"/>
          <w:sz w:val="24"/>
          <w:szCs w:val="24"/>
          <w:lang w:val="es-PR"/>
        </w:rPr>
        <w:t xml:space="preserve"> States Geological </w:t>
      </w:r>
      <w:proofErr w:type="spellStart"/>
      <w:r w:rsidRPr="00F605B6">
        <w:rPr>
          <w:rFonts w:ascii="Book Antiqua" w:hAnsi="Book Antiqua"/>
          <w:sz w:val="24"/>
          <w:szCs w:val="24"/>
          <w:lang w:val="es-PR"/>
        </w:rPr>
        <w:t>Survey</w:t>
      </w:r>
      <w:proofErr w:type="spellEnd"/>
      <w:r w:rsidRPr="00F605B6">
        <w:rPr>
          <w:rFonts w:ascii="Book Antiqua" w:hAnsi="Book Antiqua"/>
          <w:sz w:val="24"/>
          <w:szCs w:val="24"/>
          <w:lang w:val="es-PR"/>
        </w:rPr>
        <w:t xml:space="preserve"> (USGS), la agencia está desarrollando un Protocolo de Erosión Costera que establecerá guías de respuesta a emergencias, metodologías de evaluación técnica y sistemas de monitoreo continuo.</w:t>
      </w:r>
    </w:p>
    <w:p w14:paraId="58ED3FF7"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En cuanto a la medida, el DRNA reconoce que la creación de una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xml:space="preserve"> responde a un fin legítimo de política pública, dada la complejidad y el carácter multisectorial de la erosión costera. No obstante, la agencia señala la importancia de considerar los mecanismos de coordinación ya existentes y la participación de agencias federales con jurisdicción, a fin de evitar duplicidad de esfuerzos. Asimismo, el DRNA advierte que enfrenta un déficit presupuestario aproximado de setenta y seis millones de dólares ($76,000,000), lo que incide en su capacidad operacional para asumir nuevas encomiendas. La agencia recomienda que la medida sea evaluada tomando en consideración los esfuerzos, proyectos e iniciativas ya en curso, a los fines de maximizar el uso eficiente de los recursos disponibles.</w:t>
      </w:r>
    </w:p>
    <w:p w14:paraId="20568660" w14:textId="77777777" w:rsidR="00AA560A" w:rsidRDefault="00AA560A" w:rsidP="00D32867">
      <w:pPr>
        <w:spacing w:after="120"/>
        <w:rPr>
          <w:rFonts w:ascii="Book Antiqua" w:hAnsi="Book Antiqua"/>
          <w:b/>
          <w:bCs/>
          <w:sz w:val="24"/>
          <w:szCs w:val="24"/>
          <w:lang w:val="es-PR"/>
        </w:rPr>
      </w:pPr>
    </w:p>
    <w:p w14:paraId="5E980A0B" w14:textId="5968B0E1" w:rsidR="007463E2" w:rsidRPr="00F605B6" w:rsidRDefault="00FA5AC5" w:rsidP="00D32867">
      <w:pPr>
        <w:spacing w:after="120"/>
        <w:rPr>
          <w:rFonts w:ascii="Book Antiqua" w:hAnsi="Book Antiqua"/>
          <w:lang w:val="es-PR"/>
        </w:rPr>
      </w:pPr>
      <w:r w:rsidRPr="00F605B6">
        <w:rPr>
          <w:rFonts w:ascii="Book Antiqua" w:hAnsi="Book Antiqua"/>
          <w:b/>
          <w:bCs/>
          <w:sz w:val="24"/>
          <w:szCs w:val="24"/>
          <w:lang w:val="es-PR"/>
        </w:rPr>
        <w:t>Oficina Central de Recuperación, Reconstrucción y Resiliencia (COR3)</w:t>
      </w:r>
    </w:p>
    <w:p w14:paraId="15990C0A" w14:textId="12A736A2"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COR3 describió en detalle sus funciones como entidad responsable de la recuperación y reconstrucción de Puerto Rico, particularmente su rol como representante del Estado ante FEMA y administrador de los programas de Asistencia Pública (AP) y de Mitigación de Riesgos (HMGP). En cuanto a la R. C. de la C. 245, COR3 señaló que su participación en la Comisión no se concibe como la de un organismo rector, sino como un componente técnico de apoyo, consistente con su misión de coordinación y asistencia en asuntos de recuperación y resiliencia. La agencia aclaró que la administración del programa CDBG-MIT corresponde al Departamento de la Vivienda de Puerto Rico, aunque sí administr</w:t>
      </w:r>
      <w:r w:rsidR="00A44FBC" w:rsidRPr="00F605B6">
        <w:rPr>
          <w:rFonts w:ascii="Book Antiqua" w:hAnsi="Book Antiqua"/>
          <w:sz w:val="24"/>
          <w:szCs w:val="24"/>
          <w:lang w:val="es-PR"/>
        </w:rPr>
        <w:t>a</w:t>
      </w:r>
      <w:r w:rsidRPr="00F605B6">
        <w:rPr>
          <w:rFonts w:ascii="Book Antiqua" w:hAnsi="Book Antiqua"/>
          <w:sz w:val="24"/>
          <w:szCs w:val="24"/>
          <w:lang w:val="es-PR"/>
        </w:rPr>
        <w:t xml:space="preserve"> el programa HMGP.</w:t>
      </w:r>
    </w:p>
    <w:p w14:paraId="2B6FA19E" w14:textId="33E7A48B"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COR3 expresó que no tiene objeción a la aprobación de la medida, reconociendo que la iniciativa persigue articular esfuerzos y facilitar la identificación de alternativas de </w:t>
      </w:r>
      <w:r w:rsidRPr="00F605B6">
        <w:rPr>
          <w:rFonts w:ascii="Book Antiqua" w:hAnsi="Book Antiqua"/>
          <w:sz w:val="24"/>
          <w:szCs w:val="24"/>
          <w:lang w:val="es-PR"/>
        </w:rPr>
        <w:lastRenderedPageBreak/>
        <w:t>mitigación y posibles fuentes de financiamiento, de forma compatible con el trabajo que realiza la agencia. COR3 otorgó amplia deferencia a los comentarios y criterios de política pública que presentara el DRNA, como agencia llamada a presidir la Comisión.</w:t>
      </w:r>
    </w:p>
    <w:p w14:paraId="7497F6E6" w14:textId="77777777" w:rsidR="007463E2" w:rsidRPr="00F605B6" w:rsidRDefault="007463E2" w:rsidP="00D32867">
      <w:pPr>
        <w:spacing w:after="120"/>
        <w:rPr>
          <w:rFonts w:ascii="Book Antiqua" w:hAnsi="Book Antiqua"/>
          <w:lang w:val="es-PR"/>
        </w:rPr>
      </w:pPr>
    </w:p>
    <w:p w14:paraId="04E7C0DB" w14:textId="77777777" w:rsidR="007463E2" w:rsidRPr="00F605B6" w:rsidRDefault="00FA5AC5" w:rsidP="00D32867">
      <w:pPr>
        <w:spacing w:after="120"/>
        <w:rPr>
          <w:rFonts w:ascii="Book Antiqua" w:hAnsi="Book Antiqua"/>
          <w:lang w:val="es-PR"/>
        </w:rPr>
      </w:pPr>
      <w:r w:rsidRPr="00F605B6">
        <w:rPr>
          <w:rFonts w:ascii="Book Antiqua" w:hAnsi="Book Antiqua"/>
          <w:b/>
          <w:bCs/>
          <w:sz w:val="24"/>
          <w:szCs w:val="24"/>
          <w:lang w:val="es-PR"/>
        </w:rPr>
        <w:t>Municipio de Loíza</w:t>
      </w:r>
    </w:p>
    <w:p w14:paraId="6FAC34B2"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La Alcaldesa presentó datos científicos que evidencian la gravedad de la erosión costera en Loíza, municipio que posee aproximadamente 23 kilómetros de litoral costero, de los cuales más del 80% corresponde a playas. Según el Informe de Hallazgos del Instituto de Investigación y Planificación Costera de Puerto Rico, adscrito a la UPR, tras el huracán María, las playas de Loíza presentaron un 42% de erosión y un 58% de acreción, reflejando una costa altamente dinámica e inestable. El estudio documenta 2.77 kilómetros de costa con migración de la línea de agua hacia tierra adentro y 1.47 kilómetros con migración de playa. Las áreas más afectadas incluyen Parcelas Suárez, Playa Aviones, Playa Las Tres Palmitas, </w:t>
      </w:r>
      <w:proofErr w:type="spellStart"/>
      <w:r w:rsidRPr="00F605B6">
        <w:rPr>
          <w:rFonts w:ascii="Book Antiqua" w:hAnsi="Book Antiqua"/>
          <w:sz w:val="24"/>
          <w:szCs w:val="24"/>
          <w:lang w:val="es-PR"/>
        </w:rPr>
        <w:t>Palmarenas</w:t>
      </w:r>
      <w:proofErr w:type="spellEnd"/>
      <w:r w:rsidRPr="00F605B6">
        <w:rPr>
          <w:rFonts w:ascii="Book Antiqua" w:hAnsi="Book Antiqua"/>
          <w:sz w:val="24"/>
          <w:szCs w:val="24"/>
          <w:lang w:val="es-PR"/>
        </w:rPr>
        <w:t>, Medianía Alta y Medianía Baja, con pérdidas de ancho de playa que superan los veinte metros.</w:t>
      </w:r>
    </w:p>
    <w:p w14:paraId="3C6E8FD1"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La Alcaldesa subrayó que el Municipio no cuenta con la jurisdicción plena ni la capacidad fiscal y técnica para atender por sí solo esta problemática, dado que no controla los procesos de permisos en la zona marítimo-terrestre ni administra directamente los fondos federales de mitigación. No obstante, el Municipio ha impulsado proyectos de protección costera mediante infraestructura híbrida, proyectos financiados con fondos FEMA-4339DR y Sección 406 de Hazard Mitigation, e iniciativas de infraestructura verde en colaboración con la UPR y organizaciones ambientales. El Municipio de Loíza respaldó plenamente la aprobación de la medida y reitera su disposición de colaborar activamente con la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w:t>
      </w:r>
    </w:p>
    <w:p w14:paraId="78902834" w14:textId="77777777" w:rsidR="007463E2" w:rsidRPr="00F605B6" w:rsidRDefault="007463E2" w:rsidP="00D32867">
      <w:pPr>
        <w:spacing w:after="120"/>
        <w:rPr>
          <w:rFonts w:ascii="Book Antiqua" w:hAnsi="Book Antiqua"/>
          <w:lang w:val="es-PR"/>
        </w:rPr>
      </w:pPr>
    </w:p>
    <w:p w14:paraId="4D634694" w14:textId="77777777" w:rsidR="007463E2" w:rsidRPr="00F605B6" w:rsidRDefault="00FA5AC5" w:rsidP="00D32867">
      <w:pPr>
        <w:spacing w:after="120"/>
        <w:rPr>
          <w:rFonts w:ascii="Book Antiqua" w:hAnsi="Book Antiqua"/>
          <w:lang w:val="es-PR"/>
        </w:rPr>
      </w:pPr>
      <w:r w:rsidRPr="00F605B6">
        <w:rPr>
          <w:rFonts w:ascii="Book Antiqua" w:hAnsi="Book Antiqua"/>
          <w:b/>
          <w:bCs/>
          <w:sz w:val="24"/>
          <w:szCs w:val="24"/>
          <w:lang w:val="es-PR"/>
        </w:rPr>
        <w:t>Servicio Nacional de Meteorología (NOAA/NWS)</w:t>
      </w:r>
    </w:p>
    <w:p w14:paraId="749786FC" w14:textId="6ED20A1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El Servicio Nacional de Meteorología (NOAA, </w:t>
      </w:r>
      <w:proofErr w:type="spellStart"/>
      <w:r w:rsidRPr="00F605B6">
        <w:rPr>
          <w:rFonts w:ascii="Book Antiqua" w:hAnsi="Book Antiqua"/>
          <w:sz w:val="24"/>
          <w:szCs w:val="24"/>
          <w:lang w:val="es-PR"/>
        </w:rPr>
        <w:t>National</w:t>
      </w:r>
      <w:proofErr w:type="spellEnd"/>
      <w:r w:rsidRPr="00F605B6">
        <w:rPr>
          <w:rFonts w:ascii="Book Antiqua" w:hAnsi="Book Antiqua"/>
          <w:sz w:val="24"/>
          <w:szCs w:val="24"/>
          <w:lang w:val="es-PR"/>
        </w:rPr>
        <w:t xml:space="preserve"> Weather Service), Oficina de Pronóstico del Tiempo en San Juan (WFO San Juan), expresó su respaldo a los esfuerzos dirigidos a atender la erosión costera en el Municipio de Loíza.</w:t>
      </w:r>
    </w:p>
    <w:p w14:paraId="74226EF9" w14:textId="6B1CE613"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El NWS </w:t>
      </w:r>
      <w:r w:rsidR="00A44FBC" w:rsidRPr="00F605B6">
        <w:rPr>
          <w:rFonts w:ascii="Book Antiqua" w:hAnsi="Book Antiqua"/>
          <w:sz w:val="24"/>
          <w:szCs w:val="24"/>
          <w:lang w:val="es-PR"/>
        </w:rPr>
        <w:t>WFO San Juan</w:t>
      </w:r>
      <w:r w:rsidRPr="00F605B6">
        <w:rPr>
          <w:rFonts w:ascii="Book Antiqua" w:hAnsi="Book Antiqua"/>
          <w:sz w:val="24"/>
          <w:szCs w:val="24"/>
          <w:lang w:val="es-PR"/>
        </w:rPr>
        <w:t xml:space="preserve"> señaló que, conforme a la Sección 3 de la medida, forma parte de la composición oficial de la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xml:space="preserve"> y que su participación aportará valor en la provisión de pronósticos del tiempo a corto, mediano y largo plazo; pronósticos marinos y de oleaje; y vigilancias, advertencias y avisos relacionados con marejadas, inundaciones costeras y ciclones tropicales. La agencia explicó que estos eventos atmosféricos agravan significativamente la erosión costera al acelerar la pérdida de terreno y poner en riesgo a las comunidades vulnerables.</w:t>
      </w:r>
    </w:p>
    <w:p w14:paraId="6808495B"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El NWS WFO San Juan reafirmó su compromiso institucional de proveer información científica confiable, oportuna y precisa; alertar con anticipación sobre eventos de marejadas que puedan agravar la situación de erosión costera en Loíza; y mantener comunicación constante con el DRNA, el Municipio de Loíza y las demás </w:t>
      </w:r>
      <w:r w:rsidRPr="00F605B6">
        <w:rPr>
          <w:rFonts w:ascii="Book Antiqua" w:hAnsi="Book Antiqua"/>
          <w:sz w:val="24"/>
          <w:szCs w:val="24"/>
          <w:lang w:val="es-PR"/>
        </w:rPr>
        <w:lastRenderedPageBreak/>
        <w:t xml:space="preserve">agencias representadas en la Comisión. Reitera su disposición de colaborar activamente como miembro de la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w:t>
      </w:r>
    </w:p>
    <w:p w14:paraId="20F30E7D" w14:textId="77777777" w:rsidR="007463E2" w:rsidRPr="00F605B6" w:rsidRDefault="007463E2" w:rsidP="00D32867">
      <w:pPr>
        <w:spacing w:after="120"/>
        <w:rPr>
          <w:rFonts w:ascii="Book Antiqua" w:hAnsi="Book Antiqua"/>
          <w:lang w:val="es-PR"/>
        </w:rPr>
      </w:pPr>
    </w:p>
    <w:p w14:paraId="277F9080" w14:textId="77777777" w:rsidR="007463E2" w:rsidRPr="00F605B6" w:rsidRDefault="00FA5AC5" w:rsidP="00D32867">
      <w:pPr>
        <w:spacing w:after="120"/>
        <w:rPr>
          <w:rFonts w:ascii="Book Antiqua" w:hAnsi="Book Antiqua"/>
          <w:lang w:val="es-PR"/>
        </w:rPr>
      </w:pPr>
      <w:r w:rsidRPr="00F605B6">
        <w:rPr>
          <w:rFonts w:ascii="Book Antiqua" w:hAnsi="Book Antiqua"/>
          <w:b/>
          <w:bCs/>
          <w:sz w:val="24"/>
          <w:szCs w:val="24"/>
          <w:lang w:val="es-PR"/>
        </w:rPr>
        <w:t>Universidad de Puerto Rico</w:t>
      </w:r>
    </w:p>
    <w:p w14:paraId="570E9728" w14:textId="5292204C"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La UPR, como principal centro de investigación científica del país, reconoció la magnitud y urgencia de la erosión costera en Loíza y destacó que cuenta con peritaje técnico y científico en áreas directamente relacionadas con el problema, incluyendo ingeniería costera y civil, ciencias marinas y oceanografía, geología y geomorfología costera, planificación ambiental y urbana, y cambio climático, resiliencia y adaptación comunitaria. La Universidad consideró acertada la inclusión de representación académica dentro de la Comisión, lo cual fortalecerá la base técnica de sus trabajos.</w:t>
      </w:r>
    </w:p>
    <w:p w14:paraId="65C9BB76" w14:textId="352C2D04"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La UPR valoró positivamente que la medida reconozca la erosión costera como una emergencia ambiental y social, promueva la participación comunitaria como elemento central del proceso, fomente la coordinación con agencias federales </w:t>
      </w:r>
      <w:r w:rsidR="001070AD" w:rsidRPr="00F605B6">
        <w:rPr>
          <w:rFonts w:ascii="Book Antiqua" w:hAnsi="Book Antiqua"/>
          <w:sz w:val="24"/>
          <w:szCs w:val="24"/>
          <w:lang w:val="es-PR"/>
        </w:rPr>
        <w:t>pertinentes</w:t>
      </w:r>
      <w:r w:rsidRPr="00F605B6">
        <w:rPr>
          <w:rFonts w:ascii="Book Antiqua" w:hAnsi="Book Antiqua"/>
          <w:sz w:val="24"/>
          <w:szCs w:val="24"/>
          <w:lang w:val="es-PR"/>
        </w:rPr>
        <w:t xml:space="preserve"> atienda la identificación y viabilización de fondos federales existentes, y establezca términos claros para informes parciales y finales. La UPR recomienda que durante la implementación se utilice información científica actualizada, se integren soluciones basadas en la naturaleza, se consideren escenarios de cambio climático y aumento del nivel del mar, y se documente el proceso para facilitar su replicabilidad en otros municipios costeros.</w:t>
      </w:r>
    </w:p>
    <w:p w14:paraId="07298738"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La Universidad de Puerto Rico favorece la aprobación de la R. C. de la C. 245.</w:t>
      </w:r>
    </w:p>
    <w:p w14:paraId="5F3531A7" w14:textId="77777777" w:rsidR="007463E2" w:rsidRPr="00F605B6" w:rsidRDefault="007463E2" w:rsidP="00D32867">
      <w:pPr>
        <w:spacing w:after="120"/>
        <w:rPr>
          <w:rFonts w:ascii="Book Antiqua" w:hAnsi="Book Antiqua"/>
          <w:lang w:val="es-PR"/>
        </w:rPr>
      </w:pPr>
    </w:p>
    <w:p w14:paraId="02F328E6" w14:textId="77777777" w:rsidR="007463E2" w:rsidRPr="00F605B6" w:rsidRDefault="00FA5AC5" w:rsidP="00D32867">
      <w:pPr>
        <w:spacing w:after="120"/>
        <w:jc w:val="center"/>
        <w:rPr>
          <w:rFonts w:ascii="Book Antiqua" w:hAnsi="Book Antiqua"/>
          <w:lang w:val="es-PR"/>
        </w:rPr>
      </w:pPr>
      <w:r w:rsidRPr="00F605B6">
        <w:rPr>
          <w:rFonts w:ascii="Book Antiqua" w:hAnsi="Book Antiqua"/>
          <w:b/>
          <w:bCs/>
          <w:sz w:val="24"/>
          <w:szCs w:val="24"/>
          <w:lang w:val="es-PR"/>
        </w:rPr>
        <w:t>IMPACTO FISCAL</w:t>
      </w:r>
    </w:p>
    <w:p w14:paraId="4574AD56"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Conforme al Informe 2026-495 de la Oficina de Presupuesto de la Asamblea Legislativa (OPAL), la aprobación de la R. C. de la C. 245 no conlleva efecto fiscal sobre el Fondo General (No tiene Impacto Fiscal, NIF). La OPAL determinó que las asignaciones presupuestarias de las agencias concernidas permanecerían inalteradas ante la conformación de la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xml:space="preserve">, y que los gastos logísticos mínimos derivados de reuniones, visitas de campo y coordinación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xml:space="preserve"> podrán sufragarse con partidas existentes, sin comprometer el funcionamiento de los entes gubernamentales.</w:t>
      </w:r>
    </w:p>
    <w:p w14:paraId="282A9569" w14:textId="77777777" w:rsidR="007463E2" w:rsidRPr="00F605B6" w:rsidRDefault="007463E2" w:rsidP="00D32867">
      <w:pPr>
        <w:spacing w:after="120"/>
        <w:rPr>
          <w:rFonts w:ascii="Book Antiqua" w:hAnsi="Book Antiqua"/>
          <w:lang w:val="es-PR"/>
        </w:rPr>
      </w:pPr>
    </w:p>
    <w:p w14:paraId="04B2AD79" w14:textId="326DD429" w:rsidR="007463E2" w:rsidRPr="00F605B6" w:rsidRDefault="00FA5AC5" w:rsidP="00D32867">
      <w:pPr>
        <w:spacing w:after="120"/>
        <w:jc w:val="center"/>
        <w:rPr>
          <w:rFonts w:ascii="Book Antiqua" w:hAnsi="Book Antiqua"/>
          <w:lang w:val="es-PR"/>
        </w:rPr>
      </w:pPr>
      <w:r w:rsidRPr="00F605B6">
        <w:rPr>
          <w:rFonts w:ascii="Book Antiqua" w:hAnsi="Book Antiqua"/>
          <w:b/>
          <w:bCs/>
          <w:sz w:val="24"/>
          <w:szCs w:val="24"/>
          <w:lang w:val="es-PR"/>
        </w:rPr>
        <w:t>CONCLUSIÓN</w:t>
      </w:r>
    </w:p>
    <w:p w14:paraId="55B5A3A4"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La Comisión de Recursos Naturales de la Cámara de Representantes ha evaluado detenidamente la Resolución Conjunta de la Cámara 245 y estima que la misma responde a una necesidad urgente y legítima del Municipio de Loíza y de sus comunidades costeras. La erosión costera que afecta el litoral de Loíza constituye una crisis ambiental, social y económica documentada, que requiere acción coordinada, sostenida y fundamentada en evidencia científica.</w:t>
      </w:r>
    </w:p>
    <w:p w14:paraId="3453BC9F"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lastRenderedPageBreak/>
        <w:t xml:space="preserve">La Comisión valora positivamente el respaldo unánime expresado por la Universidad de Puerto Rico, el Municipio de Loíza, el Servicio Nacional de Meteorología (NOAA/NWS) y la Oficina Central de Recuperación, Reconstrucción y Resiliencia (COR3), quienes reconocen la importancia de la medida y reiteraron su disposición de participar activamente en los trabajos de la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xml:space="preserve">. Asimismo, la Comisión toma nota de los comentarios del Departamento de Recursos Naturales y Ambientales (DRNA), agencia llamada a presidir la Comisión, que reconoce la legitimidad del fin de la medida y la importancia de coordinar esfuerzos </w:t>
      </w:r>
      <w:proofErr w:type="spellStart"/>
      <w:r w:rsidRPr="00F605B6">
        <w:rPr>
          <w:rFonts w:ascii="Book Antiqua" w:hAnsi="Book Antiqua"/>
          <w:sz w:val="24"/>
          <w:szCs w:val="24"/>
          <w:lang w:val="es-PR"/>
        </w:rPr>
        <w:t>interagenciales</w:t>
      </w:r>
      <w:proofErr w:type="spellEnd"/>
      <w:r w:rsidRPr="00F605B6">
        <w:rPr>
          <w:rFonts w:ascii="Book Antiqua" w:hAnsi="Book Antiqua"/>
          <w:sz w:val="24"/>
          <w:szCs w:val="24"/>
          <w:lang w:val="es-PR"/>
        </w:rPr>
        <w:t xml:space="preserve"> para atender este asunto de emergencia.</w:t>
      </w:r>
    </w:p>
    <w:p w14:paraId="0B77E4C6"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La Comisión entiende que la creación de la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xml:space="preserve"> en atención a la Erosión Costera en el Municipio de Loíza no duplica los esfuerzos ya en curso, sino que constituye un mecanismo formal que dota de respaldo legislativo a la coordinación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integra en un solo foro a múltiples entidades con peritaje y jurisdicción directa, y garantiza la rendición de cuentas mediante informes con plazos definidos. La medida está diseñada precisamente para articular los esfuerzos que actualmente se realizan de manera fragmentada y maximizar el impacto de los recursos disponibles.</w:t>
      </w:r>
    </w:p>
    <w:p w14:paraId="11903E93" w14:textId="7D44BD71"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La Comisión aprobó la siguiente enmienda a la medida: sustituir en todo el texto de la Resolución Conjunta la denominación “Comisión Conjunta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xml:space="preserve">” por “Comisión </w:t>
      </w:r>
      <w:proofErr w:type="spellStart"/>
      <w:r w:rsidRPr="00F605B6">
        <w:rPr>
          <w:rFonts w:ascii="Book Antiqua" w:hAnsi="Book Antiqua"/>
          <w:sz w:val="24"/>
          <w:szCs w:val="24"/>
          <w:lang w:val="es-PR"/>
        </w:rPr>
        <w:t>Interagencial</w:t>
      </w:r>
      <w:proofErr w:type="spellEnd"/>
      <w:r w:rsidRPr="00F605B6">
        <w:rPr>
          <w:rFonts w:ascii="Book Antiqua" w:hAnsi="Book Antiqua"/>
          <w:sz w:val="24"/>
          <w:szCs w:val="24"/>
          <w:lang w:val="es-PR"/>
        </w:rPr>
        <w:t>”, eliminando la palabra “Conjunta” del nombre del ente creado. Esta enmienda persigue simplificar la denominación de la Comisión y otorgarle mayor claridad conceptual.</w:t>
      </w:r>
    </w:p>
    <w:p w14:paraId="65BD3B2E"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La Comisión también pondera que la medida no representa carga fiscal alguna para el erario, según determinó la OPAL en su Informe 2026-495, toda vez que las agencias concernidas podrán sufragar los gastos logísticos mínimos con sus partidas presupuestarias existentes.</w:t>
      </w:r>
    </w:p>
    <w:p w14:paraId="2794533E" w14:textId="77777777" w:rsidR="007463E2" w:rsidRPr="00F605B6" w:rsidRDefault="00FA5AC5" w:rsidP="00D32867">
      <w:pPr>
        <w:spacing w:after="120"/>
        <w:ind w:firstLine="720"/>
        <w:jc w:val="both"/>
        <w:rPr>
          <w:rFonts w:ascii="Book Antiqua" w:hAnsi="Book Antiqua"/>
          <w:lang w:val="es-PR"/>
        </w:rPr>
      </w:pPr>
      <w:r w:rsidRPr="00F605B6">
        <w:rPr>
          <w:rFonts w:ascii="Book Antiqua" w:hAnsi="Book Antiqua"/>
          <w:sz w:val="24"/>
          <w:szCs w:val="24"/>
          <w:lang w:val="es-PR"/>
        </w:rPr>
        <w:t xml:space="preserve">Por las razones antes expuestas, la Comisión de Recursos Naturales de la Cámara de Representantes recomienda la </w:t>
      </w:r>
      <w:r w:rsidRPr="00F605B6">
        <w:rPr>
          <w:rFonts w:ascii="Book Antiqua" w:hAnsi="Book Antiqua"/>
          <w:b/>
          <w:bCs/>
          <w:sz w:val="24"/>
          <w:szCs w:val="24"/>
          <w:lang w:val="es-PR"/>
        </w:rPr>
        <w:t>aprobación de la Resolución Conjunta de la Cámara 245, con la enmienda indicada</w:t>
      </w:r>
      <w:r w:rsidRPr="00F605B6">
        <w:rPr>
          <w:rFonts w:ascii="Book Antiqua" w:hAnsi="Book Antiqua"/>
          <w:sz w:val="24"/>
          <w:szCs w:val="24"/>
          <w:lang w:val="es-PR"/>
        </w:rPr>
        <w:t>, según surge del texto entrillado que acompaña el presente Informe.</w:t>
      </w:r>
    </w:p>
    <w:p w14:paraId="004A2AD9" w14:textId="77777777" w:rsidR="007463E2" w:rsidRPr="00F605B6" w:rsidRDefault="007463E2" w:rsidP="00D32867">
      <w:pPr>
        <w:spacing w:after="120"/>
        <w:rPr>
          <w:rFonts w:ascii="Book Antiqua" w:hAnsi="Book Antiqua"/>
          <w:lang w:val="es-PR"/>
        </w:rPr>
      </w:pPr>
    </w:p>
    <w:p w14:paraId="01D0DD5A" w14:textId="77777777" w:rsidR="007463E2" w:rsidRPr="00F605B6" w:rsidRDefault="00FA5AC5" w:rsidP="00D32867">
      <w:pPr>
        <w:rPr>
          <w:rFonts w:ascii="Book Antiqua" w:hAnsi="Book Antiqua"/>
          <w:lang w:val="es-PR"/>
        </w:rPr>
      </w:pPr>
      <w:r w:rsidRPr="00F605B6">
        <w:rPr>
          <w:rFonts w:ascii="Book Antiqua" w:hAnsi="Book Antiqua"/>
          <w:sz w:val="24"/>
          <w:szCs w:val="24"/>
          <w:lang w:val="es-PR"/>
        </w:rPr>
        <w:t>Respetuosamente sometido,</w:t>
      </w:r>
    </w:p>
    <w:p w14:paraId="44C872CD" w14:textId="77777777" w:rsidR="007463E2" w:rsidRPr="00F605B6" w:rsidRDefault="007463E2" w:rsidP="00D32867">
      <w:pPr>
        <w:rPr>
          <w:rFonts w:ascii="Book Antiqua" w:hAnsi="Book Antiqua"/>
          <w:lang w:val="es-PR"/>
        </w:rPr>
      </w:pPr>
    </w:p>
    <w:p w14:paraId="58E909A6" w14:textId="77777777" w:rsidR="007463E2" w:rsidRPr="00F605B6" w:rsidRDefault="007463E2" w:rsidP="00D32867">
      <w:pPr>
        <w:rPr>
          <w:rFonts w:ascii="Book Antiqua" w:hAnsi="Book Antiqua"/>
          <w:lang w:val="es-PR"/>
        </w:rPr>
      </w:pPr>
    </w:p>
    <w:p w14:paraId="7F241AB7" w14:textId="77777777" w:rsidR="007463E2" w:rsidRPr="00F605B6" w:rsidRDefault="007463E2" w:rsidP="00D32867">
      <w:pPr>
        <w:rPr>
          <w:rFonts w:ascii="Book Antiqua" w:hAnsi="Book Antiqua"/>
          <w:lang w:val="es-PR"/>
        </w:rPr>
      </w:pPr>
    </w:p>
    <w:p w14:paraId="2721D086" w14:textId="77777777" w:rsidR="007463E2" w:rsidRPr="00F605B6" w:rsidRDefault="00FA5AC5" w:rsidP="00D32867">
      <w:pPr>
        <w:rPr>
          <w:rFonts w:ascii="Book Antiqua" w:hAnsi="Book Antiqua"/>
          <w:b/>
          <w:bCs/>
          <w:lang w:val="es-PR"/>
        </w:rPr>
      </w:pPr>
      <w:r w:rsidRPr="00F605B6">
        <w:rPr>
          <w:rFonts w:ascii="Book Antiqua" w:hAnsi="Book Antiqua"/>
          <w:b/>
          <w:bCs/>
          <w:sz w:val="24"/>
          <w:szCs w:val="24"/>
          <w:lang w:val="es-PR"/>
        </w:rPr>
        <w:t>Hon. Elinette González-Aguayo</w:t>
      </w:r>
    </w:p>
    <w:p w14:paraId="574969D6" w14:textId="77777777" w:rsidR="007463E2" w:rsidRPr="00F605B6" w:rsidRDefault="00FA5AC5" w:rsidP="00D32867">
      <w:pPr>
        <w:rPr>
          <w:rFonts w:ascii="Book Antiqua" w:hAnsi="Book Antiqua"/>
          <w:lang w:val="es-PR"/>
        </w:rPr>
      </w:pPr>
      <w:r w:rsidRPr="00F605B6">
        <w:rPr>
          <w:rFonts w:ascii="Book Antiqua" w:hAnsi="Book Antiqua"/>
          <w:sz w:val="24"/>
          <w:szCs w:val="24"/>
          <w:lang w:val="es-PR"/>
        </w:rPr>
        <w:t>Presidenta</w:t>
      </w:r>
    </w:p>
    <w:p w14:paraId="366E29AF" w14:textId="77777777" w:rsidR="007463E2" w:rsidRPr="00F605B6" w:rsidRDefault="00FA5AC5" w:rsidP="00D32867">
      <w:pPr>
        <w:rPr>
          <w:rFonts w:ascii="Book Antiqua" w:hAnsi="Book Antiqua"/>
          <w:lang w:val="es-PR"/>
        </w:rPr>
      </w:pPr>
      <w:r w:rsidRPr="00F605B6">
        <w:rPr>
          <w:rFonts w:ascii="Book Antiqua" w:hAnsi="Book Antiqua"/>
          <w:sz w:val="24"/>
          <w:szCs w:val="24"/>
          <w:lang w:val="es-PR"/>
        </w:rPr>
        <w:t>Comisión de Recursos Naturales</w:t>
      </w:r>
    </w:p>
    <w:sectPr w:rsidR="007463E2" w:rsidRPr="00F605B6">
      <w:foot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F1D8C" w14:textId="77777777" w:rsidR="00072C02" w:rsidRDefault="00072C02" w:rsidP="005D2493">
      <w:r>
        <w:separator/>
      </w:r>
    </w:p>
  </w:endnote>
  <w:endnote w:type="continuationSeparator" w:id="0">
    <w:p w14:paraId="4BF1A6C6" w14:textId="77777777" w:rsidR="00072C02" w:rsidRDefault="00072C02" w:rsidP="005D24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612954"/>
      <w:docPartObj>
        <w:docPartGallery w:val="Page Numbers (Bottom of Page)"/>
        <w:docPartUnique/>
      </w:docPartObj>
    </w:sdtPr>
    <w:sdtEndPr>
      <w:rPr>
        <w:noProof/>
      </w:rPr>
    </w:sdtEndPr>
    <w:sdtContent>
      <w:p w14:paraId="15423C4F" w14:textId="3FC34CF3" w:rsidR="005D2493" w:rsidRDefault="005D24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C5D2B" w14:textId="77777777" w:rsidR="005D2493" w:rsidRDefault="005D24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56699" w14:textId="77777777" w:rsidR="00072C02" w:rsidRDefault="00072C02" w:rsidP="005D2493">
      <w:r>
        <w:separator/>
      </w:r>
    </w:p>
  </w:footnote>
  <w:footnote w:type="continuationSeparator" w:id="0">
    <w:p w14:paraId="2138EBE8" w14:textId="77777777" w:rsidR="00072C02" w:rsidRDefault="00072C02" w:rsidP="005D24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A11735"/>
    <w:multiLevelType w:val="hybridMultilevel"/>
    <w:tmpl w:val="1F0EE230"/>
    <w:lvl w:ilvl="0" w:tplc="F3CA46DE">
      <w:start w:val="1"/>
      <w:numFmt w:val="bullet"/>
      <w:lvlText w:val="●"/>
      <w:lvlJc w:val="left"/>
      <w:pPr>
        <w:ind w:left="720" w:hanging="360"/>
      </w:pPr>
    </w:lvl>
    <w:lvl w:ilvl="1" w:tplc="1CE2890E">
      <w:start w:val="1"/>
      <w:numFmt w:val="bullet"/>
      <w:lvlText w:val="○"/>
      <w:lvlJc w:val="left"/>
      <w:pPr>
        <w:ind w:left="1440" w:hanging="360"/>
      </w:pPr>
    </w:lvl>
    <w:lvl w:ilvl="2" w:tplc="80246074">
      <w:start w:val="1"/>
      <w:numFmt w:val="bullet"/>
      <w:lvlText w:val="■"/>
      <w:lvlJc w:val="left"/>
      <w:pPr>
        <w:ind w:left="2160" w:hanging="360"/>
      </w:pPr>
    </w:lvl>
    <w:lvl w:ilvl="3" w:tplc="C50CD566">
      <w:start w:val="1"/>
      <w:numFmt w:val="bullet"/>
      <w:lvlText w:val="●"/>
      <w:lvlJc w:val="left"/>
      <w:pPr>
        <w:ind w:left="2880" w:hanging="360"/>
      </w:pPr>
    </w:lvl>
    <w:lvl w:ilvl="4" w:tplc="49386A28">
      <w:start w:val="1"/>
      <w:numFmt w:val="bullet"/>
      <w:lvlText w:val="○"/>
      <w:lvlJc w:val="left"/>
      <w:pPr>
        <w:ind w:left="3600" w:hanging="360"/>
      </w:pPr>
    </w:lvl>
    <w:lvl w:ilvl="5" w:tplc="03226B1C">
      <w:start w:val="1"/>
      <w:numFmt w:val="bullet"/>
      <w:lvlText w:val="■"/>
      <w:lvlJc w:val="left"/>
      <w:pPr>
        <w:ind w:left="4320" w:hanging="360"/>
      </w:pPr>
    </w:lvl>
    <w:lvl w:ilvl="6" w:tplc="70A847C8">
      <w:start w:val="1"/>
      <w:numFmt w:val="bullet"/>
      <w:lvlText w:val="●"/>
      <w:lvlJc w:val="left"/>
      <w:pPr>
        <w:ind w:left="5040" w:hanging="360"/>
      </w:pPr>
    </w:lvl>
    <w:lvl w:ilvl="7" w:tplc="29CA777E">
      <w:start w:val="1"/>
      <w:numFmt w:val="bullet"/>
      <w:lvlText w:val="●"/>
      <w:lvlJc w:val="left"/>
      <w:pPr>
        <w:ind w:left="5760" w:hanging="360"/>
      </w:pPr>
    </w:lvl>
    <w:lvl w:ilvl="8" w:tplc="7D267F5E">
      <w:start w:val="1"/>
      <w:numFmt w:val="bullet"/>
      <w:lvlText w:val="●"/>
      <w:lvlJc w:val="left"/>
      <w:pPr>
        <w:ind w:left="6480" w:hanging="360"/>
      </w:pPr>
    </w:lvl>
  </w:abstractNum>
  <w:num w:numId="1" w16cid:durableId="213112021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3E2"/>
    <w:rsid w:val="000523CC"/>
    <w:rsid w:val="00072C02"/>
    <w:rsid w:val="000B28B8"/>
    <w:rsid w:val="001070AD"/>
    <w:rsid w:val="001D58DD"/>
    <w:rsid w:val="002A10E9"/>
    <w:rsid w:val="002A6120"/>
    <w:rsid w:val="002E1996"/>
    <w:rsid w:val="003C42D2"/>
    <w:rsid w:val="004C7136"/>
    <w:rsid w:val="005D2493"/>
    <w:rsid w:val="007463E2"/>
    <w:rsid w:val="00900E92"/>
    <w:rsid w:val="009860F3"/>
    <w:rsid w:val="00A140CB"/>
    <w:rsid w:val="00A41A72"/>
    <w:rsid w:val="00A44FBC"/>
    <w:rsid w:val="00AA560A"/>
    <w:rsid w:val="00D32867"/>
    <w:rsid w:val="00EC247D"/>
    <w:rsid w:val="00F605B6"/>
    <w:rsid w:val="00FA5A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92879"/>
  <w15:docId w15:val="{12DE59A5-6296-4873-B779-C8A9CE718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D2493"/>
    <w:pPr>
      <w:tabs>
        <w:tab w:val="center" w:pos="4680"/>
        <w:tab w:val="right" w:pos="9360"/>
      </w:tabs>
    </w:pPr>
  </w:style>
  <w:style w:type="character" w:customStyle="1" w:styleId="HeaderChar">
    <w:name w:val="Header Char"/>
    <w:basedOn w:val="DefaultParagraphFont"/>
    <w:link w:val="Header"/>
    <w:uiPriority w:val="99"/>
    <w:rsid w:val="005D2493"/>
  </w:style>
  <w:style w:type="paragraph" w:styleId="Footer">
    <w:name w:val="footer"/>
    <w:basedOn w:val="Normal"/>
    <w:link w:val="FooterChar"/>
    <w:uiPriority w:val="99"/>
    <w:unhideWhenUsed/>
    <w:rsid w:val="005D2493"/>
    <w:pPr>
      <w:tabs>
        <w:tab w:val="center" w:pos="4680"/>
        <w:tab w:val="right" w:pos="9360"/>
      </w:tabs>
    </w:pPr>
  </w:style>
  <w:style w:type="character" w:customStyle="1" w:styleId="FooterChar">
    <w:name w:val="Footer Char"/>
    <w:basedOn w:val="DefaultParagraphFont"/>
    <w:link w:val="Footer"/>
    <w:uiPriority w:val="99"/>
    <w:rsid w:val="005D2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2395</Words>
  <Characters>13654</Characters>
  <Application>Microsoft Office Word</Application>
  <DocSecurity>4</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Oppenheimer</dc:creator>
  <cp:keywords>Elinette Gonzalez</cp:keywords>
  <cp:lastModifiedBy>Camyl Moreno Pantojas</cp:lastModifiedBy>
  <cp:revision>2</cp:revision>
  <cp:lastPrinted>2026-06-09T12:53:00Z</cp:lastPrinted>
  <dcterms:created xsi:type="dcterms:W3CDTF">2026-06-09T14:04:00Z</dcterms:created>
  <dcterms:modified xsi:type="dcterms:W3CDTF">2026-06-09T14:04:00Z</dcterms:modified>
</cp:coreProperties>
</file>