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FB5DF5">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FB5DF5">
      <w:pPr>
        <w:jc w:val="center"/>
        <w:rPr>
          <w:rFonts w:ascii="Book Antiqua" w:hAnsi="Book Antiqua"/>
          <w:szCs w:val="24"/>
          <w:lang w:val="es-ES_tradnl"/>
        </w:rPr>
      </w:pPr>
    </w:p>
    <w:p w14:paraId="73A3D3AE" w14:textId="6EABAB08" w:rsidR="00A22A39" w:rsidRPr="00A230B0" w:rsidRDefault="00B40FC0" w:rsidP="00FB5DF5">
      <w:pPr>
        <w:pStyle w:val="Title2"/>
        <w:tabs>
          <w:tab w:val="clear" w:pos="648"/>
          <w:tab w:val="clear" w:pos="7776"/>
          <w:tab w:val="clear" w:pos="7848"/>
        </w:tabs>
        <w:rPr>
          <w:rFonts w:ascii="Book Antiqua" w:hAnsi="Book Antiqua"/>
          <w:lang w:val="es-PR"/>
        </w:rPr>
      </w:pPr>
      <w:r w:rsidRPr="00A230B0">
        <w:rPr>
          <w:rFonts w:ascii="Book Antiqua" w:hAnsi="Book Antiqua"/>
          <w:lang w:val="es-PR"/>
        </w:rPr>
        <w:t xml:space="preserve">20ma. </w:t>
      </w:r>
      <w:r w:rsidR="27861338" w:rsidRPr="00A230B0">
        <w:rPr>
          <w:rFonts w:ascii="Book Antiqua" w:hAnsi="Book Antiqua"/>
          <w:lang w:val="es-PR"/>
        </w:rPr>
        <w:t>Asamblea</w:t>
      </w:r>
      <w:r w:rsidR="00E774AF"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004B31E5">
        <w:rPr>
          <w:rFonts w:ascii="Book Antiqua" w:hAnsi="Book Antiqua"/>
          <w:lang w:val="es-PR"/>
        </w:rPr>
        <w:t>2d</w:t>
      </w:r>
      <w:r w:rsidRPr="00A230B0">
        <w:rPr>
          <w:rFonts w:ascii="Book Antiqua" w:hAnsi="Book Antiqua"/>
          <w:lang w:val="es-PR"/>
        </w:rPr>
        <w:t>a.</w:t>
      </w:r>
      <w:r w:rsidRPr="00A230B0">
        <w:rPr>
          <w:lang w:val="es-PR"/>
        </w:rPr>
        <w:t xml:space="preserve"> </w:t>
      </w:r>
      <w:r w:rsidR="27861338" w:rsidRPr="00A230B0">
        <w:rPr>
          <w:rFonts w:ascii="Book Antiqua" w:hAnsi="Book Antiqua"/>
          <w:lang w:val="es-PR"/>
        </w:rPr>
        <w:t>Sesión</w:t>
      </w:r>
    </w:p>
    <w:p w14:paraId="6EFCC02E" w14:textId="3E42A962" w:rsidR="00A22A39" w:rsidRPr="00A230B0" w:rsidRDefault="00A230B0" w:rsidP="00FB5DF5">
      <w:pPr>
        <w:pStyle w:val="Title2"/>
        <w:tabs>
          <w:tab w:val="clear" w:pos="648"/>
          <w:tab w:val="clear" w:pos="7776"/>
          <w:tab w:val="clear" w:pos="7848"/>
        </w:tabs>
        <w:rPr>
          <w:rFonts w:ascii="Book Antiqua" w:hAnsi="Book Antiqua"/>
          <w:lang w:val="es-PR"/>
        </w:rPr>
      </w:pPr>
      <w:r>
        <w:rPr>
          <w:rFonts w:ascii="Book Antiqua" w:hAnsi="Book Antiqua"/>
          <w:lang w:val="es-PR"/>
        </w:rPr>
        <w:t xml:space="preserve">            </w:t>
      </w:r>
      <w:r w:rsidR="00A22A39" w:rsidRPr="00A230B0">
        <w:rPr>
          <w:rFonts w:ascii="Book Antiqua" w:hAnsi="Book Antiqua"/>
          <w:lang w:val="es-PR"/>
        </w:rPr>
        <w:t>Legislativa</w:t>
      </w:r>
      <w:r w:rsidR="00A22A39" w:rsidRPr="00A230B0">
        <w:rPr>
          <w:rFonts w:ascii="Book Antiqua" w:hAnsi="Book Antiqua"/>
          <w:lang w:val="es-PR"/>
        </w:rPr>
        <w:tab/>
      </w:r>
      <w:r w:rsidR="00A22A39" w:rsidRPr="00A230B0">
        <w:rPr>
          <w:rFonts w:ascii="Book Antiqua" w:hAnsi="Book Antiqua"/>
          <w:lang w:val="es-PR"/>
        </w:rPr>
        <w:tab/>
      </w:r>
      <w:r w:rsidR="00B40FC0" w:rsidRPr="00A230B0">
        <w:rPr>
          <w:rFonts w:ascii="Book Antiqua" w:hAnsi="Book Antiqua"/>
          <w:lang w:val="es-PR"/>
        </w:rPr>
        <w:t xml:space="preserve">   </w:t>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r>
      <w:r w:rsidR="00B40FC0" w:rsidRPr="00A230B0">
        <w:rPr>
          <w:rFonts w:ascii="Book Antiqua" w:hAnsi="Book Antiqua"/>
          <w:lang w:val="es-PR"/>
        </w:rPr>
        <w:tab/>
        <w:t xml:space="preserve">      </w:t>
      </w:r>
      <w:r w:rsidR="00A22A39" w:rsidRPr="00A230B0">
        <w:rPr>
          <w:rFonts w:ascii="Book Antiqua" w:hAnsi="Book Antiqua"/>
          <w:lang w:val="es-PR"/>
        </w:rPr>
        <w:t>Ordinaria</w:t>
      </w:r>
    </w:p>
    <w:p w14:paraId="71659C38" w14:textId="77777777" w:rsidR="00A22A39" w:rsidRPr="004B31E5" w:rsidRDefault="00A22A39" w:rsidP="00FB5DF5">
      <w:pPr>
        <w:rPr>
          <w:lang w:val="es-PR"/>
        </w:rPr>
      </w:pPr>
    </w:p>
    <w:p w14:paraId="622705C1" w14:textId="77777777" w:rsidR="00A22A39" w:rsidRDefault="00A22A39" w:rsidP="00FB5DF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FB5DF5">
      <w:pPr>
        <w:jc w:val="center"/>
        <w:rPr>
          <w:rFonts w:ascii="Book Antiqua" w:hAnsi="Book Antiqua"/>
          <w:b/>
          <w:szCs w:val="24"/>
          <w:lang w:val="es-ES_tradnl"/>
        </w:rPr>
      </w:pPr>
    </w:p>
    <w:p w14:paraId="4A933669" w14:textId="781EB6C6" w:rsidR="00A22A39" w:rsidRDefault="00A22A39" w:rsidP="00FB5DF5">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5B3263">
        <w:rPr>
          <w:rFonts w:ascii="Book Antiqua" w:hAnsi="Book Antiqua"/>
          <w:b/>
          <w:sz w:val="52"/>
          <w:lang w:val="es-ES_tradnl"/>
        </w:rPr>
        <w:t>506</w:t>
      </w:r>
    </w:p>
    <w:p w14:paraId="79C283F6" w14:textId="77777777" w:rsidR="00212D00" w:rsidRPr="00212D00" w:rsidRDefault="00212D00" w:rsidP="00FB5DF5">
      <w:pPr>
        <w:jc w:val="center"/>
        <w:rPr>
          <w:rFonts w:ascii="Book Antiqua" w:hAnsi="Book Antiqua"/>
          <w:b/>
          <w:szCs w:val="24"/>
          <w:lang w:val="es-ES_tradnl"/>
        </w:rPr>
      </w:pPr>
    </w:p>
    <w:p w14:paraId="0C9B3B08" w14:textId="4B01AF6A" w:rsidR="00A22A39" w:rsidRDefault="003D4582" w:rsidP="00FB5DF5">
      <w:pPr>
        <w:jc w:val="center"/>
        <w:rPr>
          <w:rFonts w:ascii="Book Antiqua" w:hAnsi="Book Antiqua"/>
          <w:lang w:val="es-ES_tradnl"/>
        </w:rPr>
      </w:pPr>
      <w:r>
        <w:rPr>
          <w:rFonts w:ascii="Book Antiqua" w:hAnsi="Book Antiqua"/>
          <w:lang w:val="es-ES_tradnl"/>
        </w:rPr>
        <w:t xml:space="preserve">13 </w:t>
      </w:r>
      <w:r w:rsidR="00A22A39">
        <w:rPr>
          <w:rFonts w:ascii="Book Antiqua" w:hAnsi="Book Antiqua"/>
          <w:lang w:val="es-ES_tradnl"/>
        </w:rPr>
        <w:t xml:space="preserve">DE </w:t>
      </w:r>
      <w:r w:rsidR="004B31E5">
        <w:rPr>
          <w:rFonts w:ascii="Book Antiqua" w:hAnsi="Book Antiqua"/>
          <w:lang w:val="es-ES_tradnl"/>
        </w:rPr>
        <w:t>NOVIEMBRE</w:t>
      </w:r>
      <w:r w:rsidR="00A22A39">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FB5DF5">
      <w:pPr>
        <w:jc w:val="center"/>
        <w:rPr>
          <w:rFonts w:ascii="Book Antiqua" w:hAnsi="Book Antiqua"/>
          <w:lang w:val="es-ES_tradnl"/>
        </w:rPr>
      </w:pPr>
    </w:p>
    <w:p w14:paraId="238CBDB2" w14:textId="4A31CCCC" w:rsidR="00212D00" w:rsidRDefault="00A22A39" w:rsidP="00FB5DF5">
      <w:pPr>
        <w:jc w:val="center"/>
        <w:rPr>
          <w:rFonts w:ascii="Book Antiqua" w:hAnsi="Book Antiqua"/>
          <w:i/>
          <w:iCs/>
          <w:lang w:val="es-ES_tradnl"/>
        </w:rPr>
      </w:pPr>
      <w:r>
        <w:rPr>
          <w:rFonts w:ascii="Book Antiqua" w:hAnsi="Book Antiqua"/>
          <w:lang w:val="es-ES_tradnl"/>
        </w:rPr>
        <w:t xml:space="preserve">Presentada por </w:t>
      </w:r>
      <w:r w:rsidR="00090DF5">
        <w:rPr>
          <w:rFonts w:ascii="Book Antiqua" w:hAnsi="Book Antiqua"/>
          <w:lang w:val="es-ES_tradnl"/>
        </w:rPr>
        <w:t>e</w:t>
      </w:r>
      <w:r w:rsidR="00E774AF">
        <w:rPr>
          <w:rFonts w:ascii="Book Antiqua" w:hAnsi="Book Antiqua"/>
          <w:lang w:val="es-ES_tradnl"/>
        </w:rPr>
        <w:t xml:space="preserve">l </w:t>
      </w:r>
      <w:r w:rsidR="00A20194">
        <w:rPr>
          <w:rFonts w:ascii="Book Antiqua" w:hAnsi="Book Antiqua"/>
          <w:lang w:val="es-ES_tradnl"/>
        </w:rPr>
        <w:t xml:space="preserve">representante </w:t>
      </w:r>
      <w:r w:rsidR="00A66042">
        <w:rPr>
          <w:rFonts w:ascii="Book Antiqua" w:hAnsi="Book Antiqua"/>
          <w:i/>
          <w:iCs/>
          <w:lang w:val="es-ES_tradnl"/>
        </w:rPr>
        <w:t>Robles Rivera</w:t>
      </w:r>
    </w:p>
    <w:p w14:paraId="5ED672CF" w14:textId="77777777" w:rsidR="00090DF5" w:rsidRDefault="00090DF5" w:rsidP="00FB5DF5">
      <w:pPr>
        <w:jc w:val="center"/>
        <w:rPr>
          <w:rFonts w:ascii="Book Antiqua" w:hAnsi="Book Antiqua"/>
          <w:lang w:val="es-ES_tradnl"/>
        </w:rPr>
      </w:pPr>
    </w:p>
    <w:p w14:paraId="03F04B76" w14:textId="6E104FF9" w:rsidR="00A22A39" w:rsidRDefault="00A22A39" w:rsidP="00FB5DF5">
      <w:pPr>
        <w:jc w:val="center"/>
        <w:rPr>
          <w:rFonts w:ascii="Book Antiqua" w:hAnsi="Book Antiqua"/>
          <w:lang w:val="es-ES_tradnl"/>
        </w:rPr>
      </w:pPr>
      <w:r>
        <w:rPr>
          <w:rFonts w:ascii="Book Antiqua" w:hAnsi="Book Antiqua"/>
          <w:lang w:val="es-ES_tradnl"/>
        </w:rPr>
        <w:t xml:space="preserve">Referida a </w:t>
      </w:r>
      <w:r w:rsidR="00FB5DF5">
        <w:rPr>
          <w:rFonts w:ascii="Book Antiqua" w:hAnsi="Book Antiqua"/>
          <w:lang w:val="es-ES_tradnl"/>
        </w:rPr>
        <w:t>Comisión de Asuntos Internos</w:t>
      </w:r>
    </w:p>
    <w:p w14:paraId="348B9295" w14:textId="77777777" w:rsidR="00A22A39" w:rsidRDefault="00A22A39" w:rsidP="00FB5DF5">
      <w:pPr>
        <w:jc w:val="both"/>
        <w:rPr>
          <w:rFonts w:ascii="Book Antiqua" w:hAnsi="Book Antiqua"/>
          <w:lang w:val="es-ES_tradnl"/>
        </w:rPr>
      </w:pPr>
    </w:p>
    <w:p w14:paraId="6983381E" w14:textId="77777777" w:rsidR="00A22A39" w:rsidRDefault="00A22A39" w:rsidP="00FB5DF5">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FB5DF5">
      <w:pPr>
        <w:jc w:val="both"/>
        <w:rPr>
          <w:rFonts w:ascii="Book Antiqua" w:hAnsi="Book Antiqua"/>
          <w:lang w:val="es-ES_tradnl"/>
        </w:rPr>
      </w:pPr>
    </w:p>
    <w:p w14:paraId="3F9DD53F" w14:textId="6D186599" w:rsidR="008248B8" w:rsidRPr="003203CE" w:rsidRDefault="00A22A39" w:rsidP="00FB5DF5">
      <w:pPr>
        <w:ind w:left="720" w:hanging="720"/>
        <w:jc w:val="both"/>
        <w:rPr>
          <w:rFonts w:ascii="Book Antiqua" w:hAnsi="Book Antiqua"/>
          <w:bCs/>
          <w:szCs w:val="24"/>
          <w:lang w:val="es-PR"/>
        </w:rPr>
      </w:pPr>
      <w:r w:rsidRPr="003302CE">
        <w:rPr>
          <w:rFonts w:ascii="Book Antiqua" w:hAnsi="Book Antiqua"/>
          <w:lang w:val="es-ES_tradnl"/>
        </w:rPr>
        <w:t>Para</w:t>
      </w:r>
      <w:r w:rsidR="00A20194" w:rsidRPr="003302CE">
        <w:rPr>
          <w:lang w:val="es-ES_tradnl"/>
        </w:rPr>
        <w:t xml:space="preserve"> </w:t>
      </w:r>
      <w:bookmarkStart w:id="0" w:name="_Hlk192231384"/>
      <w:r w:rsidR="00A20194" w:rsidRPr="006519B9">
        <w:rPr>
          <w:rFonts w:ascii="Book Antiqua" w:hAnsi="Book Antiqua"/>
          <w:lang w:val="es-ES_tradnl"/>
        </w:rPr>
        <w:t>ordenar a la Comisión de</w:t>
      </w:r>
      <w:r w:rsidR="00074FC6" w:rsidRPr="006519B9">
        <w:rPr>
          <w:rFonts w:ascii="Book Antiqua" w:hAnsi="Book Antiqua"/>
          <w:lang w:val="es-ES_tradnl"/>
        </w:rPr>
        <w:t xml:space="preserve"> </w:t>
      </w:r>
      <w:bookmarkEnd w:id="0"/>
      <w:r w:rsidR="007C4449">
        <w:rPr>
          <w:rFonts w:ascii="Book Antiqua" w:hAnsi="Book Antiqua"/>
          <w:lang w:val="es-ES_tradnl"/>
        </w:rPr>
        <w:t>Asuntos Municipales</w:t>
      </w:r>
      <w:r w:rsidR="006519B9">
        <w:rPr>
          <w:rFonts w:ascii="Book Antiqua" w:hAnsi="Book Antiqua"/>
          <w:lang w:val="es-ES_tradnl"/>
        </w:rPr>
        <w:t xml:space="preserve"> de la Cámara de Representantes de Puerto Rico</w:t>
      </w:r>
      <w:r w:rsidR="004E7DC4">
        <w:rPr>
          <w:rFonts w:ascii="Book Antiqua" w:hAnsi="Book Antiqua"/>
          <w:lang w:val="es-ES_tradnl"/>
        </w:rPr>
        <w:t xml:space="preserve">, realizar una investigación </w:t>
      </w:r>
      <w:r w:rsidR="003D4582">
        <w:rPr>
          <w:rFonts w:ascii="Book Antiqua" w:hAnsi="Book Antiqua"/>
          <w:lang w:val="es-ES_tradnl"/>
        </w:rPr>
        <w:t xml:space="preserve">exhaustiva </w:t>
      </w:r>
      <w:r w:rsidR="009F00F1" w:rsidRPr="003E1A13">
        <w:rPr>
          <w:rFonts w:ascii="Book Antiqua" w:hAnsi="Book Antiqua"/>
          <w:lang w:val="es-PR"/>
        </w:rPr>
        <w:t>sobre las alegadas irregularidades en los procesos de exoneraciones contributivas y tasación virtual del Centro de Recaudación de Ingresos Municipales (CRIM), según identificadas por la Oficina del Contralor de Puerto Rico</w:t>
      </w:r>
      <w:r w:rsidR="007755B8">
        <w:rPr>
          <w:rFonts w:ascii="Book Antiqua" w:hAnsi="Book Antiqua"/>
          <w:lang w:val="es-PR"/>
        </w:rPr>
        <w:t xml:space="preserve">; </w:t>
      </w:r>
      <w:r w:rsidR="000C43FA">
        <w:rPr>
          <w:rFonts w:ascii="Book Antiqua" w:hAnsi="Book Antiqua"/>
          <w:lang w:val="es-PR"/>
        </w:rPr>
        <w:t xml:space="preserve">revisar la confiabilidad </w:t>
      </w:r>
      <w:r w:rsidR="00D745AE">
        <w:rPr>
          <w:rFonts w:ascii="Book Antiqua" w:hAnsi="Book Antiqua"/>
          <w:lang w:val="es-PR"/>
        </w:rPr>
        <w:t>de los procesos de tasación y cobros</w:t>
      </w:r>
      <w:r w:rsidR="00671168" w:rsidRPr="006519B9">
        <w:rPr>
          <w:rFonts w:ascii="Book Antiqua" w:hAnsi="Book Antiqua"/>
          <w:bCs/>
          <w:szCs w:val="24"/>
          <w:lang w:val="es-PR"/>
        </w:rPr>
        <w:t>;</w:t>
      </w:r>
      <w:r w:rsidR="00090DF5" w:rsidRPr="006519B9">
        <w:rPr>
          <w:rFonts w:ascii="Book Antiqua" w:hAnsi="Book Antiqua"/>
          <w:bCs/>
          <w:szCs w:val="24"/>
          <w:lang w:val="es-PR"/>
        </w:rPr>
        <w:t xml:space="preserve"> y para otros fines</w:t>
      </w:r>
      <w:r w:rsidR="004849EA" w:rsidRPr="006519B9">
        <w:rPr>
          <w:rFonts w:ascii="Book Antiqua" w:hAnsi="Book Antiqua"/>
          <w:bCs/>
          <w:szCs w:val="24"/>
          <w:lang w:val="es-PR"/>
        </w:rPr>
        <w:t xml:space="preserve"> relacionados</w:t>
      </w:r>
      <w:r w:rsidR="003203CE" w:rsidRPr="006519B9">
        <w:rPr>
          <w:rFonts w:ascii="Book Antiqua" w:hAnsi="Book Antiqua"/>
          <w:bCs/>
          <w:szCs w:val="24"/>
          <w:lang w:val="es-PR"/>
        </w:rPr>
        <w:t>.</w:t>
      </w:r>
    </w:p>
    <w:p w14:paraId="3177B3DA" w14:textId="75B1212A" w:rsidR="00A22A39" w:rsidRPr="003302CE" w:rsidRDefault="00A22A39" w:rsidP="00FB5DF5">
      <w:pPr>
        <w:ind w:left="851" w:hanging="491"/>
        <w:jc w:val="both"/>
        <w:rPr>
          <w:rFonts w:ascii="Book Antiqua" w:hAnsi="Book Antiqua"/>
          <w:lang w:val="es-ES_tradnl"/>
        </w:rPr>
      </w:pPr>
    </w:p>
    <w:p w14:paraId="583B76E7" w14:textId="77777777" w:rsidR="00A22A39" w:rsidRDefault="00A22A39" w:rsidP="00FB5DF5">
      <w:pPr>
        <w:ind w:firstLine="360"/>
        <w:jc w:val="center"/>
        <w:rPr>
          <w:rFonts w:ascii="Book Antiqua" w:hAnsi="Book Antiqua"/>
          <w:lang w:val="es-ES_tradnl"/>
        </w:rPr>
      </w:pPr>
      <w:r w:rsidRPr="003302CE">
        <w:rPr>
          <w:rFonts w:ascii="Book Antiqua" w:hAnsi="Book Antiqua"/>
          <w:lang w:val="es-ES_tradnl"/>
        </w:rPr>
        <w:t>EXPOSICIÓN DE MOTIVOS</w:t>
      </w:r>
    </w:p>
    <w:p w14:paraId="290C2BE0" w14:textId="77777777" w:rsidR="00212D00" w:rsidRPr="003302CE" w:rsidRDefault="00212D00" w:rsidP="00FB5DF5">
      <w:pPr>
        <w:ind w:firstLine="360"/>
        <w:jc w:val="center"/>
        <w:rPr>
          <w:rFonts w:ascii="Book Antiqua" w:hAnsi="Book Antiqua"/>
          <w:lang w:val="es-ES_tradnl"/>
        </w:rPr>
      </w:pPr>
    </w:p>
    <w:p w14:paraId="76EDFDAA" w14:textId="78023CDB" w:rsidR="003203CE" w:rsidRDefault="00A25086" w:rsidP="00FB5DF5">
      <w:pPr>
        <w:autoSpaceDE w:val="0"/>
        <w:autoSpaceDN w:val="0"/>
        <w:adjustRightInd w:val="0"/>
        <w:ind w:firstLine="720"/>
        <w:jc w:val="both"/>
        <w:rPr>
          <w:rFonts w:ascii="Book Antiqua" w:hAnsi="Book Antiqua"/>
          <w:lang w:val="es-PR"/>
        </w:rPr>
      </w:pPr>
      <w:bookmarkStart w:id="1" w:name="_Hlk184305765"/>
      <w:r>
        <w:rPr>
          <w:rFonts w:ascii="Book Antiqua" w:hAnsi="Book Antiqua"/>
          <w:lang w:val="es-PR"/>
        </w:rPr>
        <w:t>El Centro de Recaudación de Ingresos Municipales (CRIM), es la entidad encargada de brindar servicios fiscales</w:t>
      </w:r>
      <w:r w:rsidR="001E47F3">
        <w:rPr>
          <w:rFonts w:ascii="Book Antiqua" w:hAnsi="Book Antiqua"/>
          <w:lang w:val="es-PR"/>
        </w:rPr>
        <w:t xml:space="preserve"> a los municipios, y cuya responsabilidad primaria es recaudar, recibir y distribuir fondos p</w:t>
      </w:r>
      <w:r w:rsidR="000101C3">
        <w:rPr>
          <w:rFonts w:ascii="Book Antiqua" w:hAnsi="Book Antiqua"/>
          <w:lang w:val="es-PR"/>
        </w:rPr>
        <w:t xml:space="preserve">úblicos que corresponden los </w:t>
      </w:r>
      <w:r w:rsidR="0027401A">
        <w:rPr>
          <w:rFonts w:ascii="Book Antiqua" w:hAnsi="Book Antiqua"/>
          <w:lang w:val="es-PR"/>
        </w:rPr>
        <w:t>municipios</w:t>
      </w:r>
      <w:r w:rsidR="000101C3">
        <w:rPr>
          <w:rFonts w:ascii="Book Antiqua" w:hAnsi="Book Antiqua"/>
          <w:lang w:val="es-PR"/>
        </w:rPr>
        <w:t>.</w:t>
      </w:r>
      <w:r w:rsidR="0027401A">
        <w:rPr>
          <w:rFonts w:ascii="Book Antiqua" w:hAnsi="Book Antiqua"/>
          <w:lang w:val="es-PR"/>
        </w:rPr>
        <w:t xml:space="preserve"> Operacionalmente</w:t>
      </w:r>
      <w:r w:rsidR="00D83D7E">
        <w:rPr>
          <w:rFonts w:ascii="Book Antiqua" w:hAnsi="Book Antiqua"/>
          <w:lang w:val="es-PR"/>
        </w:rPr>
        <w:t>, el CRIM</w:t>
      </w:r>
      <w:r w:rsidR="00D20326">
        <w:rPr>
          <w:rFonts w:ascii="Book Antiqua" w:hAnsi="Book Antiqua"/>
          <w:lang w:val="es-PR"/>
        </w:rPr>
        <w:t xml:space="preserve"> es una entidad municipal, independiente</w:t>
      </w:r>
      <w:r w:rsidR="00273351">
        <w:rPr>
          <w:rFonts w:ascii="Book Antiqua" w:hAnsi="Book Antiqua"/>
          <w:lang w:val="es-PR"/>
        </w:rPr>
        <w:t xml:space="preserve"> y separada de cualquier otra agencia instrumentalidad del Gobierno</w:t>
      </w:r>
      <w:r w:rsidR="009A78B5">
        <w:rPr>
          <w:rFonts w:ascii="Book Antiqua" w:hAnsi="Book Antiqua"/>
          <w:lang w:val="es-PR"/>
        </w:rPr>
        <w:t xml:space="preserve"> de Puerto Rico</w:t>
      </w:r>
      <w:r w:rsidR="00273351">
        <w:rPr>
          <w:rFonts w:ascii="Book Antiqua" w:hAnsi="Book Antiqua"/>
          <w:lang w:val="es-PR"/>
        </w:rPr>
        <w:t>.</w:t>
      </w:r>
      <w:r w:rsidR="002C7BC6">
        <w:rPr>
          <w:rFonts w:ascii="Book Antiqua" w:hAnsi="Book Antiqua"/>
          <w:lang w:val="es-PR"/>
        </w:rPr>
        <w:t xml:space="preserve"> Se fundamenta en lo dispuesto por el </w:t>
      </w:r>
      <w:r w:rsidR="00286CF5">
        <w:rPr>
          <w:rFonts w:ascii="Book Antiqua" w:hAnsi="Book Antiqua"/>
          <w:lang w:val="es-PR"/>
        </w:rPr>
        <w:t xml:space="preserve">Artículo </w:t>
      </w:r>
      <w:r w:rsidR="00014836">
        <w:rPr>
          <w:rFonts w:ascii="Book Antiqua" w:hAnsi="Book Antiqua"/>
          <w:lang w:val="es-PR"/>
        </w:rPr>
        <w:t>7.001 de la Ley 107-2020, según enmendada, conocida como “Código Municipal de Puerto Rico</w:t>
      </w:r>
      <w:r w:rsidR="00B22857">
        <w:rPr>
          <w:rFonts w:ascii="Book Antiqua" w:hAnsi="Book Antiqua"/>
          <w:lang w:val="es-PR"/>
        </w:rPr>
        <w:t>”.</w:t>
      </w:r>
    </w:p>
    <w:p w14:paraId="23AE42F6" w14:textId="77777777" w:rsidR="00D83D7E" w:rsidRDefault="00D83D7E" w:rsidP="00FB5DF5">
      <w:pPr>
        <w:autoSpaceDE w:val="0"/>
        <w:autoSpaceDN w:val="0"/>
        <w:adjustRightInd w:val="0"/>
        <w:ind w:firstLine="720"/>
        <w:jc w:val="both"/>
        <w:rPr>
          <w:rFonts w:ascii="Book Antiqua" w:hAnsi="Book Antiqua"/>
          <w:lang w:val="es-PR"/>
        </w:rPr>
      </w:pPr>
    </w:p>
    <w:p w14:paraId="28F10D3C" w14:textId="77777777" w:rsidR="00706A2B" w:rsidRPr="003E1A13" w:rsidRDefault="00706A2B" w:rsidP="00FB5DF5">
      <w:pPr>
        <w:ind w:firstLine="720"/>
        <w:jc w:val="both"/>
        <w:rPr>
          <w:rFonts w:ascii="Book Antiqua" w:hAnsi="Book Antiqua"/>
          <w:lang w:val="es-PR"/>
        </w:rPr>
      </w:pPr>
      <w:r w:rsidRPr="003E1A13">
        <w:rPr>
          <w:rFonts w:ascii="Book Antiqua" w:hAnsi="Book Antiqua"/>
          <w:lang w:val="es-PR"/>
        </w:rPr>
        <w:t xml:space="preserve">El CRIM es la agencia encargada de administrar el cobro de contribuciones sobre la propiedad inmueble y mueble en los 78 municipios </w:t>
      </w:r>
      <w:r>
        <w:rPr>
          <w:rFonts w:ascii="Book Antiqua" w:hAnsi="Book Antiqua"/>
          <w:lang w:val="es-PR"/>
        </w:rPr>
        <w:t>de nuestra Isla</w:t>
      </w:r>
      <w:r w:rsidRPr="003E1A13">
        <w:rPr>
          <w:rFonts w:ascii="Book Antiqua" w:hAnsi="Book Antiqua"/>
          <w:lang w:val="es-PR"/>
        </w:rPr>
        <w:t>. Cualquier falla en sus procesos no solo afecta los recaudos municipales, sino también la confianza pública en la administración de los recursos fiscales y en la equidad contributiva entre los ciudadanos.</w:t>
      </w:r>
    </w:p>
    <w:p w14:paraId="6C0C24EA" w14:textId="77777777" w:rsidR="00706A2B" w:rsidRDefault="00706A2B" w:rsidP="00FB5DF5">
      <w:pPr>
        <w:autoSpaceDE w:val="0"/>
        <w:autoSpaceDN w:val="0"/>
        <w:adjustRightInd w:val="0"/>
        <w:ind w:firstLine="720"/>
        <w:jc w:val="both"/>
        <w:rPr>
          <w:rFonts w:ascii="Book Antiqua" w:hAnsi="Book Antiqua"/>
          <w:lang w:val="es-PR"/>
        </w:rPr>
      </w:pPr>
    </w:p>
    <w:p w14:paraId="7AAE6814" w14:textId="77777777" w:rsidR="007B7CC0" w:rsidRDefault="007B7CC0" w:rsidP="00FB5DF5">
      <w:pPr>
        <w:ind w:firstLine="720"/>
        <w:jc w:val="both"/>
        <w:rPr>
          <w:rFonts w:ascii="Book Antiqua" w:hAnsi="Book Antiqua"/>
          <w:lang w:val="es-PR"/>
        </w:rPr>
      </w:pPr>
      <w:r w:rsidRPr="003E1A13">
        <w:rPr>
          <w:rFonts w:ascii="Book Antiqua" w:hAnsi="Book Antiqua"/>
          <w:lang w:val="es-PR"/>
        </w:rPr>
        <w:lastRenderedPageBreak/>
        <w:t>La Oficina del Contralor de Puerto Rico emitió recientemente un informe en el que se identifican múltiples irregularidades en los procesos de exoneraciones contributivas y la implementación del sistema de tasación virtual por parte del Centro de Recaudación de Ingresos Municipales (CRIM). Dichas irregularidades, según el informe, incluyen deficiencias en los controles internos, posibles inconsistencias en la aplicación de criterios de exoneración, y fallas en la supervisión de los procesos automatizados de tasación y valoración de propiedades.</w:t>
      </w:r>
    </w:p>
    <w:p w14:paraId="5870994E" w14:textId="77777777" w:rsidR="00FB5DF5" w:rsidRPr="003E1A13" w:rsidRDefault="00FB5DF5" w:rsidP="00FB5DF5">
      <w:pPr>
        <w:ind w:firstLine="720"/>
        <w:jc w:val="both"/>
        <w:rPr>
          <w:rFonts w:ascii="Book Antiqua" w:hAnsi="Book Antiqua"/>
          <w:lang w:val="es-PR"/>
        </w:rPr>
      </w:pPr>
    </w:p>
    <w:p w14:paraId="007FFEA3" w14:textId="5D618B89" w:rsidR="007B7CC0" w:rsidRDefault="007B7CC0" w:rsidP="00FB5DF5">
      <w:pPr>
        <w:ind w:firstLine="720"/>
        <w:jc w:val="both"/>
        <w:rPr>
          <w:rFonts w:ascii="Book Antiqua" w:hAnsi="Book Antiqua"/>
          <w:lang w:val="es-PR"/>
        </w:rPr>
      </w:pPr>
      <w:r w:rsidRPr="003E1A13">
        <w:rPr>
          <w:rFonts w:ascii="Book Antiqua" w:hAnsi="Book Antiqua"/>
          <w:lang w:val="es-PR"/>
        </w:rPr>
        <w:t xml:space="preserve">La correcta aplicación de las exoneraciones y la integridad del proceso de tasación son pilares fundamentales para garantizar la justicia contributiva y la transparencia gubernamental. Las alegaciones de irregularidades descritas por la Oficina del Contralor ameritan un examen minucioso por parte de esta </w:t>
      </w:r>
      <w:r w:rsidR="007A5829">
        <w:rPr>
          <w:rFonts w:ascii="Book Antiqua" w:hAnsi="Book Antiqua"/>
          <w:lang w:val="es-PR"/>
        </w:rPr>
        <w:t>Cámara de Representantes</w:t>
      </w:r>
      <w:r w:rsidRPr="003E1A13">
        <w:rPr>
          <w:rFonts w:ascii="Book Antiqua" w:hAnsi="Book Antiqua"/>
          <w:lang w:val="es-PR"/>
        </w:rPr>
        <w:t xml:space="preserve">, con el fin de determinar las causas, responsabilidades y posibles acciones correctivas que aseguren el buen funcionamiento de dicha entidad y la protección del </w:t>
      </w:r>
      <w:proofErr w:type="gramStart"/>
      <w:r w:rsidRPr="003E1A13">
        <w:rPr>
          <w:rFonts w:ascii="Book Antiqua" w:hAnsi="Book Antiqua"/>
          <w:lang w:val="es-PR"/>
        </w:rPr>
        <w:t>erario público</w:t>
      </w:r>
      <w:proofErr w:type="gramEnd"/>
      <w:r w:rsidRPr="003E1A13">
        <w:rPr>
          <w:rFonts w:ascii="Book Antiqua" w:hAnsi="Book Antiqua"/>
          <w:lang w:val="es-PR"/>
        </w:rPr>
        <w:t>.</w:t>
      </w:r>
    </w:p>
    <w:p w14:paraId="50E2947E" w14:textId="77777777" w:rsidR="00FB5DF5" w:rsidRDefault="00FB5DF5" w:rsidP="00FB5DF5">
      <w:pPr>
        <w:ind w:firstLine="720"/>
        <w:jc w:val="both"/>
        <w:rPr>
          <w:rFonts w:ascii="Book Antiqua" w:hAnsi="Book Antiqua"/>
          <w:lang w:val="es-PR"/>
        </w:rPr>
      </w:pPr>
    </w:p>
    <w:p w14:paraId="1FA75F9A" w14:textId="17C90299" w:rsidR="00175FF6" w:rsidRDefault="00175FF6" w:rsidP="00FB5DF5">
      <w:pPr>
        <w:ind w:firstLine="720"/>
        <w:jc w:val="both"/>
        <w:rPr>
          <w:rFonts w:ascii="Book Antiqua" w:hAnsi="Book Antiqua"/>
          <w:lang w:val="es-PR"/>
        </w:rPr>
      </w:pPr>
      <w:r>
        <w:rPr>
          <w:rFonts w:ascii="Book Antiqua" w:hAnsi="Book Antiqua"/>
          <w:lang w:val="es-PR"/>
        </w:rPr>
        <w:t xml:space="preserve">Por otra parte, nuestra oficina ha recibido </w:t>
      </w:r>
      <w:r w:rsidR="00297294">
        <w:rPr>
          <w:rFonts w:ascii="Book Antiqua" w:hAnsi="Book Antiqua"/>
          <w:lang w:val="es-PR"/>
        </w:rPr>
        <w:t>numerosos</w:t>
      </w:r>
      <w:r>
        <w:rPr>
          <w:rFonts w:ascii="Book Antiqua" w:hAnsi="Book Antiqua"/>
          <w:lang w:val="es-PR"/>
        </w:rPr>
        <w:t xml:space="preserve"> reclamos de ciudadanos que han recibido</w:t>
      </w:r>
      <w:r w:rsidR="00034C67">
        <w:rPr>
          <w:rFonts w:ascii="Book Antiqua" w:hAnsi="Book Antiqua"/>
          <w:lang w:val="es-PR"/>
        </w:rPr>
        <w:t xml:space="preserve"> múltiples cartas de cobro por cantidades inexactas entre sí, lo que también arroja dudas sobre la exactitud de los registros y la forma en que se realizan</w:t>
      </w:r>
      <w:r w:rsidR="00802653">
        <w:rPr>
          <w:rFonts w:ascii="Book Antiqua" w:hAnsi="Book Antiqua"/>
          <w:lang w:val="es-PR"/>
        </w:rPr>
        <w:t xml:space="preserve"> las tasaciones</w:t>
      </w:r>
      <w:r w:rsidR="00440A06">
        <w:rPr>
          <w:rFonts w:ascii="Book Antiqua" w:hAnsi="Book Antiqua"/>
          <w:lang w:val="es-PR"/>
        </w:rPr>
        <w:t>.</w:t>
      </w:r>
    </w:p>
    <w:p w14:paraId="622709BB" w14:textId="77777777" w:rsidR="00FB5DF5" w:rsidRPr="003E1A13" w:rsidRDefault="00FB5DF5" w:rsidP="00FB5DF5">
      <w:pPr>
        <w:ind w:firstLine="720"/>
        <w:jc w:val="both"/>
        <w:rPr>
          <w:rFonts w:ascii="Book Antiqua" w:hAnsi="Book Antiqua"/>
          <w:lang w:val="es-PR"/>
        </w:rPr>
      </w:pPr>
    </w:p>
    <w:p w14:paraId="5D6B9CDD" w14:textId="00F25C73" w:rsidR="007B7CC0" w:rsidRDefault="007B7CC0" w:rsidP="00FB5DF5">
      <w:pPr>
        <w:ind w:firstLine="720"/>
        <w:jc w:val="both"/>
        <w:rPr>
          <w:rFonts w:ascii="Book Antiqua" w:hAnsi="Book Antiqua"/>
          <w:lang w:val="es-PR"/>
        </w:rPr>
      </w:pPr>
      <w:r w:rsidRPr="003E1A13">
        <w:rPr>
          <w:rFonts w:ascii="Book Antiqua" w:hAnsi="Book Antiqua"/>
          <w:lang w:val="es-PR"/>
        </w:rPr>
        <w:t xml:space="preserve">Por tanto, es deber de la Cámara de Representantes ejercer su función de fiscalización mediante una investigación abarcadora sobre el asunto, a través de la Comisión de </w:t>
      </w:r>
      <w:r w:rsidR="001D3B0B">
        <w:rPr>
          <w:rFonts w:ascii="Book Antiqua" w:hAnsi="Book Antiqua"/>
          <w:lang w:val="es-PR"/>
        </w:rPr>
        <w:t>Asuntos Municipales</w:t>
      </w:r>
      <w:r w:rsidRPr="003E1A13">
        <w:rPr>
          <w:rFonts w:ascii="Book Antiqua" w:hAnsi="Book Antiqua"/>
          <w:lang w:val="es-PR"/>
        </w:rPr>
        <w:t>, en aras de garantizar la eficiencia, transparencia y legalidad en las operaciones del CRIM.</w:t>
      </w:r>
    </w:p>
    <w:p w14:paraId="22D13F8F" w14:textId="77777777" w:rsidR="00FB5DF5" w:rsidRPr="003E1A13" w:rsidRDefault="00FB5DF5" w:rsidP="00FB5DF5">
      <w:pPr>
        <w:ind w:firstLine="720"/>
        <w:jc w:val="both"/>
        <w:rPr>
          <w:rFonts w:ascii="Book Antiqua" w:hAnsi="Book Antiqua"/>
          <w:lang w:val="es-PR"/>
        </w:rPr>
      </w:pPr>
    </w:p>
    <w:p w14:paraId="5E94057E" w14:textId="3B0E174B" w:rsidR="00212D00" w:rsidRDefault="004F7573" w:rsidP="00FB5DF5">
      <w:pPr>
        <w:autoSpaceDE w:val="0"/>
        <w:autoSpaceDN w:val="0"/>
        <w:adjustRightInd w:val="0"/>
        <w:ind w:firstLine="720"/>
        <w:jc w:val="both"/>
        <w:rPr>
          <w:rFonts w:ascii="Book Antiqua" w:hAnsi="Book Antiqua"/>
          <w:bCs/>
          <w:lang w:val="es-PR"/>
        </w:rPr>
      </w:pPr>
      <w:r>
        <w:rPr>
          <w:rFonts w:ascii="Book Antiqua" w:hAnsi="Book Antiqua"/>
          <w:lang w:val="es-PR"/>
        </w:rPr>
        <w:t>En consideración de lo anterior</w:t>
      </w:r>
      <w:r w:rsidR="003203CE" w:rsidRPr="003203CE">
        <w:rPr>
          <w:rFonts w:ascii="Book Antiqua" w:hAnsi="Book Antiqua"/>
          <w:lang w:val="es-PR"/>
        </w:rPr>
        <w:t xml:space="preserve">, </w:t>
      </w:r>
      <w:r w:rsidR="005F6989" w:rsidRPr="00AA7948">
        <w:rPr>
          <w:rFonts w:ascii="Book Antiqua" w:hAnsi="Book Antiqua"/>
          <w:lang w:val="es-PR"/>
        </w:rPr>
        <w:t>la Cámara de Representantes</w:t>
      </w:r>
      <w:r w:rsidR="005F6989">
        <w:rPr>
          <w:rFonts w:ascii="Book Antiqua" w:hAnsi="Book Antiqua"/>
          <w:lang w:val="es-PR"/>
        </w:rPr>
        <w:t xml:space="preserve"> </w:t>
      </w:r>
      <w:r w:rsidR="003203CE" w:rsidRPr="003203CE">
        <w:rPr>
          <w:rFonts w:ascii="Book Antiqua" w:hAnsi="Book Antiqua"/>
          <w:lang w:val="es-PR"/>
        </w:rPr>
        <w:t xml:space="preserve">entiende esencial y urgente realizar una </w:t>
      </w:r>
      <w:r w:rsidR="00AA7948">
        <w:rPr>
          <w:rFonts w:ascii="Book Antiqua" w:hAnsi="Book Antiqua"/>
          <w:lang w:val="es-ES_tradnl"/>
        </w:rPr>
        <w:t xml:space="preserve">investigación abarcadora sobre las prácticas de comerciantes y vendedores de bienes muebles e inmuebles de no anunciar el precio de </w:t>
      </w:r>
      <w:proofErr w:type="gramStart"/>
      <w:r w:rsidR="00AA7948">
        <w:rPr>
          <w:rFonts w:ascii="Book Antiqua" w:hAnsi="Book Antiqua"/>
          <w:lang w:val="es-ES_tradnl"/>
        </w:rPr>
        <w:t>los mismos</w:t>
      </w:r>
      <w:proofErr w:type="gramEnd"/>
      <w:r>
        <w:rPr>
          <w:rFonts w:ascii="Book Antiqua" w:hAnsi="Book Antiqua"/>
          <w:bCs/>
          <w:lang w:val="es-PR"/>
        </w:rPr>
        <w:t xml:space="preserve">.   </w:t>
      </w:r>
    </w:p>
    <w:p w14:paraId="06319C95" w14:textId="77777777" w:rsidR="004F7573" w:rsidRPr="00903E28" w:rsidRDefault="004F7573" w:rsidP="00FB5DF5">
      <w:pPr>
        <w:autoSpaceDE w:val="0"/>
        <w:autoSpaceDN w:val="0"/>
        <w:adjustRightInd w:val="0"/>
        <w:ind w:firstLine="720"/>
        <w:jc w:val="both"/>
        <w:rPr>
          <w:rFonts w:ascii="Book Antiqua" w:hAnsi="Book Antiqua"/>
          <w:lang w:val="es-PR"/>
        </w:rPr>
      </w:pPr>
    </w:p>
    <w:bookmarkEnd w:id="1"/>
    <w:p w14:paraId="6C6089F5" w14:textId="03E138CA" w:rsidR="00212D00" w:rsidRDefault="00A22A39" w:rsidP="00FB5DF5">
      <w:pPr>
        <w:spacing w:line="480" w:lineRule="auto"/>
        <w:rPr>
          <w:rFonts w:ascii="Book Antiqua" w:hAnsi="Book Antiqua"/>
          <w:lang w:val="es-ES_tradnl"/>
        </w:rPr>
      </w:pPr>
      <w:r w:rsidRPr="003302CE">
        <w:rPr>
          <w:rFonts w:ascii="Book Antiqua" w:hAnsi="Book Antiqua"/>
          <w:i/>
          <w:lang w:val="es-ES_tradnl"/>
        </w:rPr>
        <w:t>RESUÉLV</w:t>
      </w:r>
      <w:r w:rsidR="00B40FC0">
        <w:rPr>
          <w:rFonts w:ascii="Book Antiqua" w:hAnsi="Book Antiqua"/>
          <w:i/>
          <w:lang w:val="es-ES_tradnl"/>
        </w:rPr>
        <w:t>E</w:t>
      </w:r>
      <w:r w:rsidRPr="003302CE">
        <w:rPr>
          <w:rFonts w:ascii="Book Antiqua" w:hAnsi="Book Antiqua"/>
          <w:i/>
          <w:lang w:val="es-ES_tradnl"/>
        </w:rPr>
        <w:t>SE POR LA CÁMARA DE REPRESENTANTES DE PUERTO RICO:</w:t>
      </w:r>
    </w:p>
    <w:p w14:paraId="458A578E" w14:textId="77777777" w:rsidR="00212D00" w:rsidRPr="003302CE" w:rsidRDefault="00212D00" w:rsidP="00FB5DF5">
      <w:pPr>
        <w:spacing w:line="480" w:lineRule="auto"/>
        <w:jc w:val="both"/>
        <w:rPr>
          <w:rFonts w:ascii="Book Antiqua" w:hAnsi="Book Antiqua"/>
          <w:lang w:val="es-ES_tradnl"/>
        </w:rPr>
        <w:sectPr w:rsidR="00212D00" w:rsidRPr="003302CE">
          <w:headerReference w:type="default" r:id="rId9"/>
          <w:type w:val="continuous"/>
          <w:pgSz w:w="12240" w:h="15840" w:code="1"/>
          <w:pgMar w:top="1440" w:right="1440" w:bottom="1440" w:left="1440" w:header="720" w:footer="720" w:gutter="0"/>
          <w:cols w:space="720"/>
          <w:titlePg/>
        </w:sectPr>
      </w:pPr>
    </w:p>
    <w:p w14:paraId="5294BF17" w14:textId="2F062FDB" w:rsidR="009E3C98" w:rsidRPr="008248B8" w:rsidRDefault="00A22A39" w:rsidP="00FB5DF5">
      <w:pPr>
        <w:spacing w:line="480" w:lineRule="auto"/>
        <w:ind w:firstLine="567"/>
        <w:jc w:val="both"/>
        <w:rPr>
          <w:rFonts w:ascii="Book Antiqua" w:hAnsi="Book Antiqua"/>
          <w:bCs/>
          <w:szCs w:val="24"/>
          <w:lang w:val="es-PR"/>
        </w:rPr>
      </w:pPr>
      <w:r w:rsidRPr="003302CE">
        <w:rPr>
          <w:rFonts w:ascii="Book Antiqua" w:hAnsi="Book Antiqua"/>
          <w:lang w:val="es-ES_tradnl"/>
        </w:rPr>
        <w:t>Sección 1.-</w:t>
      </w:r>
      <w:r w:rsidR="00026D4B">
        <w:rPr>
          <w:rFonts w:ascii="Book Antiqua" w:hAnsi="Book Antiqua"/>
          <w:lang w:val="es-ES_tradnl"/>
        </w:rPr>
        <w:t xml:space="preserve">Se ordena </w:t>
      </w:r>
      <w:r w:rsidR="00D36D14" w:rsidRPr="003E1A13">
        <w:rPr>
          <w:rFonts w:ascii="Book Antiqua" w:hAnsi="Book Antiqua"/>
          <w:lang w:val="es-PR"/>
        </w:rPr>
        <w:t xml:space="preserve">a la Comisión de </w:t>
      </w:r>
      <w:r w:rsidR="007C4449">
        <w:rPr>
          <w:rFonts w:ascii="Book Antiqua" w:hAnsi="Book Antiqua"/>
          <w:lang w:val="es-PR"/>
        </w:rPr>
        <w:t>asuntos Municipales</w:t>
      </w:r>
      <w:r w:rsidR="00D36D14" w:rsidRPr="003E1A13">
        <w:rPr>
          <w:rFonts w:ascii="Book Antiqua" w:hAnsi="Book Antiqua"/>
          <w:lang w:val="es-PR"/>
        </w:rPr>
        <w:t xml:space="preserve"> de la Cámara de Representantes de Puerto Rico realizar una investigación exhaustiva sobre las alegadas irregularidades en los procesos de exoneraciones contributivas y tasación virtual del Centro de Recaudación de Ingresos Municipales (CRIM), según identificadas por la Oficina del Contralor de Puerto Rico</w:t>
      </w:r>
      <w:r w:rsidR="00AC5DD6">
        <w:rPr>
          <w:rFonts w:ascii="Book Antiqua" w:hAnsi="Book Antiqua"/>
          <w:lang w:val="es-PR"/>
        </w:rPr>
        <w:t>; y</w:t>
      </w:r>
      <w:r w:rsidR="00574252" w:rsidRPr="00574252">
        <w:rPr>
          <w:rFonts w:ascii="Book Antiqua" w:hAnsi="Book Antiqua"/>
          <w:lang w:val="es-PR"/>
        </w:rPr>
        <w:t xml:space="preserve"> </w:t>
      </w:r>
      <w:r w:rsidR="00574252">
        <w:rPr>
          <w:rFonts w:ascii="Book Antiqua" w:hAnsi="Book Antiqua"/>
          <w:lang w:val="es-PR"/>
        </w:rPr>
        <w:t>revisar la confiabilidad de los procesos de tasación y cobros</w:t>
      </w:r>
      <w:r w:rsidR="004F7573">
        <w:rPr>
          <w:rFonts w:ascii="Book Antiqua" w:hAnsi="Book Antiqua"/>
          <w:bCs/>
          <w:szCs w:val="24"/>
          <w:lang w:val="es-PR"/>
        </w:rPr>
        <w:t>.</w:t>
      </w:r>
    </w:p>
    <w:p w14:paraId="4E1BBD71" w14:textId="77777777" w:rsidR="00B205FE" w:rsidRDefault="7E79DF77" w:rsidP="00FB5DF5">
      <w:pPr>
        <w:spacing w:line="480" w:lineRule="auto"/>
        <w:ind w:firstLine="567"/>
        <w:jc w:val="both"/>
        <w:rPr>
          <w:rFonts w:ascii="Book Antiqua" w:hAnsi="Book Antiqua"/>
          <w:lang w:val="es-PR"/>
        </w:rPr>
      </w:pPr>
      <w:r w:rsidRPr="7E79DF77">
        <w:rPr>
          <w:rFonts w:ascii="Book Antiqua" w:hAnsi="Book Antiqua"/>
          <w:lang w:val="es-ES"/>
        </w:rPr>
        <w:t>Sección 2.-</w:t>
      </w:r>
      <w:r w:rsidR="00B205FE" w:rsidRPr="00B205FE">
        <w:rPr>
          <w:rFonts w:ascii="Book Antiqua" w:hAnsi="Book Antiqua"/>
          <w:lang w:val="es-PR"/>
        </w:rPr>
        <w:t xml:space="preserve"> </w:t>
      </w:r>
      <w:r w:rsidR="00B205FE" w:rsidRPr="003E1A13">
        <w:rPr>
          <w:rFonts w:ascii="Book Antiqua" w:hAnsi="Book Antiqua"/>
          <w:lang w:val="es-PR"/>
        </w:rPr>
        <w:t>La investigación incluirá, pero no se limitará, a examinar:</w:t>
      </w:r>
    </w:p>
    <w:p w14:paraId="2273E9B1" w14:textId="77777777" w:rsidR="00F5516E" w:rsidRPr="003E1A13" w:rsidRDefault="00F5516E" w:rsidP="00FB5DF5">
      <w:pPr>
        <w:numPr>
          <w:ilvl w:val="0"/>
          <w:numId w:val="5"/>
        </w:numPr>
        <w:tabs>
          <w:tab w:val="num" w:pos="720"/>
        </w:tabs>
        <w:spacing w:line="480" w:lineRule="auto"/>
        <w:rPr>
          <w:rFonts w:ascii="Book Antiqua" w:hAnsi="Book Antiqua"/>
          <w:lang w:val="es-PR"/>
        </w:rPr>
      </w:pPr>
      <w:r w:rsidRPr="003E1A13">
        <w:rPr>
          <w:rFonts w:ascii="Book Antiqua" w:hAnsi="Book Antiqua"/>
          <w:lang w:val="es-PR"/>
        </w:rPr>
        <w:lastRenderedPageBreak/>
        <w:t>Los procedimientos actuales utilizados por el CRIM para conceder exoneraciones contributivas.</w:t>
      </w:r>
    </w:p>
    <w:p w14:paraId="071D0E5B" w14:textId="77777777" w:rsidR="003E621E" w:rsidRPr="003E1A13" w:rsidRDefault="003E621E" w:rsidP="00FB5DF5">
      <w:pPr>
        <w:numPr>
          <w:ilvl w:val="0"/>
          <w:numId w:val="5"/>
        </w:numPr>
        <w:tabs>
          <w:tab w:val="num" w:pos="720"/>
        </w:tabs>
        <w:spacing w:line="480" w:lineRule="auto"/>
        <w:rPr>
          <w:rFonts w:ascii="Book Antiqua" w:hAnsi="Book Antiqua"/>
          <w:lang w:val="es-PR"/>
        </w:rPr>
      </w:pPr>
      <w:r w:rsidRPr="003E1A13">
        <w:rPr>
          <w:rFonts w:ascii="Book Antiqua" w:hAnsi="Book Antiqua"/>
          <w:lang w:val="es-PR"/>
        </w:rPr>
        <w:t>Los mecanismos de validación y verificación de elegibilidad de los beneficiarios.</w:t>
      </w:r>
    </w:p>
    <w:p w14:paraId="273941A1" w14:textId="77777777" w:rsidR="00C15B01" w:rsidRDefault="00C15B01" w:rsidP="00FB5DF5">
      <w:pPr>
        <w:numPr>
          <w:ilvl w:val="0"/>
          <w:numId w:val="5"/>
        </w:numPr>
        <w:spacing w:line="480" w:lineRule="auto"/>
        <w:rPr>
          <w:rFonts w:ascii="Book Antiqua" w:hAnsi="Book Antiqua"/>
          <w:lang w:val="es-PR"/>
        </w:rPr>
      </w:pPr>
      <w:r w:rsidRPr="003E1A13">
        <w:rPr>
          <w:rFonts w:ascii="Book Antiqua" w:hAnsi="Book Antiqua"/>
          <w:lang w:val="es-PR"/>
        </w:rPr>
        <w:t>La implementación, mantenimiento y supervisión del sistema de tasación virtual.</w:t>
      </w:r>
    </w:p>
    <w:p w14:paraId="19DA8AA3" w14:textId="77777777" w:rsidR="00CC68ED" w:rsidRPr="003E1A13" w:rsidRDefault="00CC68ED" w:rsidP="00FB5DF5">
      <w:pPr>
        <w:numPr>
          <w:ilvl w:val="0"/>
          <w:numId w:val="5"/>
        </w:numPr>
        <w:tabs>
          <w:tab w:val="num" w:pos="720"/>
        </w:tabs>
        <w:spacing w:line="480" w:lineRule="auto"/>
        <w:rPr>
          <w:rFonts w:ascii="Book Antiqua" w:hAnsi="Book Antiqua"/>
          <w:lang w:val="es-PR"/>
        </w:rPr>
      </w:pPr>
      <w:r w:rsidRPr="003E1A13">
        <w:rPr>
          <w:rFonts w:ascii="Book Antiqua" w:hAnsi="Book Antiqua"/>
          <w:lang w:val="es-PR"/>
        </w:rPr>
        <w:t xml:space="preserve">La efectividad de los </w:t>
      </w:r>
      <w:proofErr w:type="gramStart"/>
      <w:r w:rsidRPr="003E1A13">
        <w:rPr>
          <w:rFonts w:ascii="Book Antiqua" w:hAnsi="Book Antiqua"/>
          <w:lang w:val="es-PR"/>
        </w:rPr>
        <w:t>controles internos y las auditorías internas</w:t>
      </w:r>
      <w:proofErr w:type="gramEnd"/>
      <w:r w:rsidRPr="003E1A13">
        <w:rPr>
          <w:rFonts w:ascii="Book Antiqua" w:hAnsi="Book Antiqua"/>
          <w:lang w:val="es-PR"/>
        </w:rPr>
        <w:t xml:space="preserve"> del CRIM.</w:t>
      </w:r>
    </w:p>
    <w:p w14:paraId="3D386366" w14:textId="77777777" w:rsidR="00545602" w:rsidRPr="003E1A13" w:rsidRDefault="00545602" w:rsidP="00FB5DF5">
      <w:pPr>
        <w:numPr>
          <w:ilvl w:val="0"/>
          <w:numId w:val="5"/>
        </w:numPr>
        <w:tabs>
          <w:tab w:val="num" w:pos="720"/>
        </w:tabs>
        <w:spacing w:line="480" w:lineRule="auto"/>
        <w:rPr>
          <w:rFonts w:ascii="Book Antiqua" w:hAnsi="Book Antiqua"/>
          <w:lang w:val="es-PR"/>
        </w:rPr>
      </w:pPr>
      <w:r w:rsidRPr="003E1A13">
        <w:rPr>
          <w:rFonts w:ascii="Book Antiqua" w:hAnsi="Book Antiqua"/>
          <w:lang w:val="es-PR"/>
        </w:rPr>
        <w:t>Las recomendaciones emitidas por la Oficina del Contralor y las acciones tomadas por el CRIM en respuesta a las mismas.</w:t>
      </w:r>
    </w:p>
    <w:p w14:paraId="5B019C75" w14:textId="77777777" w:rsidR="00CC329C" w:rsidRDefault="00CC329C" w:rsidP="00FB5DF5">
      <w:pPr>
        <w:numPr>
          <w:ilvl w:val="0"/>
          <w:numId w:val="5"/>
        </w:numPr>
        <w:tabs>
          <w:tab w:val="num" w:pos="720"/>
        </w:tabs>
        <w:spacing w:line="480" w:lineRule="auto"/>
        <w:rPr>
          <w:rFonts w:ascii="Book Antiqua" w:hAnsi="Book Antiqua"/>
          <w:lang w:val="es-PR"/>
        </w:rPr>
      </w:pPr>
      <w:r w:rsidRPr="003E1A13">
        <w:rPr>
          <w:rFonts w:ascii="Book Antiqua" w:hAnsi="Book Antiqua"/>
          <w:lang w:val="es-PR"/>
        </w:rPr>
        <w:t xml:space="preserve">Cualquier posible impacto económico o fiscal resultante de dichas irregularidades sobre los municipios y el </w:t>
      </w:r>
      <w:proofErr w:type="gramStart"/>
      <w:r w:rsidRPr="003E1A13">
        <w:rPr>
          <w:rFonts w:ascii="Book Antiqua" w:hAnsi="Book Antiqua"/>
          <w:lang w:val="es-PR"/>
        </w:rPr>
        <w:t>erario público</w:t>
      </w:r>
      <w:proofErr w:type="gramEnd"/>
      <w:r w:rsidRPr="003E1A13">
        <w:rPr>
          <w:rFonts w:ascii="Book Antiqua" w:hAnsi="Book Antiqua"/>
          <w:lang w:val="es-PR"/>
        </w:rPr>
        <w:t>.</w:t>
      </w:r>
    </w:p>
    <w:p w14:paraId="7B10F0F7" w14:textId="76413908" w:rsidR="00A20194" w:rsidRPr="00965970" w:rsidRDefault="00FA4B8B" w:rsidP="00FB5DF5">
      <w:pPr>
        <w:numPr>
          <w:ilvl w:val="0"/>
          <w:numId w:val="5"/>
        </w:numPr>
        <w:tabs>
          <w:tab w:val="num" w:pos="720"/>
        </w:tabs>
        <w:spacing w:line="480" w:lineRule="auto"/>
        <w:rPr>
          <w:rFonts w:ascii="Book Antiqua" w:hAnsi="Book Antiqua"/>
          <w:lang w:val="es-PR"/>
        </w:rPr>
      </w:pPr>
      <w:r>
        <w:rPr>
          <w:rFonts w:ascii="Book Antiqua" w:hAnsi="Book Antiqua"/>
          <w:lang w:val="es-PR"/>
        </w:rPr>
        <w:t>La confiabilidad</w:t>
      </w:r>
      <w:r w:rsidR="00AC5DD6" w:rsidRPr="00AC5DD6">
        <w:rPr>
          <w:rFonts w:ascii="Book Antiqua" w:hAnsi="Book Antiqua"/>
          <w:lang w:val="es-PR"/>
        </w:rPr>
        <w:t xml:space="preserve"> </w:t>
      </w:r>
      <w:r w:rsidR="00AC5DD6">
        <w:rPr>
          <w:rFonts w:ascii="Book Antiqua" w:hAnsi="Book Antiqua"/>
          <w:lang w:val="es-PR"/>
        </w:rPr>
        <w:t>de los procesos de tasación y cobros</w:t>
      </w:r>
      <w:r w:rsidR="00965970">
        <w:rPr>
          <w:rFonts w:ascii="Book Antiqua" w:hAnsi="Book Antiqua"/>
          <w:lang w:val="es-PR"/>
        </w:rPr>
        <w:t>.</w:t>
      </w:r>
    </w:p>
    <w:p w14:paraId="53F92938" w14:textId="5BCF3F6A" w:rsidR="00A20194" w:rsidRPr="003302CE" w:rsidRDefault="00A20194" w:rsidP="00FB5DF5">
      <w:pPr>
        <w:spacing w:line="480" w:lineRule="auto"/>
        <w:ind w:firstLine="567"/>
        <w:jc w:val="both"/>
        <w:rPr>
          <w:rFonts w:ascii="Book Antiqua" w:hAnsi="Book Antiqua"/>
          <w:lang w:val="es-ES_tradnl"/>
        </w:rPr>
      </w:pPr>
      <w:r w:rsidRPr="003302CE">
        <w:rPr>
          <w:rFonts w:ascii="Book Antiqua" w:hAnsi="Book Antiqua"/>
          <w:lang w:val="es-ES_tradnl"/>
        </w:rPr>
        <w:t xml:space="preserve">Sección 3.-La Comisión, además, podrá realizar todos los estudios, investigaciones, reuniones, citaciones, </w:t>
      </w:r>
      <w:r w:rsidR="009D4E14">
        <w:rPr>
          <w:rFonts w:ascii="Book Antiqua" w:hAnsi="Book Antiqua"/>
          <w:lang w:val="es-ES_tradnl"/>
        </w:rPr>
        <w:t xml:space="preserve">vistas oculares, </w:t>
      </w:r>
      <w:r w:rsidRPr="003302CE">
        <w:rPr>
          <w:rFonts w:ascii="Book Antiqua" w:hAnsi="Book Antiqua"/>
          <w:lang w:val="es-ES_tradnl"/>
        </w:rPr>
        <w:t xml:space="preserve">solicitudes de producción de documentos, solicitudes de información, requerimientos, e informes que entienda necesarios y podrá investigar cualquier asunto que entienda pertinente para cumplir con lo dispuesto en esta Resolución. </w:t>
      </w:r>
    </w:p>
    <w:p w14:paraId="18AF1BFE" w14:textId="4ECC1E0E" w:rsidR="00A20194" w:rsidRPr="003302CE" w:rsidRDefault="00A20194" w:rsidP="00FB5DF5">
      <w:pPr>
        <w:spacing w:line="480" w:lineRule="auto"/>
        <w:ind w:firstLine="567"/>
        <w:jc w:val="both"/>
        <w:rPr>
          <w:rFonts w:ascii="Book Antiqua" w:hAnsi="Book Antiqua"/>
          <w:lang w:val="es-ES_tradnl"/>
        </w:rPr>
      </w:pPr>
      <w:r w:rsidRPr="003302CE">
        <w:rPr>
          <w:rFonts w:ascii="Book Antiqua" w:hAnsi="Book Antiqua"/>
          <w:lang w:val="es-ES_tradnl"/>
        </w:rPr>
        <w:t>Sección 4.-</w:t>
      </w:r>
      <w:r w:rsidR="001A37A5" w:rsidRPr="003302CE">
        <w:rPr>
          <w:rFonts w:ascii="Book Antiqua" w:hAnsi="Book Antiqua"/>
          <w:lang w:val="es-ES_tradnl"/>
        </w:rPr>
        <w:t xml:space="preserve">La Comisión rendirá </w:t>
      </w:r>
      <w:r w:rsidR="009D4E14">
        <w:rPr>
          <w:rFonts w:ascii="Book Antiqua" w:hAnsi="Book Antiqua"/>
          <w:lang w:val="es-ES_tradnl"/>
        </w:rPr>
        <w:t>un informe con sus hallazgos, conclusiones y recomendaciones, dentro del término de ciento ochenta (180) días, contados a partir de la aprobación de esta Resolución</w:t>
      </w:r>
      <w:r w:rsidRPr="003302CE">
        <w:rPr>
          <w:rFonts w:ascii="Book Antiqua" w:hAnsi="Book Antiqua"/>
          <w:lang w:val="es-ES_tradnl"/>
        </w:rPr>
        <w:t xml:space="preserve">.   </w:t>
      </w:r>
    </w:p>
    <w:p w14:paraId="31EBBA22" w14:textId="005DFE1C" w:rsidR="00A22A39" w:rsidRPr="009C2609" w:rsidRDefault="00A20194" w:rsidP="00FB5DF5">
      <w:pPr>
        <w:spacing w:line="480" w:lineRule="auto"/>
        <w:ind w:firstLine="360"/>
        <w:jc w:val="both"/>
        <w:rPr>
          <w:rFonts w:ascii="Book Antiqua" w:hAnsi="Book Antiqua"/>
          <w:lang w:val="es-PR"/>
        </w:rPr>
      </w:pPr>
      <w:r w:rsidRPr="00A20194">
        <w:rPr>
          <w:rFonts w:ascii="Book Antiqua" w:hAnsi="Book Antiqua"/>
          <w:lang w:val="es-ES_tradnl"/>
        </w:rPr>
        <w:t xml:space="preserve">Sección 5.-Esta Resolución </w:t>
      </w:r>
      <w:r w:rsidR="00855075" w:rsidRPr="009D4E14">
        <w:rPr>
          <w:rFonts w:ascii="Book Antiqua" w:hAnsi="Book Antiqua"/>
          <w:lang w:val="es-ES_tradnl"/>
        </w:rPr>
        <w:t>comenzará a regir inmediatamente</w:t>
      </w:r>
      <w:r w:rsidR="007A69EB" w:rsidRPr="009D4E14">
        <w:rPr>
          <w:rFonts w:ascii="Book Antiqua" w:hAnsi="Book Antiqua"/>
          <w:lang w:val="es-ES_tradnl"/>
        </w:rPr>
        <w:t xml:space="preserve"> después</w:t>
      </w:r>
      <w:r w:rsidR="00855075">
        <w:rPr>
          <w:rFonts w:ascii="Book Antiqua" w:hAnsi="Book Antiqua"/>
          <w:lang w:val="es-ES_tradnl"/>
        </w:rPr>
        <w:t xml:space="preserve"> </w:t>
      </w:r>
      <w:r w:rsidRPr="00A20194">
        <w:rPr>
          <w:rFonts w:ascii="Book Antiqua" w:hAnsi="Book Antiqua"/>
          <w:lang w:val="es-ES_tradnl"/>
        </w:rPr>
        <w:t>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1EF90" w14:textId="77777777" w:rsidR="008535E4" w:rsidRDefault="008535E4">
      <w:r>
        <w:separator/>
      </w:r>
    </w:p>
  </w:endnote>
  <w:endnote w:type="continuationSeparator" w:id="0">
    <w:p w14:paraId="2F43C433" w14:textId="77777777" w:rsidR="008535E4" w:rsidRDefault="00853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371A4" w14:textId="77777777" w:rsidR="008535E4" w:rsidRDefault="008535E4">
      <w:r>
        <w:separator/>
      </w:r>
    </w:p>
  </w:footnote>
  <w:footnote w:type="continuationSeparator" w:id="0">
    <w:p w14:paraId="5C3E1BEE" w14:textId="77777777" w:rsidR="008535E4" w:rsidRDefault="00853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9A370CC"/>
    <w:multiLevelType w:val="multilevel"/>
    <w:tmpl w:val="BF222E04"/>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4"/>
  </w:num>
  <w:num w:numId="4" w16cid:durableId="1466311548">
    <w:abstractNumId w:val="3"/>
  </w:num>
  <w:num w:numId="5" w16cid:durableId="1362245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101C3"/>
    <w:rsid w:val="00013E90"/>
    <w:rsid w:val="00014836"/>
    <w:rsid w:val="00020BBB"/>
    <w:rsid w:val="0002182C"/>
    <w:rsid w:val="0002237C"/>
    <w:rsid w:val="00026D4B"/>
    <w:rsid w:val="00034BAC"/>
    <w:rsid w:val="00034C67"/>
    <w:rsid w:val="00056024"/>
    <w:rsid w:val="00061613"/>
    <w:rsid w:val="00074FC6"/>
    <w:rsid w:val="000847AA"/>
    <w:rsid w:val="00085F63"/>
    <w:rsid w:val="00090DF5"/>
    <w:rsid w:val="00095AE1"/>
    <w:rsid w:val="000A18FB"/>
    <w:rsid w:val="000A6B6C"/>
    <w:rsid w:val="000B0DBB"/>
    <w:rsid w:val="000C43FA"/>
    <w:rsid w:val="000D2889"/>
    <w:rsid w:val="000D2B7B"/>
    <w:rsid w:val="00111E71"/>
    <w:rsid w:val="00112F86"/>
    <w:rsid w:val="00127C6A"/>
    <w:rsid w:val="0013175C"/>
    <w:rsid w:val="001363FE"/>
    <w:rsid w:val="00136CE1"/>
    <w:rsid w:val="00143052"/>
    <w:rsid w:val="00162962"/>
    <w:rsid w:val="0017132B"/>
    <w:rsid w:val="00175FF6"/>
    <w:rsid w:val="00177C52"/>
    <w:rsid w:val="00187B98"/>
    <w:rsid w:val="001A2E52"/>
    <w:rsid w:val="001A37A5"/>
    <w:rsid w:val="001A76AD"/>
    <w:rsid w:val="001D0B89"/>
    <w:rsid w:val="001D3B0B"/>
    <w:rsid w:val="001E47F3"/>
    <w:rsid w:val="001F4CA3"/>
    <w:rsid w:val="001F612A"/>
    <w:rsid w:val="002030D3"/>
    <w:rsid w:val="00211396"/>
    <w:rsid w:val="00212D00"/>
    <w:rsid w:val="002135A4"/>
    <w:rsid w:val="00226AE6"/>
    <w:rsid w:val="00245B34"/>
    <w:rsid w:val="00263355"/>
    <w:rsid w:val="00273351"/>
    <w:rsid w:val="00273792"/>
    <w:rsid w:val="0027401A"/>
    <w:rsid w:val="00274FC6"/>
    <w:rsid w:val="00285D6B"/>
    <w:rsid w:val="00286CF5"/>
    <w:rsid w:val="00293183"/>
    <w:rsid w:val="002946B7"/>
    <w:rsid w:val="00297294"/>
    <w:rsid w:val="002B6A94"/>
    <w:rsid w:val="002C7BC6"/>
    <w:rsid w:val="002D1B81"/>
    <w:rsid w:val="002D4AC8"/>
    <w:rsid w:val="002E385F"/>
    <w:rsid w:val="00304075"/>
    <w:rsid w:val="003203CE"/>
    <w:rsid w:val="00320D78"/>
    <w:rsid w:val="003302CE"/>
    <w:rsid w:val="00354230"/>
    <w:rsid w:val="003652AB"/>
    <w:rsid w:val="00380FE5"/>
    <w:rsid w:val="003924DD"/>
    <w:rsid w:val="00394FCB"/>
    <w:rsid w:val="003963F4"/>
    <w:rsid w:val="003A086A"/>
    <w:rsid w:val="003B2DBB"/>
    <w:rsid w:val="003B5254"/>
    <w:rsid w:val="003B75A6"/>
    <w:rsid w:val="003C55C0"/>
    <w:rsid w:val="003D4582"/>
    <w:rsid w:val="003E621E"/>
    <w:rsid w:val="003F1675"/>
    <w:rsid w:val="004061CA"/>
    <w:rsid w:val="0041149B"/>
    <w:rsid w:val="00415689"/>
    <w:rsid w:val="00420921"/>
    <w:rsid w:val="00440A06"/>
    <w:rsid w:val="004423EB"/>
    <w:rsid w:val="004440CB"/>
    <w:rsid w:val="0045678C"/>
    <w:rsid w:val="00463473"/>
    <w:rsid w:val="00467F99"/>
    <w:rsid w:val="004713D2"/>
    <w:rsid w:val="0047183A"/>
    <w:rsid w:val="00476253"/>
    <w:rsid w:val="00477E03"/>
    <w:rsid w:val="004849EA"/>
    <w:rsid w:val="00491817"/>
    <w:rsid w:val="00492F4E"/>
    <w:rsid w:val="00496916"/>
    <w:rsid w:val="004A19EE"/>
    <w:rsid w:val="004A1C16"/>
    <w:rsid w:val="004B31E5"/>
    <w:rsid w:val="004B5D0E"/>
    <w:rsid w:val="004D3C40"/>
    <w:rsid w:val="004D6FFB"/>
    <w:rsid w:val="004E5AEE"/>
    <w:rsid w:val="004E7DC4"/>
    <w:rsid w:val="004F34E6"/>
    <w:rsid w:val="004F7573"/>
    <w:rsid w:val="00521639"/>
    <w:rsid w:val="00531B6C"/>
    <w:rsid w:val="00532BB7"/>
    <w:rsid w:val="005332E4"/>
    <w:rsid w:val="0053550C"/>
    <w:rsid w:val="00545602"/>
    <w:rsid w:val="005526CA"/>
    <w:rsid w:val="005545D9"/>
    <w:rsid w:val="00555018"/>
    <w:rsid w:val="005723DC"/>
    <w:rsid w:val="005727F3"/>
    <w:rsid w:val="00574252"/>
    <w:rsid w:val="00585107"/>
    <w:rsid w:val="00587B9D"/>
    <w:rsid w:val="005A69E2"/>
    <w:rsid w:val="005B24DA"/>
    <w:rsid w:val="005B3263"/>
    <w:rsid w:val="005D1059"/>
    <w:rsid w:val="005F6989"/>
    <w:rsid w:val="006154C7"/>
    <w:rsid w:val="006210DC"/>
    <w:rsid w:val="0064349D"/>
    <w:rsid w:val="00644303"/>
    <w:rsid w:val="006519B9"/>
    <w:rsid w:val="00653EED"/>
    <w:rsid w:val="00655122"/>
    <w:rsid w:val="00660A52"/>
    <w:rsid w:val="00671168"/>
    <w:rsid w:val="00685549"/>
    <w:rsid w:val="00687437"/>
    <w:rsid w:val="006875BA"/>
    <w:rsid w:val="006A14A2"/>
    <w:rsid w:val="006A7788"/>
    <w:rsid w:val="006B7365"/>
    <w:rsid w:val="006C2D81"/>
    <w:rsid w:val="006C7DF8"/>
    <w:rsid w:val="00706A2B"/>
    <w:rsid w:val="00707C7B"/>
    <w:rsid w:val="00710307"/>
    <w:rsid w:val="0072097D"/>
    <w:rsid w:val="00723209"/>
    <w:rsid w:val="00726E8E"/>
    <w:rsid w:val="00750FC8"/>
    <w:rsid w:val="007533D0"/>
    <w:rsid w:val="00755069"/>
    <w:rsid w:val="007664D9"/>
    <w:rsid w:val="007752FB"/>
    <w:rsid w:val="007755B8"/>
    <w:rsid w:val="0077639B"/>
    <w:rsid w:val="0077793A"/>
    <w:rsid w:val="0078014A"/>
    <w:rsid w:val="00793BDF"/>
    <w:rsid w:val="007A5829"/>
    <w:rsid w:val="007A69EB"/>
    <w:rsid w:val="007B0660"/>
    <w:rsid w:val="007B19F1"/>
    <w:rsid w:val="007B7CC0"/>
    <w:rsid w:val="007C4449"/>
    <w:rsid w:val="007D0A0C"/>
    <w:rsid w:val="007D1AA4"/>
    <w:rsid w:val="007E3868"/>
    <w:rsid w:val="007E3F2F"/>
    <w:rsid w:val="007E6791"/>
    <w:rsid w:val="007F1F27"/>
    <w:rsid w:val="007F2EC2"/>
    <w:rsid w:val="00802653"/>
    <w:rsid w:val="00820C41"/>
    <w:rsid w:val="008248B8"/>
    <w:rsid w:val="008277B7"/>
    <w:rsid w:val="00850256"/>
    <w:rsid w:val="00850E65"/>
    <w:rsid w:val="008535E4"/>
    <w:rsid w:val="00855075"/>
    <w:rsid w:val="00866D69"/>
    <w:rsid w:val="00891545"/>
    <w:rsid w:val="008919C3"/>
    <w:rsid w:val="008B13C2"/>
    <w:rsid w:val="00936420"/>
    <w:rsid w:val="0093686F"/>
    <w:rsid w:val="00942FD4"/>
    <w:rsid w:val="00951997"/>
    <w:rsid w:val="009536BD"/>
    <w:rsid w:val="00965970"/>
    <w:rsid w:val="00985F03"/>
    <w:rsid w:val="00990352"/>
    <w:rsid w:val="00990B16"/>
    <w:rsid w:val="009A07AF"/>
    <w:rsid w:val="009A3AFA"/>
    <w:rsid w:val="009A53EF"/>
    <w:rsid w:val="009A78B5"/>
    <w:rsid w:val="009C2609"/>
    <w:rsid w:val="009C4710"/>
    <w:rsid w:val="009D4E14"/>
    <w:rsid w:val="009E3C98"/>
    <w:rsid w:val="009F00F1"/>
    <w:rsid w:val="00A03405"/>
    <w:rsid w:val="00A12984"/>
    <w:rsid w:val="00A1528A"/>
    <w:rsid w:val="00A20194"/>
    <w:rsid w:val="00A22A39"/>
    <w:rsid w:val="00A230B0"/>
    <w:rsid w:val="00A25086"/>
    <w:rsid w:val="00A305BE"/>
    <w:rsid w:val="00A33918"/>
    <w:rsid w:val="00A66042"/>
    <w:rsid w:val="00A7629F"/>
    <w:rsid w:val="00A97479"/>
    <w:rsid w:val="00AA0E19"/>
    <w:rsid w:val="00AA4526"/>
    <w:rsid w:val="00AA56F4"/>
    <w:rsid w:val="00AA7948"/>
    <w:rsid w:val="00AB2A2B"/>
    <w:rsid w:val="00AB7AF6"/>
    <w:rsid w:val="00AC5DD6"/>
    <w:rsid w:val="00AC6FF5"/>
    <w:rsid w:val="00AD0A73"/>
    <w:rsid w:val="00AF0CEE"/>
    <w:rsid w:val="00B205FE"/>
    <w:rsid w:val="00B22857"/>
    <w:rsid w:val="00B34806"/>
    <w:rsid w:val="00B40FC0"/>
    <w:rsid w:val="00B55CC9"/>
    <w:rsid w:val="00B667AD"/>
    <w:rsid w:val="00B84C38"/>
    <w:rsid w:val="00B85B69"/>
    <w:rsid w:val="00B86C00"/>
    <w:rsid w:val="00B947F6"/>
    <w:rsid w:val="00BA02EE"/>
    <w:rsid w:val="00BB41C8"/>
    <w:rsid w:val="00BD5DFB"/>
    <w:rsid w:val="00BF0FFB"/>
    <w:rsid w:val="00BF16AA"/>
    <w:rsid w:val="00C02891"/>
    <w:rsid w:val="00C15B01"/>
    <w:rsid w:val="00C2154E"/>
    <w:rsid w:val="00C25DF1"/>
    <w:rsid w:val="00C354B8"/>
    <w:rsid w:val="00C52517"/>
    <w:rsid w:val="00C60921"/>
    <w:rsid w:val="00C611ED"/>
    <w:rsid w:val="00C62936"/>
    <w:rsid w:val="00C653F2"/>
    <w:rsid w:val="00C679E6"/>
    <w:rsid w:val="00C73121"/>
    <w:rsid w:val="00C74235"/>
    <w:rsid w:val="00C84368"/>
    <w:rsid w:val="00C859FC"/>
    <w:rsid w:val="00C908F9"/>
    <w:rsid w:val="00CA0917"/>
    <w:rsid w:val="00CA1099"/>
    <w:rsid w:val="00CC329C"/>
    <w:rsid w:val="00CC68ED"/>
    <w:rsid w:val="00CE3810"/>
    <w:rsid w:val="00D03EE3"/>
    <w:rsid w:val="00D054F1"/>
    <w:rsid w:val="00D20326"/>
    <w:rsid w:val="00D24180"/>
    <w:rsid w:val="00D36D14"/>
    <w:rsid w:val="00D37152"/>
    <w:rsid w:val="00D417C2"/>
    <w:rsid w:val="00D41F2A"/>
    <w:rsid w:val="00D60936"/>
    <w:rsid w:val="00D709EB"/>
    <w:rsid w:val="00D74462"/>
    <w:rsid w:val="00D745AE"/>
    <w:rsid w:val="00D74714"/>
    <w:rsid w:val="00D76468"/>
    <w:rsid w:val="00D82F3F"/>
    <w:rsid w:val="00D83D7E"/>
    <w:rsid w:val="00D921C6"/>
    <w:rsid w:val="00D958C2"/>
    <w:rsid w:val="00D96541"/>
    <w:rsid w:val="00DA54E2"/>
    <w:rsid w:val="00DD0E9A"/>
    <w:rsid w:val="00E0051D"/>
    <w:rsid w:val="00E04AB5"/>
    <w:rsid w:val="00E21975"/>
    <w:rsid w:val="00E278C0"/>
    <w:rsid w:val="00E36775"/>
    <w:rsid w:val="00E426FC"/>
    <w:rsid w:val="00E50EEA"/>
    <w:rsid w:val="00E52F58"/>
    <w:rsid w:val="00E63EBF"/>
    <w:rsid w:val="00E6681D"/>
    <w:rsid w:val="00E774AF"/>
    <w:rsid w:val="00E97D28"/>
    <w:rsid w:val="00EC26AA"/>
    <w:rsid w:val="00ED7A53"/>
    <w:rsid w:val="00EE22FC"/>
    <w:rsid w:val="00EE3FF4"/>
    <w:rsid w:val="00EE4273"/>
    <w:rsid w:val="00F02004"/>
    <w:rsid w:val="00F042CB"/>
    <w:rsid w:val="00F44DC8"/>
    <w:rsid w:val="00F549F5"/>
    <w:rsid w:val="00F5516E"/>
    <w:rsid w:val="00F55D7D"/>
    <w:rsid w:val="00F60A20"/>
    <w:rsid w:val="00F65BD1"/>
    <w:rsid w:val="00F71906"/>
    <w:rsid w:val="00F823E6"/>
    <w:rsid w:val="00F87D36"/>
    <w:rsid w:val="00F90210"/>
    <w:rsid w:val="00FA4B8B"/>
    <w:rsid w:val="00FB5DF5"/>
    <w:rsid w:val="00FC0A95"/>
    <w:rsid w:val="00FC1E1C"/>
    <w:rsid w:val="00FC3D9C"/>
    <w:rsid w:val="00FC764A"/>
    <w:rsid w:val="00FD4E14"/>
    <w:rsid w:val="00FD58D8"/>
    <w:rsid w:val="00FF0153"/>
    <w:rsid w:val="00FF4DD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56424">
      <w:bodyDiv w:val="1"/>
      <w:marLeft w:val="0"/>
      <w:marRight w:val="0"/>
      <w:marTop w:val="0"/>
      <w:marBottom w:val="0"/>
      <w:divBdr>
        <w:top w:val="none" w:sz="0" w:space="0" w:color="auto"/>
        <w:left w:val="none" w:sz="0" w:space="0" w:color="auto"/>
        <w:bottom w:val="none" w:sz="0" w:space="0" w:color="auto"/>
        <w:right w:val="none" w:sz="0" w:space="0" w:color="auto"/>
      </w:divBdr>
      <w:divsChild>
        <w:div w:id="1109007836">
          <w:marLeft w:val="0"/>
          <w:marRight w:val="0"/>
          <w:marTop w:val="0"/>
          <w:marBottom w:val="0"/>
          <w:divBdr>
            <w:top w:val="none" w:sz="0" w:space="0" w:color="auto"/>
            <w:left w:val="none" w:sz="0" w:space="0" w:color="auto"/>
            <w:bottom w:val="none" w:sz="0" w:space="0" w:color="auto"/>
            <w:right w:val="none" w:sz="0" w:space="0" w:color="auto"/>
          </w:divBdr>
          <w:divsChild>
            <w:div w:id="1061103647">
              <w:marLeft w:val="0"/>
              <w:marRight w:val="0"/>
              <w:marTop w:val="0"/>
              <w:marBottom w:val="0"/>
              <w:divBdr>
                <w:top w:val="none" w:sz="0" w:space="0" w:color="auto"/>
                <w:left w:val="none" w:sz="0" w:space="0" w:color="auto"/>
                <w:bottom w:val="none" w:sz="0" w:space="0" w:color="auto"/>
                <w:right w:val="none" w:sz="0" w:space="0" w:color="auto"/>
              </w:divBdr>
            </w:div>
          </w:divsChild>
        </w:div>
        <w:div w:id="675229731">
          <w:marLeft w:val="0"/>
          <w:marRight w:val="0"/>
          <w:marTop w:val="120"/>
          <w:marBottom w:val="0"/>
          <w:divBdr>
            <w:top w:val="none" w:sz="0" w:space="0" w:color="auto"/>
            <w:left w:val="none" w:sz="0" w:space="0" w:color="auto"/>
            <w:bottom w:val="none" w:sz="0" w:space="0" w:color="auto"/>
            <w:right w:val="none" w:sz="0" w:space="0" w:color="auto"/>
          </w:divBdr>
          <w:divsChild>
            <w:div w:id="5382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 w:id="1699966768">
      <w:bodyDiv w:val="1"/>
      <w:marLeft w:val="0"/>
      <w:marRight w:val="0"/>
      <w:marTop w:val="0"/>
      <w:marBottom w:val="0"/>
      <w:divBdr>
        <w:top w:val="none" w:sz="0" w:space="0" w:color="auto"/>
        <w:left w:val="none" w:sz="0" w:space="0" w:color="auto"/>
        <w:bottom w:val="none" w:sz="0" w:space="0" w:color="auto"/>
        <w:right w:val="none" w:sz="0" w:space="0" w:color="auto"/>
      </w:divBdr>
      <w:divsChild>
        <w:div w:id="744301391">
          <w:marLeft w:val="0"/>
          <w:marRight w:val="0"/>
          <w:marTop w:val="0"/>
          <w:marBottom w:val="0"/>
          <w:divBdr>
            <w:top w:val="none" w:sz="0" w:space="0" w:color="auto"/>
            <w:left w:val="none" w:sz="0" w:space="0" w:color="auto"/>
            <w:bottom w:val="none" w:sz="0" w:space="0" w:color="auto"/>
            <w:right w:val="none" w:sz="0" w:space="0" w:color="auto"/>
          </w:divBdr>
          <w:divsChild>
            <w:div w:id="1813055439">
              <w:marLeft w:val="0"/>
              <w:marRight w:val="0"/>
              <w:marTop w:val="0"/>
              <w:marBottom w:val="0"/>
              <w:divBdr>
                <w:top w:val="none" w:sz="0" w:space="0" w:color="auto"/>
                <w:left w:val="none" w:sz="0" w:space="0" w:color="auto"/>
                <w:bottom w:val="none" w:sz="0" w:space="0" w:color="auto"/>
                <w:right w:val="none" w:sz="0" w:space="0" w:color="auto"/>
              </w:divBdr>
            </w:div>
          </w:divsChild>
        </w:div>
        <w:div w:id="1567447032">
          <w:marLeft w:val="0"/>
          <w:marRight w:val="0"/>
          <w:marTop w:val="120"/>
          <w:marBottom w:val="0"/>
          <w:divBdr>
            <w:top w:val="none" w:sz="0" w:space="0" w:color="auto"/>
            <w:left w:val="none" w:sz="0" w:space="0" w:color="auto"/>
            <w:bottom w:val="none" w:sz="0" w:space="0" w:color="auto"/>
            <w:right w:val="none" w:sz="0" w:space="0" w:color="auto"/>
          </w:divBdr>
          <w:divsChild>
            <w:div w:id="31248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773</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JFA</dc:creator>
  <cp:keywords/>
  <cp:lastModifiedBy>Bárbara Sierra Nieves</cp:lastModifiedBy>
  <cp:revision>3</cp:revision>
  <cp:lastPrinted>2025-03-10T14:53:00Z</cp:lastPrinted>
  <dcterms:created xsi:type="dcterms:W3CDTF">2025-11-13T18:26:00Z</dcterms:created>
  <dcterms:modified xsi:type="dcterms:W3CDTF">2025-11-13T18:41:00Z</dcterms:modified>
</cp:coreProperties>
</file>