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7C4BA5" w14:textId="77777777" w:rsidR="0000702B" w:rsidRPr="001D133A" w:rsidRDefault="0000702B" w:rsidP="0000702B">
      <w:pPr>
        <w:tabs>
          <w:tab w:val="center" w:pos="4680"/>
          <w:tab w:val="left" w:pos="7920"/>
        </w:tabs>
        <w:jc w:val="center"/>
        <w:rPr>
          <w:rFonts w:ascii="Book Antiqua" w:hAnsi="Book Antiqua"/>
          <w:sz w:val="36"/>
          <w:szCs w:val="36"/>
          <w:lang w:val="es-ES"/>
        </w:rPr>
      </w:pPr>
      <w:bookmarkStart w:id="0" w:name="_Hlk183042642"/>
      <w:bookmarkStart w:id="1" w:name="_Hlk183037667"/>
      <w:bookmarkStart w:id="2" w:name="_Hlk183038391"/>
      <w:r w:rsidRPr="001D133A">
        <w:rPr>
          <w:rFonts w:ascii="Book Antiqua" w:hAnsi="Book Antiqua"/>
          <w:sz w:val="36"/>
          <w:szCs w:val="36"/>
          <w:lang w:val="es-ES"/>
        </w:rPr>
        <w:t>GOBIERNO DE PUERTO RICO</w:t>
      </w:r>
    </w:p>
    <w:p w14:paraId="566EE669" w14:textId="77777777" w:rsidR="0000702B" w:rsidRDefault="0000702B" w:rsidP="0000702B">
      <w:pPr>
        <w:jc w:val="center"/>
        <w:rPr>
          <w:rFonts w:ascii="Book Antiqua" w:hAnsi="Book Antiqua"/>
          <w:sz w:val="36"/>
          <w:lang w:val="es-ES"/>
        </w:rPr>
      </w:pPr>
    </w:p>
    <w:tbl>
      <w:tblPr>
        <w:tblW w:w="9609" w:type="dxa"/>
        <w:tblLook w:val="04A0" w:firstRow="1" w:lastRow="0" w:firstColumn="1" w:lastColumn="0" w:noHBand="0" w:noVBand="1"/>
      </w:tblPr>
      <w:tblGrid>
        <w:gridCol w:w="3170"/>
        <w:gridCol w:w="3171"/>
        <w:gridCol w:w="3268"/>
      </w:tblGrid>
      <w:tr w:rsidR="0000702B" w:rsidRPr="001D133A" w14:paraId="68BF0108" w14:textId="77777777" w:rsidTr="00B26487">
        <w:trPr>
          <w:trHeight w:val="900"/>
        </w:trPr>
        <w:tc>
          <w:tcPr>
            <w:tcW w:w="3170" w:type="dxa"/>
          </w:tcPr>
          <w:p w14:paraId="778A3271" w14:textId="77777777" w:rsidR="0000702B" w:rsidRPr="001D133A" w:rsidRDefault="0000702B" w:rsidP="00B26487">
            <w:pPr>
              <w:rPr>
                <w:rFonts w:ascii="Book Antiqua" w:hAnsi="Book Antiqua"/>
                <w:lang w:val="es-ES"/>
              </w:rPr>
            </w:pPr>
            <w:r w:rsidRPr="001D133A">
              <w:rPr>
                <w:rFonts w:ascii="Book Antiqua" w:hAnsi="Book Antiqua"/>
                <w:lang w:val="es-ES"/>
              </w:rPr>
              <w:t>20</w:t>
            </w:r>
            <w:r w:rsidRPr="001D133A">
              <w:rPr>
                <w:rFonts w:ascii="Book Antiqua" w:hAnsi="Book Antiqua"/>
                <w:vertAlign w:val="superscript"/>
                <w:lang w:val="es-ES"/>
              </w:rPr>
              <w:t>ma.</w:t>
            </w:r>
            <w:r w:rsidRPr="001D133A">
              <w:rPr>
                <w:rFonts w:ascii="Book Antiqua" w:hAnsi="Book Antiqua"/>
                <w:lang w:val="es-ES"/>
              </w:rPr>
              <w:tab/>
              <w:t>Asamblea</w:t>
            </w:r>
          </w:p>
          <w:p w14:paraId="0BBE1343" w14:textId="77777777" w:rsidR="0000702B" w:rsidRPr="001D133A" w:rsidRDefault="0000702B" w:rsidP="00B26487">
            <w:pPr>
              <w:rPr>
                <w:rFonts w:ascii="Book Antiqua" w:hAnsi="Book Antiqua"/>
                <w:sz w:val="36"/>
                <w:lang w:val="es-ES"/>
              </w:rPr>
            </w:pPr>
            <w:r w:rsidRPr="001D133A">
              <w:rPr>
                <w:rFonts w:ascii="Book Antiqua" w:hAnsi="Book Antiqua"/>
                <w:lang w:val="es-ES"/>
              </w:rPr>
              <w:t xml:space="preserve">         </w:t>
            </w:r>
            <w:r w:rsidRPr="001D133A">
              <w:rPr>
                <w:rFonts w:ascii="Book Antiqua" w:hAnsi="Book Antiqua"/>
                <w:lang w:val="es-ES"/>
              </w:rPr>
              <w:tab/>
              <w:t xml:space="preserve">Legislativa                                                                                                          </w:t>
            </w:r>
          </w:p>
        </w:tc>
        <w:tc>
          <w:tcPr>
            <w:tcW w:w="3171" w:type="dxa"/>
          </w:tcPr>
          <w:p w14:paraId="15F5AEB6" w14:textId="77777777" w:rsidR="0000702B" w:rsidRPr="001D133A" w:rsidRDefault="0000702B" w:rsidP="00B26487">
            <w:pPr>
              <w:jc w:val="center"/>
              <w:rPr>
                <w:rFonts w:ascii="Book Antiqua" w:hAnsi="Book Antiqua"/>
                <w:sz w:val="36"/>
                <w:lang w:val="es-ES"/>
              </w:rPr>
            </w:pPr>
          </w:p>
        </w:tc>
        <w:tc>
          <w:tcPr>
            <w:tcW w:w="3268" w:type="dxa"/>
          </w:tcPr>
          <w:p w14:paraId="0D3C2688" w14:textId="0A9684B0" w:rsidR="0000702B" w:rsidRPr="001D133A" w:rsidRDefault="0000702B" w:rsidP="00B26487">
            <w:pPr>
              <w:rPr>
                <w:rFonts w:ascii="Book Antiqua" w:hAnsi="Book Antiqua"/>
                <w:lang w:val="es-ES"/>
              </w:rPr>
            </w:pPr>
            <w:r w:rsidRPr="001D133A">
              <w:rPr>
                <w:rFonts w:ascii="Book Antiqua" w:hAnsi="Book Antiqua"/>
                <w:lang w:val="es-ES"/>
              </w:rPr>
              <w:tab/>
            </w:r>
            <w:r w:rsidRPr="001D133A">
              <w:rPr>
                <w:rFonts w:ascii="Book Antiqua" w:hAnsi="Book Antiqua"/>
                <w:lang w:val="es-ES"/>
              </w:rPr>
              <w:tab/>
            </w:r>
            <w:r w:rsidR="001A23C1">
              <w:rPr>
                <w:rFonts w:ascii="Book Antiqua" w:hAnsi="Book Antiqua"/>
                <w:lang w:val="es-ES"/>
              </w:rPr>
              <w:t xml:space="preserve">2 </w:t>
            </w:r>
            <w:r w:rsidR="001A23C1" w:rsidRPr="003670BB">
              <w:rPr>
                <w:rFonts w:ascii="Book Antiqua" w:hAnsi="Book Antiqua"/>
                <w:sz w:val="18"/>
                <w:szCs w:val="18"/>
                <w:lang w:val="es-ES"/>
              </w:rPr>
              <w:t>da</w:t>
            </w:r>
            <w:r w:rsidRPr="003670BB">
              <w:rPr>
                <w:rFonts w:ascii="Book Antiqua" w:hAnsi="Book Antiqua"/>
                <w:sz w:val="18"/>
                <w:szCs w:val="18"/>
                <w:vertAlign w:val="superscript"/>
                <w:lang w:val="es-ES"/>
              </w:rPr>
              <w:t>.</w:t>
            </w:r>
            <w:r w:rsidRPr="001D133A">
              <w:rPr>
                <w:rFonts w:ascii="Book Antiqua" w:hAnsi="Book Antiqua"/>
                <w:lang w:val="es-ES"/>
              </w:rPr>
              <w:t xml:space="preserve"> Sesión</w:t>
            </w:r>
          </w:p>
          <w:p w14:paraId="579EDB8A" w14:textId="77777777" w:rsidR="0000702B" w:rsidRPr="001D133A" w:rsidRDefault="0000702B" w:rsidP="00B26487">
            <w:pPr>
              <w:rPr>
                <w:rFonts w:ascii="Book Antiqua" w:hAnsi="Book Antiqua"/>
                <w:lang w:val="es-ES"/>
              </w:rPr>
            </w:pPr>
            <w:r w:rsidRPr="001D133A">
              <w:rPr>
                <w:rFonts w:ascii="Book Antiqua" w:hAnsi="Book Antiqua"/>
                <w:lang w:val="es-ES"/>
              </w:rPr>
              <w:tab/>
              <w:t xml:space="preserve">       </w:t>
            </w:r>
            <w:r w:rsidRPr="001D133A">
              <w:rPr>
                <w:rFonts w:ascii="Book Antiqua" w:hAnsi="Book Antiqua"/>
                <w:lang w:val="es-ES"/>
              </w:rPr>
              <w:tab/>
              <w:t xml:space="preserve">      Ordinaria</w:t>
            </w:r>
          </w:p>
          <w:p w14:paraId="04591674" w14:textId="77777777" w:rsidR="0000702B" w:rsidRPr="001D133A" w:rsidRDefault="0000702B" w:rsidP="00B26487">
            <w:pPr>
              <w:jc w:val="center"/>
              <w:rPr>
                <w:rFonts w:ascii="Book Antiqua" w:hAnsi="Book Antiqua"/>
                <w:sz w:val="36"/>
                <w:lang w:val="es-ES"/>
              </w:rPr>
            </w:pPr>
          </w:p>
        </w:tc>
      </w:tr>
      <w:bookmarkEnd w:id="0"/>
    </w:tbl>
    <w:p w14:paraId="7D792CED" w14:textId="77777777" w:rsidR="00552529" w:rsidRDefault="00552529" w:rsidP="0000702B">
      <w:pPr>
        <w:jc w:val="center"/>
        <w:rPr>
          <w:rFonts w:ascii="Book Antiqua" w:hAnsi="Book Antiqua"/>
          <w:b/>
          <w:sz w:val="36"/>
          <w:lang w:val="es-ES"/>
        </w:rPr>
      </w:pPr>
    </w:p>
    <w:p w14:paraId="02978626" w14:textId="5A90BB95" w:rsidR="0000702B" w:rsidRPr="001D133A" w:rsidRDefault="0000702B" w:rsidP="009B5813">
      <w:pPr>
        <w:spacing w:line="360" w:lineRule="auto"/>
        <w:jc w:val="center"/>
        <w:rPr>
          <w:rFonts w:ascii="Book Antiqua" w:hAnsi="Book Antiqua"/>
          <w:b/>
          <w:sz w:val="36"/>
          <w:lang w:val="es-ES"/>
        </w:rPr>
      </w:pPr>
      <w:r w:rsidRPr="001D133A">
        <w:rPr>
          <w:rFonts w:ascii="Book Antiqua" w:hAnsi="Book Antiqua"/>
          <w:b/>
          <w:sz w:val="36"/>
          <w:lang w:val="es-ES"/>
        </w:rPr>
        <w:t>SENADO DE PUERTO RICO</w:t>
      </w:r>
      <w:bookmarkEnd w:id="1"/>
    </w:p>
    <w:p w14:paraId="0A02050C" w14:textId="6C63AE9B" w:rsidR="0000702B" w:rsidRPr="001D133A" w:rsidRDefault="0000702B" w:rsidP="009B5813">
      <w:pPr>
        <w:spacing w:line="360" w:lineRule="auto"/>
        <w:jc w:val="center"/>
        <w:rPr>
          <w:rFonts w:ascii="Book Antiqua" w:hAnsi="Book Antiqua"/>
          <w:b/>
          <w:sz w:val="52"/>
          <w:lang w:val="es-ES"/>
        </w:rPr>
      </w:pPr>
      <w:r w:rsidRPr="001D133A">
        <w:rPr>
          <w:rFonts w:ascii="Book Antiqua" w:hAnsi="Book Antiqua"/>
          <w:b/>
          <w:sz w:val="52"/>
          <w:lang w:val="es-ES"/>
        </w:rPr>
        <w:t xml:space="preserve">P. del S. </w:t>
      </w:r>
      <w:r w:rsidR="00552529">
        <w:rPr>
          <w:rFonts w:ascii="Book Antiqua" w:hAnsi="Book Antiqua"/>
          <w:b/>
          <w:sz w:val="52"/>
          <w:lang w:val="es-ES"/>
        </w:rPr>
        <w:t>861</w:t>
      </w:r>
    </w:p>
    <w:p w14:paraId="0A885B68" w14:textId="30B54254" w:rsidR="0000702B" w:rsidRPr="001D133A" w:rsidRDefault="00552529" w:rsidP="009B5813">
      <w:pPr>
        <w:spacing w:line="360" w:lineRule="auto"/>
        <w:jc w:val="center"/>
        <w:rPr>
          <w:rFonts w:ascii="Book Antiqua" w:hAnsi="Book Antiqua"/>
          <w:lang w:val="es-ES"/>
        </w:rPr>
      </w:pPr>
      <w:bookmarkStart w:id="3" w:name="_Hlk183037684"/>
      <w:r>
        <w:rPr>
          <w:rFonts w:ascii="Book Antiqua" w:hAnsi="Book Antiqua"/>
          <w:lang w:val="es-ES"/>
        </w:rPr>
        <w:t>18</w:t>
      </w:r>
      <w:r w:rsidR="0000702B" w:rsidRPr="001D133A">
        <w:rPr>
          <w:rFonts w:ascii="Book Antiqua" w:hAnsi="Book Antiqua"/>
          <w:lang w:val="es-ES"/>
        </w:rPr>
        <w:t xml:space="preserve"> de </w:t>
      </w:r>
      <w:r w:rsidR="00D125EA">
        <w:rPr>
          <w:rFonts w:ascii="Book Antiqua" w:hAnsi="Book Antiqua"/>
          <w:lang w:val="es-ES"/>
        </w:rPr>
        <w:t>noviem</w:t>
      </w:r>
      <w:r w:rsidR="007E06F0">
        <w:rPr>
          <w:rFonts w:ascii="Book Antiqua" w:hAnsi="Book Antiqua"/>
          <w:lang w:val="es-ES"/>
        </w:rPr>
        <w:t>b</w:t>
      </w:r>
      <w:r w:rsidR="004801EB">
        <w:rPr>
          <w:rFonts w:ascii="Book Antiqua" w:hAnsi="Book Antiqua"/>
          <w:lang w:val="es-ES"/>
        </w:rPr>
        <w:t>re</w:t>
      </w:r>
      <w:r w:rsidR="0000702B" w:rsidRPr="001D133A">
        <w:rPr>
          <w:rFonts w:ascii="Book Antiqua" w:hAnsi="Book Antiqua"/>
          <w:lang w:val="es-ES"/>
        </w:rPr>
        <w:t xml:space="preserve"> de 2025</w:t>
      </w:r>
    </w:p>
    <w:p w14:paraId="2C27582D" w14:textId="0C1FDA13" w:rsidR="0000702B" w:rsidRPr="007E06F0" w:rsidRDefault="0000702B" w:rsidP="009B5813">
      <w:pPr>
        <w:spacing w:line="360" w:lineRule="auto"/>
        <w:jc w:val="center"/>
        <w:rPr>
          <w:rFonts w:ascii="Book Antiqua" w:hAnsi="Book Antiqua"/>
          <w:i/>
          <w:iCs/>
          <w:lang w:val="es-ES"/>
        </w:rPr>
      </w:pPr>
      <w:r w:rsidRPr="001D133A">
        <w:rPr>
          <w:rFonts w:ascii="Book Antiqua" w:hAnsi="Book Antiqua"/>
          <w:lang w:val="es-ES"/>
        </w:rPr>
        <w:t xml:space="preserve">Presentado por </w:t>
      </w:r>
      <w:r w:rsidR="00551999" w:rsidRPr="001D133A">
        <w:rPr>
          <w:rFonts w:ascii="Book Antiqua" w:hAnsi="Book Antiqua"/>
          <w:lang w:val="es-ES"/>
        </w:rPr>
        <w:t xml:space="preserve">la señora </w:t>
      </w:r>
      <w:r w:rsidR="00551999" w:rsidRPr="007E06F0">
        <w:rPr>
          <w:rFonts w:ascii="Book Antiqua" w:hAnsi="Book Antiqua"/>
          <w:i/>
          <w:iCs/>
          <w:lang w:val="es-ES"/>
        </w:rPr>
        <w:t>Soto Aguilú</w:t>
      </w:r>
    </w:p>
    <w:p w14:paraId="34105B94" w14:textId="22F3CD7B" w:rsidR="00A202B7" w:rsidRPr="001D133A" w:rsidRDefault="0000702B" w:rsidP="00A202B7">
      <w:pPr>
        <w:spacing w:line="360" w:lineRule="auto"/>
        <w:jc w:val="center"/>
        <w:rPr>
          <w:rFonts w:ascii="Book Antiqua" w:hAnsi="Book Antiqua"/>
          <w:i/>
          <w:iCs/>
          <w:szCs w:val="24"/>
          <w:lang w:val="es-ES"/>
        </w:rPr>
      </w:pPr>
      <w:r w:rsidRPr="001D133A">
        <w:rPr>
          <w:rFonts w:ascii="Book Antiqua" w:hAnsi="Book Antiqua"/>
          <w:i/>
          <w:lang w:val="es-ES"/>
        </w:rPr>
        <w:t xml:space="preserve">Referido a </w:t>
      </w:r>
      <w:r w:rsidR="009B5813">
        <w:rPr>
          <w:rFonts w:ascii="Book Antiqua" w:hAnsi="Book Antiqua"/>
          <w:i/>
          <w:lang w:val="es-ES"/>
        </w:rPr>
        <w:t>la Comisión de</w:t>
      </w:r>
      <w:r w:rsidR="00F501D7">
        <w:rPr>
          <w:rFonts w:ascii="Book Antiqua" w:hAnsi="Book Antiqua"/>
          <w:i/>
          <w:lang w:val="es-ES"/>
        </w:rPr>
        <w:t xml:space="preserve"> lo Jurídico</w:t>
      </w:r>
    </w:p>
    <w:p w14:paraId="729606B8" w14:textId="77777777" w:rsidR="00A202B7" w:rsidRPr="009B5813" w:rsidRDefault="00A202B7" w:rsidP="00A202B7">
      <w:pPr>
        <w:spacing w:line="360" w:lineRule="auto"/>
        <w:jc w:val="center"/>
        <w:rPr>
          <w:rFonts w:ascii="Book Antiqua" w:hAnsi="Book Antiqua"/>
          <w:i/>
          <w:iCs/>
          <w:sz w:val="12"/>
          <w:szCs w:val="12"/>
          <w:lang w:val="es-ES"/>
        </w:rPr>
      </w:pPr>
    </w:p>
    <w:p w14:paraId="008CA567" w14:textId="77777777" w:rsidR="00A37DBE" w:rsidRPr="001D133A" w:rsidRDefault="0000702B" w:rsidP="0000702B">
      <w:pPr>
        <w:jc w:val="center"/>
        <w:rPr>
          <w:rFonts w:ascii="Book Antiqua" w:hAnsi="Book Antiqua"/>
          <w:b/>
          <w:szCs w:val="24"/>
          <w:lang w:val="es-ES"/>
        </w:rPr>
      </w:pPr>
      <w:r w:rsidRPr="001D133A">
        <w:rPr>
          <w:rFonts w:ascii="Book Antiqua" w:hAnsi="Book Antiqua"/>
          <w:b/>
          <w:szCs w:val="24"/>
          <w:lang w:val="es-ES"/>
        </w:rPr>
        <w:t>LEY</w:t>
      </w:r>
      <w:bookmarkEnd w:id="2"/>
      <w:bookmarkEnd w:id="3"/>
    </w:p>
    <w:p w14:paraId="680E1BD3" w14:textId="77777777" w:rsidR="00552529" w:rsidRPr="001D133A" w:rsidRDefault="00552529" w:rsidP="002206E3">
      <w:pPr>
        <w:widowControl w:val="0"/>
        <w:suppressLineNumbers/>
        <w:autoSpaceDE w:val="0"/>
        <w:autoSpaceDN w:val="0"/>
        <w:adjustRightInd w:val="0"/>
        <w:ind w:left="720" w:hanging="720"/>
        <w:jc w:val="both"/>
        <w:rPr>
          <w:rFonts w:ascii="Book Antiqua" w:hAnsi="Book Antiqua"/>
          <w:bCs/>
          <w:sz w:val="16"/>
          <w:szCs w:val="16"/>
          <w:lang w:val="es-ES"/>
        </w:rPr>
      </w:pPr>
    </w:p>
    <w:p w14:paraId="06046BA0" w14:textId="13F1405C" w:rsidR="00D15448" w:rsidRPr="003F1BE8" w:rsidRDefault="00D15448" w:rsidP="005C5219">
      <w:pPr>
        <w:pStyle w:val="NormalWeb"/>
        <w:ind w:left="540" w:hanging="540"/>
        <w:jc w:val="both"/>
        <w:rPr>
          <w:rFonts w:ascii="Book Antiqua" w:hAnsi="Book Antiqua"/>
          <w:lang w:val="es-PR"/>
        </w:rPr>
      </w:pPr>
      <w:r w:rsidRPr="003F1BE8">
        <w:rPr>
          <w:rFonts w:ascii="Book Antiqua" w:hAnsi="Book Antiqua"/>
          <w:lang w:val="es-PR"/>
        </w:rPr>
        <w:t>Para enmendar el apartado (A)(2) del Artículo 23 y la cláusula (b) del inciso (i) del apartado (1) del Artículo 185 de la Ley Núm. 210 de 17 de diciembre de 2015, según enmendada, conocida como “Ley del Registro de la Propiedad Inmobiliaria del Estado Libre Asociado de Puerto Rico”, a los fines de disponer taxativamente que resulta improcedente que el Tribunal de Primera Instancia exija Certificación Jurada de Mensura expedida por agrimensor licenciado cuando el promovente de un expediente de dominio alegue carencia de título y presente mensura que cumpla con los requisitos de cabida y colindancias en sistema métrico decimal y para otros fines relacionados.</w:t>
      </w:r>
    </w:p>
    <w:p w14:paraId="195D1BD8" w14:textId="77777777" w:rsidR="005C2355" w:rsidRDefault="005C2355" w:rsidP="0025618A">
      <w:pPr>
        <w:jc w:val="center"/>
        <w:rPr>
          <w:rFonts w:ascii="Book Antiqua" w:hAnsi="Book Antiqua"/>
          <w:b/>
          <w:bCs/>
          <w:lang w:val="es-ES"/>
        </w:rPr>
      </w:pPr>
    </w:p>
    <w:p w14:paraId="704C8A72" w14:textId="31C2CDC7" w:rsidR="00A37DBE" w:rsidRDefault="0025618A" w:rsidP="0025618A">
      <w:pPr>
        <w:jc w:val="center"/>
        <w:rPr>
          <w:rFonts w:ascii="Book Antiqua" w:hAnsi="Book Antiqua"/>
          <w:b/>
          <w:bCs/>
          <w:lang w:val="es-ES"/>
        </w:rPr>
      </w:pPr>
      <w:r w:rsidRPr="001D133A">
        <w:rPr>
          <w:rFonts w:ascii="Book Antiqua" w:hAnsi="Book Antiqua"/>
          <w:b/>
          <w:bCs/>
          <w:lang w:val="es-ES"/>
        </w:rPr>
        <w:t>EXPOSICIÓ</w:t>
      </w:r>
      <w:r w:rsidR="00A37DBE" w:rsidRPr="001D133A">
        <w:rPr>
          <w:rFonts w:ascii="Book Antiqua" w:hAnsi="Book Antiqua"/>
          <w:b/>
          <w:bCs/>
          <w:lang w:val="es-ES"/>
        </w:rPr>
        <w:t>N DE MOTIVOS</w:t>
      </w:r>
    </w:p>
    <w:p w14:paraId="0D45ABAB" w14:textId="77777777" w:rsidR="009B5813" w:rsidRPr="009B5813" w:rsidRDefault="009B5813" w:rsidP="0025618A">
      <w:pPr>
        <w:jc w:val="center"/>
        <w:rPr>
          <w:rFonts w:ascii="Book Antiqua" w:hAnsi="Book Antiqua"/>
          <w:b/>
          <w:bCs/>
          <w:sz w:val="16"/>
          <w:szCs w:val="16"/>
          <w:lang w:val="es-ES"/>
        </w:rPr>
      </w:pPr>
    </w:p>
    <w:p w14:paraId="6DEA1FFE" w14:textId="77777777" w:rsidR="008B5DBD" w:rsidRPr="00EB1189" w:rsidRDefault="008B5DBD" w:rsidP="009B5813">
      <w:pPr>
        <w:pStyle w:val="NormalWeb"/>
        <w:spacing w:before="120" w:after="120" w:line="360" w:lineRule="auto"/>
        <w:ind w:firstLine="720"/>
        <w:jc w:val="both"/>
        <w:rPr>
          <w:rFonts w:ascii="Book Antiqua" w:hAnsi="Book Antiqua"/>
          <w:lang w:val="es-PR"/>
        </w:rPr>
      </w:pPr>
      <w:r w:rsidRPr="00EB1189">
        <w:rPr>
          <w:rFonts w:ascii="Book Antiqua" w:hAnsi="Book Antiqua"/>
          <w:lang w:val="es-PR"/>
        </w:rPr>
        <w:t xml:space="preserve">La Ley Núm. 210 de 17 de diciembre de 2015, conocida como “Ley del Registro de la Propiedad Inmobiliaria del Estado Libre Asociado de Puerto Rico”, estableció un régimen moderno y accesible para la inmatriculación de fincas mediante el procedimiento de expediente de dominio, particularmente para propiedades poseídas por prescripción adquisitiva sin título inscrito. El apartado (A)(2) del Artículo 23 exige que las inscripciones registrales incluyan la descripción de la finca con sus medidas superficiales en sistema métrico decimal, mientras que la cláusula (b) del apartado (1) del </w:t>
      </w:r>
      <w:r w:rsidRPr="00EB1189">
        <w:rPr>
          <w:rFonts w:ascii="Book Antiqua" w:hAnsi="Book Antiqua"/>
          <w:lang w:val="es-PR"/>
        </w:rPr>
        <w:lastRenderedPageBreak/>
        <w:t>Artículo 185 requiere que la petición de dominio contenga la descripción exacta de la propiedad con colindancias y cabida según los títulos o mensuras presentadas, y el inciso (i) del mismo apartado verifica la estabilidad de la cabida durante el término prescriptivo.</w:t>
      </w:r>
    </w:p>
    <w:p w14:paraId="2341AA5F" w14:textId="77F35249" w:rsidR="00E56436" w:rsidRPr="00EB1189" w:rsidRDefault="008B5DBD" w:rsidP="009B5813">
      <w:pPr>
        <w:pStyle w:val="NormalWeb"/>
        <w:spacing w:before="120" w:after="120" w:line="360" w:lineRule="auto"/>
        <w:ind w:firstLine="720"/>
        <w:jc w:val="both"/>
        <w:rPr>
          <w:rFonts w:ascii="Book Antiqua" w:hAnsi="Book Antiqua"/>
          <w:lang w:val="es-PR"/>
        </w:rPr>
      </w:pPr>
      <w:r w:rsidRPr="00EB1189">
        <w:rPr>
          <w:rFonts w:ascii="Book Antiqua" w:hAnsi="Book Antiqua"/>
          <w:lang w:val="es-PR"/>
        </w:rPr>
        <w:t xml:space="preserve">A pesar de esta redacción clara, que no impone como requisito imperativo una Certificación Jurada de Mensura reciente expedida por agrimensor licenciado, algunos Tribunales de Primera Instancia han interpretado erróneamente estos apartados para condicionar el trámite a tal documento, lo cual genera dilaciones procesales injustificadas, eleva costos innecesarios para los promoventes —muchos de bajos recursos en áreas rurales— y frustra el objetivo legislativo de agilizar la seguridad jurídica inmobiliaria. </w:t>
      </w:r>
      <w:r w:rsidR="00E56436" w:rsidRPr="00EB1189">
        <w:rPr>
          <w:rFonts w:ascii="Book Antiqua" w:hAnsi="Book Antiqua"/>
          <w:lang w:val="es-PR"/>
        </w:rPr>
        <w:t>Esta práctica discrecional ha afectado miles de casos de inmatriculación en Puerto Rico, particularmente en el contexto post-desastres naturales donde la documentación histórica es limitada.</w:t>
      </w:r>
    </w:p>
    <w:p w14:paraId="35872BF2" w14:textId="313535B3" w:rsidR="00D5280B" w:rsidRDefault="00E56436" w:rsidP="009B5813">
      <w:pPr>
        <w:pStyle w:val="NormalWeb"/>
        <w:spacing w:before="120" w:after="120" w:line="360" w:lineRule="auto"/>
        <w:ind w:firstLine="720"/>
        <w:jc w:val="both"/>
        <w:rPr>
          <w:rFonts w:ascii="Book Antiqua" w:hAnsi="Book Antiqua"/>
          <w:lang w:val="es-PR"/>
        </w:rPr>
      </w:pPr>
      <w:r w:rsidRPr="00EB1189">
        <w:rPr>
          <w:rFonts w:ascii="Book Antiqua" w:hAnsi="Book Antiqua"/>
          <w:lang w:val="es-PR"/>
        </w:rPr>
        <w:t xml:space="preserve">El Tribunal Supremo de Puerto Rico resolvió esta discrepancia en la sentencia </w:t>
      </w:r>
      <w:r w:rsidRPr="006B6F15">
        <w:rPr>
          <w:rStyle w:val="Strong"/>
          <w:rFonts w:ascii="Book Antiqua" w:hAnsi="Book Antiqua"/>
          <w:b w:val="0"/>
          <w:bCs w:val="0"/>
          <w:lang w:val="es-PR"/>
        </w:rPr>
        <w:t>Ex Parte: Franco Luis Román Quiles y Yolanda Nieves Vargas</w:t>
      </w:r>
      <w:r w:rsidRPr="00EB1189">
        <w:rPr>
          <w:rFonts w:ascii="Book Antiqua" w:hAnsi="Book Antiqua"/>
          <w:lang w:val="es-PR"/>
        </w:rPr>
        <w:t>, 2025 TSPR 45</w:t>
      </w:r>
      <w:r w:rsidR="006B6F15">
        <w:rPr>
          <w:rFonts w:ascii="Book Antiqua" w:hAnsi="Book Antiqua"/>
          <w:lang w:val="es-PR"/>
        </w:rPr>
        <w:t>, atendida el 30 de abril de 2025</w:t>
      </w:r>
      <w:r w:rsidRPr="00EB1189">
        <w:rPr>
          <w:rFonts w:ascii="Book Antiqua" w:hAnsi="Book Antiqua"/>
          <w:lang w:val="es-PR"/>
        </w:rPr>
        <w:t>, al declarar taxativamente que:</w:t>
      </w:r>
      <w:r w:rsidR="005E69DD">
        <w:rPr>
          <w:rFonts w:ascii="Book Antiqua" w:hAnsi="Book Antiqua"/>
          <w:lang w:val="es-PR"/>
        </w:rPr>
        <w:t xml:space="preserve"> </w:t>
      </w:r>
      <w:r w:rsidRPr="00EB1189">
        <w:rPr>
          <w:rFonts w:ascii="Book Antiqua" w:hAnsi="Book Antiqua"/>
          <w:lang w:val="es-PR"/>
        </w:rPr>
        <w:t>“…no procede exigir una certificación jurada de mensura expedida por un agrimensor licenciado cuando el promovente haya alegado que carece del título y de la petición jurada y prueba presentada surja alguna mensura en la que conste la cabida y las colindancias en el sistema métrico decimal según lo exigen los Arts. 23(A)(2) y 185(1)(b) de la Ley Núm. 210-2015.”</w:t>
      </w:r>
      <w:r w:rsidR="00D5280B">
        <w:rPr>
          <w:rFonts w:ascii="Book Antiqua" w:hAnsi="Book Antiqua"/>
          <w:lang w:val="es-PR"/>
        </w:rPr>
        <w:t xml:space="preserve">  </w:t>
      </w:r>
      <w:r w:rsidRPr="00D5280B">
        <w:rPr>
          <w:rFonts w:ascii="Book Antiqua" w:hAnsi="Book Antiqua"/>
          <w:lang w:val="es-PR"/>
        </w:rPr>
        <w:t>En la misma decisión, el Alto Tribunal subrayó que la verificación de cabida y colindancias debe basarse en la prueba aportada en el expediente, y que cualquier corrección posterior se resolverá mediante procedimientos ordinarios de rectificación o deslinde judicial, sin paralizar el dominio por prescripción.</w:t>
      </w:r>
      <w:r w:rsidR="00720975" w:rsidRPr="00D5280B">
        <w:rPr>
          <w:rFonts w:ascii="Book Antiqua" w:hAnsi="Book Antiqua"/>
          <w:lang w:val="es-PR"/>
        </w:rPr>
        <w:t xml:space="preserve"> </w:t>
      </w:r>
    </w:p>
    <w:p w14:paraId="3D0949A6" w14:textId="35C69527" w:rsidR="005E69DD" w:rsidRPr="00CB126F" w:rsidRDefault="002B081C" w:rsidP="009B5813">
      <w:pPr>
        <w:pStyle w:val="NormalWeb"/>
        <w:spacing w:before="120" w:after="120" w:line="360" w:lineRule="auto"/>
        <w:ind w:firstLine="720"/>
        <w:jc w:val="both"/>
        <w:rPr>
          <w:rFonts w:ascii="Book Antiqua" w:hAnsi="Book Antiqua"/>
          <w:lang w:val="es-PR"/>
        </w:rPr>
      </w:pPr>
      <w:r w:rsidRPr="00D5280B">
        <w:rPr>
          <w:rFonts w:ascii="Book Antiqua" w:hAnsi="Book Antiqua"/>
          <w:lang w:val="es-PR"/>
        </w:rPr>
        <w:t xml:space="preserve">La presente enmienda incorpora la regla </w:t>
      </w:r>
      <w:r w:rsidR="00D5280B">
        <w:rPr>
          <w:rFonts w:ascii="Book Antiqua" w:hAnsi="Book Antiqua"/>
          <w:lang w:val="es-PR"/>
        </w:rPr>
        <w:t>adoptad</w:t>
      </w:r>
      <w:r w:rsidR="00B555DB">
        <w:rPr>
          <w:rFonts w:ascii="Book Antiqua" w:hAnsi="Book Antiqua"/>
          <w:lang w:val="es-PR"/>
        </w:rPr>
        <w:t>a</w:t>
      </w:r>
      <w:r w:rsidR="00D5280B">
        <w:rPr>
          <w:rFonts w:ascii="Book Antiqua" w:hAnsi="Book Antiqua"/>
          <w:lang w:val="es-PR"/>
        </w:rPr>
        <w:t xml:space="preserve"> por el Tribunal</w:t>
      </w:r>
      <w:r w:rsidRPr="00D5280B">
        <w:rPr>
          <w:rFonts w:ascii="Book Antiqua" w:hAnsi="Book Antiqua"/>
          <w:lang w:val="es-PR"/>
        </w:rPr>
        <w:t xml:space="preserve"> Supremo en ambos apartados, asegurando uniformidad judicial, reduciendo litigios repetitivos y facilitando el acceso equitativo al Registro de la Propiedad para familias puertorriqueñas que dependen de la posesión ancestral.</w:t>
      </w:r>
    </w:p>
    <w:p w14:paraId="412AEB4A" w14:textId="03DFD38F" w:rsidR="00A37DBE" w:rsidRPr="001D133A" w:rsidRDefault="00A37DBE" w:rsidP="0025618A">
      <w:pPr>
        <w:spacing w:line="480" w:lineRule="auto"/>
        <w:rPr>
          <w:rFonts w:ascii="Book Antiqua" w:hAnsi="Book Antiqua"/>
          <w:b/>
          <w:bCs/>
          <w:iCs/>
          <w:szCs w:val="24"/>
          <w:lang w:val="es-ES"/>
        </w:rPr>
      </w:pPr>
      <w:r w:rsidRPr="001D133A">
        <w:rPr>
          <w:rFonts w:ascii="Book Antiqua" w:hAnsi="Book Antiqua"/>
          <w:b/>
          <w:bCs/>
          <w:iCs/>
          <w:szCs w:val="24"/>
          <w:lang w:val="es-ES"/>
        </w:rPr>
        <w:lastRenderedPageBreak/>
        <w:t>DECR</w:t>
      </w:r>
      <w:r w:rsidR="0025618A" w:rsidRPr="001D133A">
        <w:rPr>
          <w:rFonts w:ascii="Book Antiqua" w:hAnsi="Book Antiqua"/>
          <w:b/>
          <w:bCs/>
          <w:iCs/>
          <w:szCs w:val="24"/>
          <w:lang w:val="es-ES"/>
        </w:rPr>
        <w:t>É</w:t>
      </w:r>
      <w:r w:rsidRPr="001D133A">
        <w:rPr>
          <w:rFonts w:ascii="Book Antiqua" w:hAnsi="Book Antiqua"/>
          <w:b/>
          <w:bCs/>
          <w:iCs/>
          <w:szCs w:val="24"/>
          <w:lang w:val="es-ES"/>
        </w:rPr>
        <w:t>TASE POR LA ASAMBLEA LEGISLATIVA DE PUERTO RICO:</w:t>
      </w:r>
    </w:p>
    <w:p w14:paraId="26914EAD" w14:textId="77777777" w:rsidR="00A37DBE" w:rsidRPr="001D133A" w:rsidRDefault="00A37DBE" w:rsidP="0057108C">
      <w:pPr>
        <w:spacing w:line="480" w:lineRule="auto"/>
        <w:jc w:val="both"/>
        <w:rPr>
          <w:rFonts w:ascii="Book Antiqua" w:hAnsi="Book Antiqua"/>
          <w:i/>
          <w:szCs w:val="24"/>
          <w:lang w:val="es-ES"/>
        </w:rPr>
        <w:sectPr w:rsidR="00A37DBE" w:rsidRPr="001D133A">
          <w:headerReference w:type="default" r:id="rId12"/>
          <w:type w:val="continuous"/>
          <w:pgSz w:w="12240" w:h="15840" w:code="1"/>
          <w:pgMar w:top="1440" w:right="1440" w:bottom="1440" w:left="1440" w:header="720" w:footer="720" w:gutter="0"/>
          <w:cols w:space="720"/>
          <w:titlePg/>
        </w:sectPr>
      </w:pPr>
    </w:p>
    <w:p w14:paraId="520DCEDB" w14:textId="1D6713C1" w:rsidR="00D60100" w:rsidRPr="00B555DB" w:rsidRDefault="00351F45" w:rsidP="007C431E">
      <w:pPr>
        <w:pStyle w:val="NormalWeb"/>
        <w:spacing w:line="480" w:lineRule="auto"/>
        <w:ind w:firstLine="720"/>
        <w:jc w:val="both"/>
        <w:rPr>
          <w:rFonts w:ascii="Book Antiqua" w:hAnsi="Book Antiqua"/>
          <w:lang w:val="es-PR"/>
        </w:rPr>
      </w:pPr>
      <w:r w:rsidRPr="00B555DB">
        <w:rPr>
          <w:rFonts w:ascii="Book Antiqua" w:hAnsi="Book Antiqua"/>
          <w:bCs/>
          <w:lang w:val="es-PR"/>
        </w:rPr>
        <w:t>Sección</w:t>
      </w:r>
      <w:r w:rsidR="002206E3" w:rsidRPr="00B555DB">
        <w:rPr>
          <w:rFonts w:ascii="Book Antiqua" w:hAnsi="Book Antiqua"/>
          <w:bCs/>
          <w:lang w:val="es-PR"/>
        </w:rPr>
        <w:t xml:space="preserve"> 1.</w:t>
      </w:r>
      <w:r w:rsidR="004B2EDE" w:rsidRPr="00B555DB">
        <w:rPr>
          <w:rFonts w:ascii="Book Antiqua" w:hAnsi="Book Antiqua"/>
          <w:bCs/>
          <w:lang w:val="es-PR"/>
        </w:rPr>
        <w:t>-</w:t>
      </w:r>
      <w:r w:rsidR="002D6777" w:rsidRPr="00B555DB">
        <w:rPr>
          <w:rFonts w:ascii="Book Antiqua" w:hAnsi="Book Antiqua"/>
          <w:bCs/>
          <w:lang w:val="es-PR"/>
        </w:rPr>
        <w:t xml:space="preserve"> </w:t>
      </w:r>
      <w:r w:rsidR="00D60100" w:rsidRPr="00B555DB">
        <w:rPr>
          <w:rFonts w:ascii="Book Antiqua" w:hAnsi="Book Antiqua"/>
          <w:lang w:val="es-PR"/>
        </w:rPr>
        <w:t>Se enmienda el apartado (A)(2) del Artículo 23 de la Ley Núm. 210 de 17 de diciembre de 2015, según enmendada, para que lea como sigue:</w:t>
      </w:r>
    </w:p>
    <w:p w14:paraId="7F9C0E8B" w14:textId="15227FE0" w:rsidR="00545581" w:rsidRPr="00675C28" w:rsidRDefault="00545581" w:rsidP="00675C28">
      <w:pPr>
        <w:pStyle w:val="NormalWeb"/>
        <w:spacing w:line="480" w:lineRule="auto"/>
        <w:ind w:firstLine="720"/>
        <w:jc w:val="both"/>
        <w:rPr>
          <w:rFonts w:ascii="Book Antiqua" w:hAnsi="Book Antiqua"/>
          <w:b/>
          <w:bCs/>
          <w:lang w:val="es-PR"/>
        </w:rPr>
      </w:pPr>
      <w:r w:rsidRPr="00675C28">
        <w:rPr>
          <w:rStyle w:val="Strong"/>
          <w:rFonts w:ascii="Book Antiqua" w:hAnsi="Book Antiqua"/>
          <w:b w:val="0"/>
          <w:bCs w:val="0"/>
          <w:lang w:val="es-PR"/>
        </w:rPr>
        <w:t>“Artículo 23. — Contenido de la primera inscripción y subsiguientes.</w:t>
      </w:r>
      <w:r w:rsidR="00675C28">
        <w:rPr>
          <w:rStyle w:val="Strong"/>
          <w:rFonts w:ascii="Book Antiqua" w:hAnsi="Book Antiqua"/>
          <w:b w:val="0"/>
          <w:bCs w:val="0"/>
          <w:lang w:val="es-PR"/>
        </w:rPr>
        <w:t>”</w:t>
      </w:r>
    </w:p>
    <w:p w14:paraId="20E6F557" w14:textId="77777777" w:rsidR="00545581" w:rsidRPr="00B555DB" w:rsidRDefault="00545581" w:rsidP="007C431E">
      <w:pPr>
        <w:pStyle w:val="NormalWeb"/>
        <w:spacing w:line="480" w:lineRule="auto"/>
        <w:ind w:firstLine="360"/>
        <w:jc w:val="both"/>
        <w:rPr>
          <w:rFonts w:ascii="Book Antiqua" w:hAnsi="Book Antiqua"/>
          <w:lang w:val="es-PR"/>
        </w:rPr>
      </w:pPr>
      <w:r w:rsidRPr="00B555DB">
        <w:rPr>
          <w:rFonts w:ascii="Book Antiqua" w:hAnsi="Book Antiqua"/>
          <w:lang w:val="es-PR"/>
        </w:rPr>
        <w:t>A. La primera inscripción de toda finca expresará en la forma más abreviada posible, las siguientes circunstancias:</w:t>
      </w:r>
    </w:p>
    <w:p w14:paraId="516C4741" w14:textId="77777777" w:rsidR="00675C28" w:rsidRDefault="00545581" w:rsidP="00675C28">
      <w:pPr>
        <w:pStyle w:val="NormalWeb"/>
        <w:spacing w:line="480" w:lineRule="auto"/>
        <w:ind w:firstLine="360"/>
        <w:jc w:val="both"/>
        <w:rPr>
          <w:rFonts w:ascii="Book Antiqua" w:hAnsi="Book Antiqua"/>
          <w:lang w:val="es-PR"/>
        </w:rPr>
      </w:pPr>
      <w:r w:rsidRPr="00B555DB">
        <w:rPr>
          <w:rFonts w:ascii="Book Antiqua" w:hAnsi="Book Antiqua"/>
          <w:lang w:val="es-PR"/>
        </w:rPr>
        <w:t>[...]</w:t>
      </w:r>
    </w:p>
    <w:p w14:paraId="6C0796C2" w14:textId="5F772BAF" w:rsidR="00545581" w:rsidRPr="00A75514" w:rsidRDefault="00675C28" w:rsidP="007C431E">
      <w:pPr>
        <w:pStyle w:val="NormalWeb"/>
        <w:spacing w:line="480" w:lineRule="auto"/>
        <w:ind w:firstLine="360"/>
        <w:jc w:val="both"/>
        <w:rPr>
          <w:rFonts w:ascii="Book Antiqua" w:hAnsi="Book Antiqua"/>
          <w:b/>
          <w:bCs/>
          <w:i/>
          <w:iCs/>
          <w:lang w:val="es-PR"/>
        </w:rPr>
      </w:pPr>
      <w:r>
        <w:rPr>
          <w:rFonts w:ascii="Book Antiqua" w:hAnsi="Book Antiqua"/>
          <w:lang w:val="es-PR"/>
        </w:rPr>
        <w:t xml:space="preserve">2. </w:t>
      </w:r>
      <w:r w:rsidR="00545581" w:rsidRPr="00B555DB">
        <w:rPr>
          <w:rFonts w:ascii="Book Antiqua" w:hAnsi="Book Antiqua"/>
          <w:lang w:val="es-PR"/>
        </w:rPr>
        <w:t>La naturaleza, situación y linderos de los inmuebles objeto de la inscripción, o</w:t>
      </w:r>
      <w:r>
        <w:rPr>
          <w:rFonts w:ascii="Book Antiqua" w:hAnsi="Book Antiqua"/>
          <w:lang w:val="es-PR"/>
        </w:rPr>
        <w:t xml:space="preserve"> </w:t>
      </w:r>
      <w:r w:rsidR="00545581" w:rsidRPr="00B555DB">
        <w:rPr>
          <w:rFonts w:ascii="Book Antiqua" w:hAnsi="Book Antiqua"/>
          <w:lang w:val="es-PR"/>
        </w:rPr>
        <w:t xml:space="preserve">a los cuales afecte el derecho que deba inscribirse, y sus medidas superficiales expresadas en el sistema métrico decimal. Podrá incluir el nombre y número si constan del título, consignando además todas aquellas especificaciones que conduzcan a la completa identificación del inmueble. </w:t>
      </w:r>
      <w:r w:rsidR="00545581" w:rsidRPr="00A75514">
        <w:rPr>
          <w:rStyle w:val="Strong"/>
          <w:rFonts w:ascii="Book Antiqua" w:hAnsi="Book Antiqua"/>
          <w:b w:val="0"/>
          <w:bCs w:val="0"/>
          <w:i/>
          <w:iCs/>
          <w:lang w:val="es-PR"/>
        </w:rPr>
        <w:t>Resulta taxativamente improcedente exigir Certificación Jurada de Mensura expedida por agrimensor licenciado para verificar esta descripción cuando, en el contexto de un expediente de dominio por prescripción adquisitiva, el promovente alegue carecer de título inscrito y presente prueba de alguna mensura histórica que haga constar la cabida y colindancias en el sistema métrico decimal. En tales casos, la verificación se limitará a la prueba documental aportada, con subsanación posterior mediante rectificación registral o deslinde judicial si procediere.</w:t>
      </w:r>
    </w:p>
    <w:p w14:paraId="5E66153D" w14:textId="77777777" w:rsidR="00A84A18" w:rsidRPr="00B555DB" w:rsidRDefault="00A84A18" w:rsidP="00A75514">
      <w:pPr>
        <w:pStyle w:val="NormalWeb"/>
        <w:spacing w:line="480" w:lineRule="auto"/>
        <w:ind w:firstLine="360"/>
        <w:jc w:val="both"/>
        <w:rPr>
          <w:rFonts w:ascii="Book Antiqua" w:hAnsi="Book Antiqua"/>
          <w:lang w:val="es-PR"/>
        </w:rPr>
      </w:pPr>
      <w:r w:rsidRPr="00B555DB">
        <w:rPr>
          <w:rFonts w:ascii="Book Antiqua" w:hAnsi="Book Antiqua"/>
          <w:lang w:val="es-PR"/>
        </w:rPr>
        <w:t>Sección</w:t>
      </w:r>
      <w:r w:rsidR="00360BD6" w:rsidRPr="00B555DB">
        <w:rPr>
          <w:rFonts w:ascii="Book Antiqua" w:hAnsi="Book Antiqua"/>
          <w:lang w:val="es-PR"/>
        </w:rPr>
        <w:t xml:space="preserve"> </w:t>
      </w:r>
      <w:r w:rsidR="00BF14F2" w:rsidRPr="00B555DB">
        <w:rPr>
          <w:rFonts w:ascii="Book Antiqua" w:hAnsi="Book Antiqua"/>
          <w:lang w:val="es-PR"/>
        </w:rPr>
        <w:t>2</w:t>
      </w:r>
      <w:r w:rsidR="006C36D8" w:rsidRPr="00B555DB">
        <w:rPr>
          <w:rFonts w:ascii="Book Antiqua" w:hAnsi="Book Antiqua"/>
          <w:spacing w:val="-3"/>
          <w:lang w:val="es-PR"/>
        </w:rPr>
        <w:t xml:space="preserve">.- </w:t>
      </w:r>
      <w:r w:rsidRPr="00B555DB">
        <w:rPr>
          <w:rFonts w:ascii="Book Antiqua" w:hAnsi="Book Antiqua"/>
          <w:lang w:val="es-PR"/>
        </w:rPr>
        <w:t>Se enmienda la cláusula (b) del apartado (1) del Artículo 185 de la Ley Núm. 210 de 17 de diciembre de 2015, según enmendada, para que lea como sigue:</w:t>
      </w:r>
    </w:p>
    <w:p w14:paraId="4F3A63F5" w14:textId="77777777" w:rsidR="0064275B" w:rsidRPr="00A75514" w:rsidRDefault="0064275B" w:rsidP="00A75514">
      <w:pPr>
        <w:pStyle w:val="NormalWeb"/>
        <w:spacing w:line="480" w:lineRule="auto"/>
        <w:ind w:firstLine="360"/>
        <w:jc w:val="both"/>
        <w:rPr>
          <w:rFonts w:ascii="Book Antiqua" w:hAnsi="Book Antiqua"/>
          <w:b/>
          <w:bCs/>
          <w:lang w:val="es-PR"/>
        </w:rPr>
      </w:pPr>
      <w:r w:rsidRPr="00A75514">
        <w:rPr>
          <w:rStyle w:val="Strong"/>
          <w:rFonts w:ascii="Book Antiqua" w:hAnsi="Book Antiqua"/>
          <w:b w:val="0"/>
          <w:bCs w:val="0"/>
          <w:lang w:val="es-PR"/>
        </w:rPr>
        <w:t>Artículo 185. — Requisitos para la presentación de la petición de apertura de juicio de dominio.</w:t>
      </w:r>
    </w:p>
    <w:p w14:paraId="0E19A059" w14:textId="77777777" w:rsidR="0064275B" w:rsidRPr="00B555DB" w:rsidRDefault="0064275B" w:rsidP="00A75514">
      <w:pPr>
        <w:pStyle w:val="NormalWeb"/>
        <w:spacing w:line="480" w:lineRule="auto"/>
        <w:ind w:firstLine="360"/>
        <w:jc w:val="both"/>
        <w:rPr>
          <w:rFonts w:ascii="Book Antiqua" w:hAnsi="Book Antiqua"/>
          <w:lang w:val="es-PR"/>
        </w:rPr>
      </w:pPr>
      <w:r w:rsidRPr="00B555DB">
        <w:rPr>
          <w:rFonts w:ascii="Book Antiqua" w:hAnsi="Book Antiqua"/>
          <w:lang w:val="es-PR"/>
        </w:rPr>
        <w:lastRenderedPageBreak/>
        <w:t>La petición de apertura de juicio de dominio deberá presentarse por escrito y contener:</w:t>
      </w:r>
    </w:p>
    <w:p w14:paraId="082930DB" w14:textId="77777777" w:rsidR="0064275B" w:rsidRPr="00B555DB" w:rsidRDefault="0064275B" w:rsidP="00A75514">
      <w:pPr>
        <w:pStyle w:val="NormalWeb"/>
        <w:spacing w:line="480" w:lineRule="auto"/>
        <w:ind w:firstLine="360"/>
        <w:jc w:val="both"/>
        <w:rPr>
          <w:rFonts w:ascii="Book Antiqua" w:hAnsi="Book Antiqua"/>
          <w:lang w:val="es-PR"/>
        </w:rPr>
      </w:pPr>
      <w:r w:rsidRPr="00B555DB">
        <w:rPr>
          <w:rFonts w:ascii="Book Antiqua" w:hAnsi="Book Antiqua"/>
          <w:lang w:val="es-PR"/>
        </w:rPr>
        <w:t>(1) Los siguientes requisitos:</w:t>
      </w:r>
    </w:p>
    <w:p w14:paraId="2F43EFB7" w14:textId="77777777" w:rsidR="0064275B" w:rsidRPr="00B555DB" w:rsidRDefault="0064275B" w:rsidP="00A75514">
      <w:pPr>
        <w:pStyle w:val="NormalWeb"/>
        <w:spacing w:line="480" w:lineRule="auto"/>
        <w:ind w:firstLine="360"/>
        <w:jc w:val="both"/>
        <w:rPr>
          <w:rFonts w:ascii="Book Antiqua" w:hAnsi="Book Antiqua"/>
          <w:lang w:val="es-PR"/>
        </w:rPr>
      </w:pPr>
      <w:r w:rsidRPr="00B555DB">
        <w:rPr>
          <w:rFonts w:ascii="Book Antiqua" w:hAnsi="Book Antiqua"/>
          <w:lang w:val="es-PR"/>
        </w:rPr>
        <w:t>[...]</w:t>
      </w:r>
    </w:p>
    <w:p w14:paraId="582BCEEF" w14:textId="77777777" w:rsidR="00A75514" w:rsidRDefault="0064275B" w:rsidP="00A75514">
      <w:pPr>
        <w:pStyle w:val="NormalWeb"/>
        <w:spacing w:line="480" w:lineRule="auto"/>
        <w:ind w:firstLine="360"/>
        <w:jc w:val="both"/>
        <w:rPr>
          <w:rStyle w:val="Strong"/>
          <w:rFonts w:ascii="Book Antiqua" w:hAnsi="Book Antiqua"/>
          <w:b w:val="0"/>
          <w:bCs w:val="0"/>
          <w:i/>
          <w:iCs/>
          <w:lang w:val="es-PR"/>
        </w:rPr>
      </w:pPr>
      <w:r w:rsidRPr="00B555DB">
        <w:rPr>
          <w:rFonts w:ascii="Book Antiqua" w:hAnsi="Book Antiqua"/>
          <w:lang w:val="es-PR"/>
        </w:rPr>
        <w:t xml:space="preserve">b. La descripción exacta de la propiedad con sus colindancias y cabida de acuerdo a los títulos presentados. De haberse practicado alguna mensura, deberá contener la cabida y colindancias que hayan resultado de la misma. Si la finca se formó por agrupación, deberán además, describirse individualmente las fincas que la integraron, y si fue por segregación se describirá la finca principal de la cual se separó. </w:t>
      </w:r>
      <w:r w:rsidRPr="00A75514">
        <w:rPr>
          <w:rStyle w:val="Strong"/>
          <w:rFonts w:ascii="Book Antiqua" w:hAnsi="Book Antiqua"/>
          <w:b w:val="0"/>
          <w:bCs w:val="0"/>
          <w:i/>
          <w:iCs/>
          <w:lang w:val="es-PR"/>
        </w:rPr>
        <w:t>No procederá exigir Certificación Jurada de Mensura expedida por agrimensor licenciado cuando el promovente alegue carecer de título inscrito y de la petición jurada y prueba presentada surja alguna mensura que conste la cabida y colindancias en el sistema métrico decimal. La verificación de estos elementos se efectuará exclusivamente con la prueba aportada en el expediente.</w:t>
      </w:r>
    </w:p>
    <w:p w14:paraId="07865342" w14:textId="1B4C4626" w:rsidR="00CF01DD" w:rsidRPr="00A75514" w:rsidRDefault="00A84A18" w:rsidP="00A75514">
      <w:pPr>
        <w:pStyle w:val="NormalWeb"/>
        <w:spacing w:line="480" w:lineRule="auto"/>
        <w:ind w:firstLine="360"/>
        <w:jc w:val="both"/>
        <w:rPr>
          <w:rFonts w:ascii="Book Antiqua" w:hAnsi="Book Antiqua"/>
          <w:b/>
          <w:bCs/>
          <w:i/>
          <w:iCs/>
          <w:lang w:val="es-PR"/>
        </w:rPr>
      </w:pPr>
      <w:r w:rsidRPr="00B555DB">
        <w:rPr>
          <w:rFonts w:ascii="Book Antiqua" w:hAnsi="Book Antiqua"/>
          <w:spacing w:val="-3"/>
          <w:lang w:val="es-PR"/>
        </w:rPr>
        <w:t xml:space="preserve">Sección 3. </w:t>
      </w:r>
      <w:r w:rsidR="00CF01DD" w:rsidRPr="00B555DB">
        <w:rPr>
          <w:rFonts w:ascii="Book Antiqua" w:hAnsi="Book Antiqua"/>
          <w:spacing w:val="-3"/>
          <w:lang w:val="es-PR"/>
        </w:rPr>
        <w:t>–</w:t>
      </w:r>
      <w:r w:rsidRPr="00B555DB">
        <w:rPr>
          <w:rFonts w:ascii="Book Antiqua" w:hAnsi="Book Antiqua"/>
          <w:spacing w:val="-3"/>
          <w:lang w:val="es-PR"/>
        </w:rPr>
        <w:t xml:space="preserve"> </w:t>
      </w:r>
      <w:r w:rsidR="00CF01DD" w:rsidRPr="00B555DB">
        <w:rPr>
          <w:rFonts w:ascii="Book Antiqua" w:hAnsi="Book Antiqua"/>
          <w:spacing w:val="-3"/>
          <w:lang w:val="es-PR"/>
        </w:rPr>
        <w:t>Se enmienda la cláusula (i) del apartado (1) del Artículo 185 de la Ley Núm. 210 de 17 de diciembre de 2015, según enmendada, para que lea como sigue:</w:t>
      </w:r>
    </w:p>
    <w:p w14:paraId="7CB921CF" w14:textId="77777777" w:rsidR="00B555DB" w:rsidRPr="007D30AE" w:rsidRDefault="00B555DB" w:rsidP="00A75514">
      <w:pPr>
        <w:pStyle w:val="NormalWeb"/>
        <w:spacing w:line="480" w:lineRule="auto"/>
        <w:ind w:firstLine="360"/>
        <w:jc w:val="both"/>
        <w:rPr>
          <w:rFonts w:ascii="Book Antiqua" w:hAnsi="Book Antiqua"/>
          <w:i/>
          <w:iCs/>
          <w:lang w:val="es-PR"/>
        </w:rPr>
      </w:pPr>
      <w:r w:rsidRPr="00B555DB">
        <w:rPr>
          <w:rFonts w:ascii="Book Antiqua" w:hAnsi="Book Antiqua"/>
          <w:lang w:val="es-PR"/>
        </w:rPr>
        <w:t xml:space="preserve">i. El hecho de que la finca, o en caso de agrupación, las que la componen, mantuvieron la misma cabida y configuración durante los términos que disponen los Artículos 788 y 795 del Código Civil de 2020 para que operen los efectos de la prescripción adquisitiva. Si la finca resulta ser una segregación de una finca de mayor cabida que consta inscrita, la segregación tiene que haber sido aprobada por la agencia gubernamental correspondiente mediante plano de inscripción. No constituirá justo título a los efectos de este Artículo, un título de dominio sobre una porción pro indivisa en una finca no </w:t>
      </w:r>
      <w:r w:rsidRPr="00B555DB">
        <w:rPr>
          <w:rFonts w:ascii="Book Antiqua" w:hAnsi="Book Antiqua"/>
          <w:lang w:val="es-PR"/>
        </w:rPr>
        <w:lastRenderedPageBreak/>
        <w:t xml:space="preserve">segregada, ni el título que recae sobre una finca segregada de una finca inscrita en el registro. </w:t>
      </w:r>
      <w:r w:rsidRPr="007D30AE">
        <w:rPr>
          <w:rFonts w:ascii="Book Antiqua" w:hAnsi="Book Antiqua"/>
          <w:i/>
          <w:iCs/>
          <w:lang w:val="es-PR"/>
        </w:rPr>
        <w:t>Resulta taxativamente improcedente que el Tribunal de Primera Instancia exija Certificación Jurada de Mensura expedida por agrimensor licenciado para acreditar esta estabilidad de cabida y configuración cuando: (1) el promovente haya alegado carecer de título inscrito; y (2) de la petición jurada y la prueba presentada surja alguna mensura que haga constar la cabida y las colindancias en el sistema métrico decimal. En tales casos, cualquier discrepancia posterior podrá subsanarse mediante procedimiento ordinario de rectificación de cabida o deslinde judicial, sin que ello afecte la validez de la inmatriculación ordenada.”</w:t>
      </w:r>
    </w:p>
    <w:p w14:paraId="1CE49DD7" w14:textId="165C3170" w:rsidR="00360BD6" w:rsidRPr="00B555DB" w:rsidRDefault="00B555DB" w:rsidP="007D30AE">
      <w:pPr>
        <w:spacing w:line="480" w:lineRule="auto"/>
        <w:ind w:firstLine="360"/>
        <w:jc w:val="both"/>
        <w:rPr>
          <w:rFonts w:ascii="Book Antiqua" w:hAnsi="Book Antiqua"/>
          <w:spacing w:val="-3"/>
          <w:szCs w:val="24"/>
          <w:lang w:val="es-PR"/>
        </w:rPr>
      </w:pPr>
      <w:r w:rsidRPr="00B555DB">
        <w:rPr>
          <w:rFonts w:ascii="Book Antiqua" w:hAnsi="Book Antiqua"/>
          <w:spacing w:val="-3"/>
          <w:szCs w:val="24"/>
          <w:lang w:val="es-PR"/>
        </w:rPr>
        <w:t xml:space="preserve">Sección 4. - </w:t>
      </w:r>
      <w:r w:rsidR="00D65366" w:rsidRPr="00B555DB">
        <w:rPr>
          <w:rFonts w:ascii="Book Antiqua" w:hAnsi="Book Antiqua"/>
          <w:spacing w:val="-3"/>
          <w:szCs w:val="24"/>
          <w:lang w:val="es-PR"/>
        </w:rPr>
        <w:t>Cláusula</w:t>
      </w:r>
      <w:r w:rsidR="00360BD6" w:rsidRPr="00B555DB">
        <w:rPr>
          <w:rFonts w:ascii="Book Antiqua" w:hAnsi="Book Antiqua"/>
          <w:spacing w:val="-3"/>
          <w:szCs w:val="24"/>
          <w:lang w:val="es-PR"/>
        </w:rPr>
        <w:t xml:space="preserve"> de Separabilidad.</w:t>
      </w:r>
    </w:p>
    <w:p w14:paraId="23F0AA64" w14:textId="0D6969CD" w:rsidR="00BB5099" w:rsidRPr="00B555DB" w:rsidRDefault="006C36D8" w:rsidP="00FD6FC0">
      <w:pPr>
        <w:spacing w:line="480" w:lineRule="auto"/>
        <w:ind w:firstLine="360"/>
        <w:jc w:val="both"/>
        <w:rPr>
          <w:rFonts w:ascii="Book Antiqua" w:hAnsi="Book Antiqua"/>
          <w:spacing w:val="-3"/>
          <w:szCs w:val="24"/>
          <w:lang w:val="es-PR"/>
        </w:rPr>
      </w:pPr>
      <w:r w:rsidRPr="00B555DB">
        <w:rPr>
          <w:rFonts w:ascii="Book Antiqua" w:hAnsi="Book Antiqua"/>
          <w:spacing w:val="-3"/>
          <w:szCs w:val="24"/>
          <w:lang w:val="es-PR"/>
        </w:rPr>
        <w:t>Si cualquier disposición de esta Ley fuera declarada inconstitucional, nula o inválida por un tribunal competente, dicha declaración no afectará las demás disposiciones de esta Ley, las cuales continuarán en pleno vigor y efecto.</w:t>
      </w:r>
    </w:p>
    <w:p w14:paraId="7864CD36" w14:textId="6CBB88AD" w:rsidR="00BB5099" w:rsidRPr="00B555DB" w:rsidRDefault="00A84A18" w:rsidP="00FD6FC0">
      <w:pPr>
        <w:spacing w:line="480" w:lineRule="auto"/>
        <w:ind w:firstLine="360"/>
        <w:jc w:val="both"/>
        <w:rPr>
          <w:rFonts w:ascii="Book Antiqua" w:hAnsi="Book Antiqua"/>
          <w:spacing w:val="-3"/>
          <w:szCs w:val="24"/>
          <w:lang w:val="es-PR"/>
        </w:rPr>
      </w:pPr>
      <w:r w:rsidRPr="00B555DB">
        <w:rPr>
          <w:rFonts w:ascii="Book Antiqua" w:hAnsi="Book Antiqua"/>
          <w:szCs w:val="24"/>
          <w:lang w:val="es-PR"/>
        </w:rPr>
        <w:t xml:space="preserve">Sección </w:t>
      </w:r>
      <w:r w:rsidR="00B555DB" w:rsidRPr="00B555DB">
        <w:rPr>
          <w:rFonts w:ascii="Book Antiqua" w:hAnsi="Book Antiqua"/>
          <w:szCs w:val="24"/>
          <w:lang w:val="es-PR"/>
        </w:rPr>
        <w:t>5</w:t>
      </w:r>
      <w:r w:rsidR="002206E3" w:rsidRPr="00B555DB">
        <w:rPr>
          <w:rFonts w:ascii="Book Antiqua" w:hAnsi="Book Antiqua"/>
          <w:spacing w:val="-3"/>
          <w:szCs w:val="24"/>
          <w:lang w:val="es-PR"/>
        </w:rPr>
        <w:t xml:space="preserve">.- </w:t>
      </w:r>
      <w:r w:rsidR="00BB5099" w:rsidRPr="00B555DB">
        <w:rPr>
          <w:rFonts w:ascii="Book Antiqua" w:hAnsi="Book Antiqua"/>
          <w:spacing w:val="-3"/>
          <w:szCs w:val="24"/>
          <w:lang w:val="es-PR"/>
        </w:rPr>
        <w:t xml:space="preserve">Vigencia. </w:t>
      </w:r>
    </w:p>
    <w:p w14:paraId="406D960D" w14:textId="32C5B687" w:rsidR="004440CB" w:rsidRPr="005C5219" w:rsidRDefault="00061539" w:rsidP="005C5219">
      <w:pPr>
        <w:pStyle w:val="NormalWeb"/>
        <w:spacing w:line="480" w:lineRule="auto"/>
        <w:ind w:firstLine="360"/>
        <w:jc w:val="both"/>
        <w:divId w:val="820653648"/>
        <w:rPr>
          <w:rFonts w:ascii="Book Antiqua" w:hAnsi="Book Antiqua"/>
          <w:lang w:val="es-PR"/>
        </w:rPr>
      </w:pPr>
      <w:r w:rsidRPr="00B555DB">
        <w:rPr>
          <w:rFonts w:ascii="Book Antiqua" w:hAnsi="Book Antiqua"/>
          <w:lang w:val="es-PR"/>
        </w:rPr>
        <w:t xml:space="preserve">Esta Ley comenzará a regir </w:t>
      </w:r>
      <w:r w:rsidR="00A84A18" w:rsidRPr="00B555DB">
        <w:rPr>
          <w:rFonts w:ascii="Book Antiqua" w:hAnsi="Book Antiqua"/>
          <w:lang w:val="es-PR"/>
        </w:rPr>
        <w:t xml:space="preserve">inmediatamente después de su </w:t>
      </w:r>
      <w:r w:rsidR="00FD6FC0" w:rsidRPr="00B555DB">
        <w:rPr>
          <w:rFonts w:ascii="Book Antiqua" w:hAnsi="Book Antiqua"/>
          <w:lang w:val="es-PR"/>
        </w:rPr>
        <w:t>aprobación</w:t>
      </w:r>
      <w:r w:rsidR="00A84A18" w:rsidRPr="00B555DB">
        <w:rPr>
          <w:rFonts w:ascii="Book Antiqua" w:hAnsi="Book Antiqua"/>
          <w:lang w:val="es-PR"/>
        </w:rPr>
        <w:t>.</w:t>
      </w:r>
    </w:p>
    <w:sectPr w:rsidR="004440CB" w:rsidRPr="005C5219" w:rsidSect="0025618A">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8C3E5E" w14:textId="77777777" w:rsidR="00577CFC" w:rsidRDefault="00577CFC">
      <w:r>
        <w:separator/>
      </w:r>
    </w:p>
  </w:endnote>
  <w:endnote w:type="continuationSeparator" w:id="0">
    <w:p w14:paraId="276C302B" w14:textId="77777777" w:rsidR="00577CFC" w:rsidRDefault="00577C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ACF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994CCB" w14:textId="77777777" w:rsidR="00577CFC" w:rsidRDefault="00577CFC">
      <w:r>
        <w:separator/>
      </w:r>
    </w:p>
  </w:footnote>
  <w:footnote w:type="continuationSeparator" w:id="0">
    <w:p w14:paraId="13DABF7C" w14:textId="77777777" w:rsidR="00577CFC" w:rsidRDefault="00577C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688FF8" w14:textId="77777777" w:rsidR="00B1119F" w:rsidRDefault="00B1119F">
    <w:pPr>
      <w:pStyle w:val="Header"/>
      <w:jc w:val="center"/>
    </w:pPr>
    <w:r>
      <w:rPr>
        <w:rStyle w:val="PageNumber"/>
      </w:rPr>
      <w:fldChar w:fldCharType="begin"/>
    </w:r>
    <w:r>
      <w:rPr>
        <w:rStyle w:val="PageNumber"/>
      </w:rPr>
      <w:instrText xml:space="preserve"> PAGE </w:instrText>
    </w:r>
    <w:r>
      <w:rPr>
        <w:rStyle w:val="PageNumber"/>
      </w:rPr>
      <w:fldChar w:fldCharType="separate"/>
    </w:r>
    <w:r w:rsidR="004117FC">
      <w:rPr>
        <w:rStyle w:val="PageNumber"/>
        <w:noProof/>
      </w:rPr>
      <w:t>8</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271F4"/>
    <w:multiLevelType w:val="hybridMultilevel"/>
    <w:tmpl w:val="C916E8E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1F42B5A"/>
    <w:multiLevelType w:val="hybridMultilevel"/>
    <w:tmpl w:val="A61E42DE"/>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5CF7308"/>
    <w:multiLevelType w:val="hybridMultilevel"/>
    <w:tmpl w:val="1AE2AE3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F107C1"/>
    <w:multiLevelType w:val="hybridMultilevel"/>
    <w:tmpl w:val="196EFAC0"/>
    <w:lvl w:ilvl="0" w:tplc="05D28C0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F449FB"/>
    <w:multiLevelType w:val="hybridMultilevel"/>
    <w:tmpl w:val="FF701DBC"/>
    <w:lvl w:ilvl="0" w:tplc="FFFFFFFF">
      <w:start w:val="1"/>
      <w:numFmt w:val="lowerLetter"/>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C610F0F"/>
    <w:multiLevelType w:val="hybridMultilevel"/>
    <w:tmpl w:val="B86C7B18"/>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C7A447A"/>
    <w:multiLevelType w:val="hybridMultilevel"/>
    <w:tmpl w:val="55B8CBD8"/>
    <w:lvl w:ilvl="0" w:tplc="FFFFFFFF">
      <w:start w:val="1"/>
      <w:numFmt w:val="lowerLetter"/>
      <w:lvlText w:val="%1)"/>
      <w:lvlJc w:val="left"/>
      <w:pPr>
        <w:ind w:left="1080" w:hanging="360"/>
      </w:pPr>
      <w:rPr>
        <w:rFonts w:ascii="Times New Roman" w:hAnsi="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F875F2E"/>
    <w:multiLevelType w:val="hybridMultilevel"/>
    <w:tmpl w:val="5FCCAF4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29A61BF"/>
    <w:multiLevelType w:val="hybridMultilevel"/>
    <w:tmpl w:val="70D8996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3606EAB"/>
    <w:multiLevelType w:val="hybridMultilevel"/>
    <w:tmpl w:val="C8AE468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4257824"/>
    <w:multiLevelType w:val="hybridMultilevel"/>
    <w:tmpl w:val="B2EEC798"/>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156506AE"/>
    <w:multiLevelType w:val="hybridMultilevel"/>
    <w:tmpl w:val="4F2E0B7A"/>
    <w:lvl w:ilvl="0" w:tplc="FFFFFFF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7E73DA4"/>
    <w:multiLevelType w:val="hybridMultilevel"/>
    <w:tmpl w:val="410A746C"/>
    <w:lvl w:ilvl="0" w:tplc="3520954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D462F1C"/>
    <w:multiLevelType w:val="hybridMultilevel"/>
    <w:tmpl w:val="84F095A6"/>
    <w:lvl w:ilvl="0" w:tplc="D4984A4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D93424B"/>
    <w:multiLevelType w:val="hybridMultilevel"/>
    <w:tmpl w:val="14FAFF8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1E293512"/>
    <w:multiLevelType w:val="hybridMultilevel"/>
    <w:tmpl w:val="51A81D1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63F6967"/>
    <w:multiLevelType w:val="hybridMultilevel"/>
    <w:tmpl w:val="9B628DA4"/>
    <w:lvl w:ilvl="0" w:tplc="FFFFFFFF">
      <w:start w:val="1"/>
      <w:numFmt w:val="lowerLetter"/>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E7E4665"/>
    <w:multiLevelType w:val="hybridMultilevel"/>
    <w:tmpl w:val="52F860F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0586786"/>
    <w:multiLevelType w:val="hybridMultilevel"/>
    <w:tmpl w:val="9AD6927C"/>
    <w:lvl w:ilvl="0" w:tplc="FFFFFFFF">
      <w:start w:val="1"/>
      <w:numFmt w:val="decimal"/>
      <w:lvlText w:val="%1."/>
      <w:lvlJc w:val="left"/>
      <w:pPr>
        <w:ind w:left="720" w:hanging="360"/>
      </w:pPr>
      <w:rPr>
        <w:rFonts w:ascii="Times New Roman" w:hAnsi="Times New Roman"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6970C9A"/>
    <w:multiLevelType w:val="hybridMultilevel"/>
    <w:tmpl w:val="1F5C771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375572B2"/>
    <w:multiLevelType w:val="hybridMultilevel"/>
    <w:tmpl w:val="6404541E"/>
    <w:lvl w:ilvl="0" w:tplc="FFFFFFF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7684564"/>
    <w:multiLevelType w:val="hybridMultilevel"/>
    <w:tmpl w:val="C24EB67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3C49727A"/>
    <w:multiLevelType w:val="hybridMultilevel"/>
    <w:tmpl w:val="FA7AB46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3D1D3B05"/>
    <w:multiLevelType w:val="hybridMultilevel"/>
    <w:tmpl w:val="C934608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3E1441E7"/>
    <w:multiLevelType w:val="hybridMultilevel"/>
    <w:tmpl w:val="1512D7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6265150"/>
    <w:multiLevelType w:val="hybridMultilevel"/>
    <w:tmpl w:val="FB162D2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0D3206"/>
    <w:multiLevelType w:val="hybridMultilevel"/>
    <w:tmpl w:val="87B81BD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97D782C"/>
    <w:multiLevelType w:val="hybridMultilevel"/>
    <w:tmpl w:val="61D0DC82"/>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0EB135D"/>
    <w:multiLevelType w:val="hybridMultilevel"/>
    <w:tmpl w:val="6FF2FC80"/>
    <w:lvl w:ilvl="0" w:tplc="FFFFFFF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1904F9B"/>
    <w:multiLevelType w:val="hybridMultilevel"/>
    <w:tmpl w:val="55AABD6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522343ED"/>
    <w:multiLevelType w:val="hybridMultilevel"/>
    <w:tmpl w:val="07A0D7D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4BF5C23"/>
    <w:multiLevelType w:val="hybridMultilevel"/>
    <w:tmpl w:val="431AC55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6640F04"/>
    <w:multiLevelType w:val="hybridMultilevel"/>
    <w:tmpl w:val="94F275E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5A355E3F"/>
    <w:multiLevelType w:val="hybridMultilevel"/>
    <w:tmpl w:val="CFD49EF0"/>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60A5640A"/>
    <w:multiLevelType w:val="hybridMultilevel"/>
    <w:tmpl w:val="1C6CCF3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60CF25D1"/>
    <w:multiLevelType w:val="hybridMultilevel"/>
    <w:tmpl w:val="0422F15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30C027E"/>
    <w:multiLevelType w:val="hybridMultilevel"/>
    <w:tmpl w:val="F8B4C9A6"/>
    <w:lvl w:ilvl="0" w:tplc="FFFFFFFF">
      <w:start w:val="1"/>
      <w:numFmt w:val="decimal"/>
      <w:lvlText w:val="%1."/>
      <w:lvlJc w:val="left"/>
      <w:pPr>
        <w:ind w:left="1080" w:hanging="360"/>
      </w:pPr>
      <w:rPr>
        <w:rFonts w:ascii="Times New Roman" w:hAnsi="Times New Roman"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63225CCA"/>
    <w:multiLevelType w:val="hybridMultilevel"/>
    <w:tmpl w:val="D70EEE8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634804A6"/>
    <w:multiLevelType w:val="hybridMultilevel"/>
    <w:tmpl w:val="E3CEED4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67A608B0"/>
    <w:multiLevelType w:val="hybridMultilevel"/>
    <w:tmpl w:val="DDAE0588"/>
    <w:lvl w:ilvl="0" w:tplc="FFFFFFF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B6D7F50"/>
    <w:multiLevelType w:val="multilevel"/>
    <w:tmpl w:val="FFFFFFFF"/>
    <w:lvl w:ilvl="0">
      <w:start w:val="2"/>
      <w:numFmt w:val="decimal"/>
      <w:lvlText w:val="%1."/>
      <w:lvlJc w:val="left"/>
      <w:pPr>
        <w:tabs>
          <w:tab w:val="num" w:pos="1080"/>
        </w:tabs>
        <w:ind w:left="1080" w:hanging="360"/>
      </w:p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41" w15:restartNumberingAfterBreak="0">
    <w:nsid w:val="6C012DE4"/>
    <w:multiLevelType w:val="hybridMultilevel"/>
    <w:tmpl w:val="8166A81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6D6B6D9D"/>
    <w:multiLevelType w:val="hybridMultilevel"/>
    <w:tmpl w:val="D4FC4FF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74A3598B"/>
    <w:multiLevelType w:val="hybridMultilevel"/>
    <w:tmpl w:val="EC9CE1A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15:restartNumberingAfterBreak="0">
    <w:nsid w:val="75731D70"/>
    <w:multiLevelType w:val="hybridMultilevel"/>
    <w:tmpl w:val="05A85B1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15:restartNumberingAfterBreak="0">
    <w:nsid w:val="7DEA54A8"/>
    <w:multiLevelType w:val="hybridMultilevel"/>
    <w:tmpl w:val="F5FEB82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33966249">
    <w:abstractNumId w:val="8"/>
  </w:num>
  <w:num w:numId="2" w16cid:durableId="1414276131">
    <w:abstractNumId w:val="12"/>
  </w:num>
  <w:num w:numId="3" w16cid:durableId="295333388">
    <w:abstractNumId w:val="3"/>
  </w:num>
  <w:num w:numId="4" w16cid:durableId="1035276381">
    <w:abstractNumId w:val="38"/>
  </w:num>
  <w:num w:numId="5" w16cid:durableId="577401605">
    <w:abstractNumId w:val="32"/>
  </w:num>
  <w:num w:numId="6" w16cid:durableId="690423038">
    <w:abstractNumId w:val="22"/>
  </w:num>
  <w:num w:numId="7" w16cid:durableId="354580874">
    <w:abstractNumId w:val="41"/>
  </w:num>
  <w:num w:numId="8" w16cid:durableId="782530432">
    <w:abstractNumId w:val="21"/>
  </w:num>
  <w:num w:numId="9" w16cid:durableId="1636059236">
    <w:abstractNumId w:val="37"/>
  </w:num>
  <w:num w:numId="10" w16cid:durableId="1924996564">
    <w:abstractNumId w:val="44"/>
  </w:num>
  <w:num w:numId="11" w16cid:durableId="1423254503">
    <w:abstractNumId w:val="14"/>
  </w:num>
  <w:num w:numId="12" w16cid:durableId="1372459587">
    <w:abstractNumId w:val="23"/>
  </w:num>
  <w:num w:numId="13" w16cid:durableId="1745495407">
    <w:abstractNumId w:val="33"/>
  </w:num>
  <w:num w:numId="14" w16cid:durableId="2125994539">
    <w:abstractNumId w:val="15"/>
  </w:num>
  <w:num w:numId="15" w16cid:durableId="1301962837">
    <w:abstractNumId w:val="34"/>
  </w:num>
  <w:num w:numId="16" w16cid:durableId="1277714500">
    <w:abstractNumId w:val="29"/>
  </w:num>
  <w:num w:numId="17" w16cid:durableId="165676928">
    <w:abstractNumId w:val="42"/>
  </w:num>
  <w:num w:numId="18" w16cid:durableId="1198471232">
    <w:abstractNumId w:val="19"/>
  </w:num>
  <w:num w:numId="19" w16cid:durableId="608318521">
    <w:abstractNumId w:val="24"/>
  </w:num>
  <w:num w:numId="20" w16cid:durableId="390351189">
    <w:abstractNumId w:val="7"/>
  </w:num>
  <w:num w:numId="21" w16cid:durableId="1755662874">
    <w:abstractNumId w:val="1"/>
  </w:num>
  <w:num w:numId="22" w16cid:durableId="1725446384">
    <w:abstractNumId w:val="5"/>
  </w:num>
  <w:num w:numId="23" w16cid:durableId="1903249987">
    <w:abstractNumId w:val="11"/>
  </w:num>
  <w:num w:numId="24" w16cid:durableId="1322928102">
    <w:abstractNumId w:val="36"/>
  </w:num>
  <w:num w:numId="25" w16cid:durableId="182980968">
    <w:abstractNumId w:val="39"/>
  </w:num>
  <w:num w:numId="26" w16cid:durableId="438991848">
    <w:abstractNumId w:val="28"/>
  </w:num>
  <w:num w:numId="27" w16cid:durableId="984700002">
    <w:abstractNumId w:val="2"/>
  </w:num>
  <w:num w:numId="28" w16cid:durableId="122968854">
    <w:abstractNumId w:val="31"/>
  </w:num>
  <w:num w:numId="29" w16cid:durableId="2116631758">
    <w:abstractNumId w:val="45"/>
  </w:num>
  <w:num w:numId="30" w16cid:durableId="1030305821">
    <w:abstractNumId w:val="25"/>
  </w:num>
  <w:num w:numId="31" w16cid:durableId="250897778">
    <w:abstractNumId w:val="35"/>
  </w:num>
  <w:num w:numId="32" w16cid:durableId="1231694464">
    <w:abstractNumId w:val="17"/>
  </w:num>
  <w:num w:numId="33" w16cid:durableId="1630669016">
    <w:abstractNumId w:val="9"/>
  </w:num>
  <w:num w:numId="34" w16cid:durableId="411703063">
    <w:abstractNumId w:val="30"/>
  </w:num>
  <w:num w:numId="35" w16cid:durableId="1220701045">
    <w:abstractNumId w:val="26"/>
  </w:num>
  <w:num w:numId="36" w16cid:durableId="1760373807">
    <w:abstractNumId w:val="20"/>
  </w:num>
  <w:num w:numId="37" w16cid:durableId="1565137492">
    <w:abstractNumId w:val="18"/>
  </w:num>
  <w:num w:numId="38" w16cid:durableId="1455783447">
    <w:abstractNumId w:val="10"/>
  </w:num>
  <w:num w:numId="39" w16cid:durableId="1510833509">
    <w:abstractNumId w:val="16"/>
  </w:num>
  <w:num w:numId="40" w16cid:durableId="1642540911">
    <w:abstractNumId w:val="4"/>
  </w:num>
  <w:num w:numId="41" w16cid:durableId="1202476375">
    <w:abstractNumId w:val="6"/>
  </w:num>
  <w:num w:numId="42" w16cid:durableId="1247959002">
    <w:abstractNumId w:val="0"/>
  </w:num>
  <w:num w:numId="43" w16cid:durableId="1326056317">
    <w:abstractNumId w:val="43"/>
  </w:num>
  <w:num w:numId="44" w16cid:durableId="121388338">
    <w:abstractNumId w:val="13"/>
  </w:num>
  <w:num w:numId="45" w16cid:durableId="1869563505">
    <w:abstractNumId w:val="27"/>
  </w:num>
  <w:num w:numId="46" w16cid:durableId="1741515253">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40CB"/>
    <w:rsid w:val="000029E2"/>
    <w:rsid w:val="000069DE"/>
    <w:rsid w:val="0000702B"/>
    <w:rsid w:val="00007D7C"/>
    <w:rsid w:val="00015708"/>
    <w:rsid w:val="00016153"/>
    <w:rsid w:val="00020902"/>
    <w:rsid w:val="00020F25"/>
    <w:rsid w:val="00025FD8"/>
    <w:rsid w:val="0003028F"/>
    <w:rsid w:val="00030A2A"/>
    <w:rsid w:val="000359C4"/>
    <w:rsid w:val="00037271"/>
    <w:rsid w:val="00061539"/>
    <w:rsid w:val="00062686"/>
    <w:rsid w:val="00063522"/>
    <w:rsid w:val="00066F33"/>
    <w:rsid w:val="000712DA"/>
    <w:rsid w:val="000845DE"/>
    <w:rsid w:val="000852C9"/>
    <w:rsid w:val="00086F51"/>
    <w:rsid w:val="00092A91"/>
    <w:rsid w:val="0009309C"/>
    <w:rsid w:val="0009350A"/>
    <w:rsid w:val="000964AF"/>
    <w:rsid w:val="00096F44"/>
    <w:rsid w:val="000A6686"/>
    <w:rsid w:val="000B07BE"/>
    <w:rsid w:val="000B565D"/>
    <w:rsid w:val="000B6173"/>
    <w:rsid w:val="000C1292"/>
    <w:rsid w:val="000C23BC"/>
    <w:rsid w:val="000D018D"/>
    <w:rsid w:val="000D0BD6"/>
    <w:rsid w:val="000D59AF"/>
    <w:rsid w:val="000E19C2"/>
    <w:rsid w:val="000E2356"/>
    <w:rsid w:val="000E4FAA"/>
    <w:rsid w:val="00102B7A"/>
    <w:rsid w:val="0011054D"/>
    <w:rsid w:val="0011217B"/>
    <w:rsid w:val="00112295"/>
    <w:rsid w:val="001213CC"/>
    <w:rsid w:val="00123389"/>
    <w:rsid w:val="001335BB"/>
    <w:rsid w:val="001369AB"/>
    <w:rsid w:val="00137740"/>
    <w:rsid w:val="00145578"/>
    <w:rsid w:val="00146882"/>
    <w:rsid w:val="00151613"/>
    <w:rsid w:val="00161D58"/>
    <w:rsid w:val="00162FD8"/>
    <w:rsid w:val="001633B3"/>
    <w:rsid w:val="0016412B"/>
    <w:rsid w:val="00167557"/>
    <w:rsid w:val="0017507C"/>
    <w:rsid w:val="00181955"/>
    <w:rsid w:val="001833AA"/>
    <w:rsid w:val="001840BC"/>
    <w:rsid w:val="00184389"/>
    <w:rsid w:val="001870ED"/>
    <w:rsid w:val="001A23C1"/>
    <w:rsid w:val="001A45CD"/>
    <w:rsid w:val="001A786A"/>
    <w:rsid w:val="001B031F"/>
    <w:rsid w:val="001B0A8A"/>
    <w:rsid w:val="001B3A9E"/>
    <w:rsid w:val="001B7DFE"/>
    <w:rsid w:val="001C2024"/>
    <w:rsid w:val="001C2D50"/>
    <w:rsid w:val="001C48B1"/>
    <w:rsid w:val="001C7E0E"/>
    <w:rsid w:val="001D133A"/>
    <w:rsid w:val="001E0121"/>
    <w:rsid w:val="001E35BA"/>
    <w:rsid w:val="001E443E"/>
    <w:rsid w:val="001E5322"/>
    <w:rsid w:val="00201EF2"/>
    <w:rsid w:val="00204818"/>
    <w:rsid w:val="00204992"/>
    <w:rsid w:val="002064DA"/>
    <w:rsid w:val="00210857"/>
    <w:rsid w:val="00216293"/>
    <w:rsid w:val="002206E3"/>
    <w:rsid w:val="00222749"/>
    <w:rsid w:val="00222D0D"/>
    <w:rsid w:val="00223A68"/>
    <w:rsid w:val="002258F2"/>
    <w:rsid w:val="00230D46"/>
    <w:rsid w:val="00250BB6"/>
    <w:rsid w:val="0025618A"/>
    <w:rsid w:val="0025623F"/>
    <w:rsid w:val="0026049B"/>
    <w:rsid w:val="00260857"/>
    <w:rsid w:val="00266239"/>
    <w:rsid w:val="00270A5F"/>
    <w:rsid w:val="00273A10"/>
    <w:rsid w:val="002804E9"/>
    <w:rsid w:val="00280E92"/>
    <w:rsid w:val="00281004"/>
    <w:rsid w:val="002835B3"/>
    <w:rsid w:val="0028653A"/>
    <w:rsid w:val="00292E61"/>
    <w:rsid w:val="002A0E6C"/>
    <w:rsid w:val="002A1743"/>
    <w:rsid w:val="002A5929"/>
    <w:rsid w:val="002A678A"/>
    <w:rsid w:val="002A741A"/>
    <w:rsid w:val="002B081C"/>
    <w:rsid w:val="002B6A73"/>
    <w:rsid w:val="002C38E2"/>
    <w:rsid w:val="002C51F8"/>
    <w:rsid w:val="002C569D"/>
    <w:rsid w:val="002D1629"/>
    <w:rsid w:val="002D35E5"/>
    <w:rsid w:val="002D4AC8"/>
    <w:rsid w:val="002D6777"/>
    <w:rsid w:val="002D7C9F"/>
    <w:rsid w:val="002F2C02"/>
    <w:rsid w:val="002F323E"/>
    <w:rsid w:val="002F3741"/>
    <w:rsid w:val="002F70CC"/>
    <w:rsid w:val="00300932"/>
    <w:rsid w:val="003054D0"/>
    <w:rsid w:val="003058C7"/>
    <w:rsid w:val="00305E4E"/>
    <w:rsid w:val="00307743"/>
    <w:rsid w:val="003131B8"/>
    <w:rsid w:val="00321146"/>
    <w:rsid w:val="00330FAF"/>
    <w:rsid w:val="00333FD2"/>
    <w:rsid w:val="00341E54"/>
    <w:rsid w:val="00344352"/>
    <w:rsid w:val="00344670"/>
    <w:rsid w:val="0034543D"/>
    <w:rsid w:val="0034678D"/>
    <w:rsid w:val="00347725"/>
    <w:rsid w:val="00351F45"/>
    <w:rsid w:val="00353D3C"/>
    <w:rsid w:val="00354DC7"/>
    <w:rsid w:val="00360BD6"/>
    <w:rsid w:val="003636D6"/>
    <w:rsid w:val="003670BB"/>
    <w:rsid w:val="00391BBF"/>
    <w:rsid w:val="00392084"/>
    <w:rsid w:val="003924AD"/>
    <w:rsid w:val="0039489B"/>
    <w:rsid w:val="003A1631"/>
    <w:rsid w:val="003A1A71"/>
    <w:rsid w:val="003A1B97"/>
    <w:rsid w:val="003A29CB"/>
    <w:rsid w:val="003A3162"/>
    <w:rsid w:val="003A35F7"/>
    <w:rsid w:val="003A5D76"/>
    <w:rsid w:val="003B0CAC"/>
    <w:rsid w:val="003B2872"/>
    <w:rsid w:val="003B5302"/>
    <w:rsid w:val="003B6358"/>
    <w:rsid w:val="003C0CA3"/>
    <w:rsid w:val="003C257F"/>
    <w:rsid w:val="003C27DB"/>
    <w:rsid w:val="003C7DE4"/>
    <w:rsid w:val="003D78E0"/>
    <w:rsid w:val="003E296A"/>
    <w:rsid w:val="003E44FE"/>
    <w:rsid w:val="003F1BE8"/>
    <w:rsid w:val="003F1E51"/>
    <w:rsid w:val="003F1EF2"/>
    <w:rsid w:val="003F7667"/>
    <w:rsid w:val="00402A01"/>
    <w:rsid w:val="00403038"/>
    <w:rsid w:val="0040379D"/>
    <w:rsid w:val="00407F11"/>
    <w:rsid w:val="004117FC"/>
    <w:rsid w:val="0041459E"/>
    <w:rsid w:val="0041514E"/>
    <w:rsid w:val="004168B0"/>
    <w:rsid w:val="00420598"/>
    <w:rsid w:val="004307E9"/>
    <w:rsid w:val="0043199A"/>
    <w:rsid w:val="0043613B"/>
    <w:rsid w:val="00436E12"/>
    <w:rsid w:val="00436F2A"/>
    <w:rsid w:val="004440CB"/>
    <w:rsid w:val="00444622"/>
    <w:rsid w:val="00445533"/>
    <w:rsid w:val="004531BE"/>
    <w:rsid w:val="00455257"/>
    <w:rsid w:val="00470887"/>
    <w:rsid w:val="00472230"/>
    <w:rsid w:val="00476E3F"/>
    <w:rsid w:val="004801EB"/>
    <w:rsid w:val="00482B16"/>
    <w:rsid w:val="00487B48"/>
    <w:rsid w:val="00493FAB"/>
    <w:rsid w:val="00495498"/>
    <w:rsid w:val="004959A3"/>
    <w:rsid w:val="00496828"/>
    <w:rsid w:val="004969A9"/>
    <w:rsid w:val="00497809"/>
    <w:rsid w:val="004A0D8C"/>
    <w:rsid w:val="004B13C4"/>
    <w:rsid w:val="004B19C4"/>
    <w:rsid w:val="004B2EDE"/>
    <w:rsid w:val="004B7346"/>
    <w:rsid w:val="004C0662"/>
    <w:rsid w:val="004C7560"/>
    <w:rsid w:val="004C78BB"/>
    <w:rsid w:val="004C7A81"/>
    <w:rsid w:val="004D0CA0"/>
    <w:rsid w:val="004D4502"/>
    <w:rsid w:val="004D7889"/>
    <w:rsid w:val="004E1F83"/>
    <w:rsid w:val="004E2808"/>
    <w:rsid w:val="004F0411"/>
    <w:rsid w:val="004F3AB5"/>
    <w:rsid w:val="004F488B"/>
    <w:rsid w:val="004F55C0"/>
    <w:rsid w:val="004F5601"/>
    <w:rsid w:val="00503108"/>
    <w:rsid w:val="0050672A"/>
    <w:rsid w:val="00511640"/>
    <w:rsid w:val="0052740C"/>
    <w:rsid w:val="00536B5B"/>
    <w:rsid w:val="0053702D"/>
    <w:rsid w:val="005370B8"/>
    <w:rsid w:val="005430BE"/>
    <w:rsid w:val="00545581"/>
    <w:rsid w:val="00546038"/>
    <w:rsid w:val="00551999"/>
    <w:rsid w:val="00552529"/>
    <w:rsid w:val="0055255C"/>
    <w:rsid w:val="00555A8F"/>
    <w:rsid w:val="00561E4B"/>
    <w:rsid w:val="00570788"/>
    <w:rsid w:val="0057108C"/>
    <w:rsid w:val="005722DF"/>
    <w:rsid w:val="005739D5"/>
    <w:rsid w:val="00577CFC"/>
    <w:rsid w:val="00577DC5"/>
    <w:rsid w:val="0059022D"/>
    <w:rsid w:val="005947A7"/>
    <w:rsid w:val="00596593"/>
    <w:rsid w:val="005A1603"/>
    <w:rsid w:val="005A16E7"/>
    <w:rsid w:val="005A24EB"/>
    <w:rsid w:val="005A2735"/>
    <w:rsid w:val="005A33EB"/>
    <w:rsid w:val="005A56D2"/>
    <w:rsid w:val="005B0143"/>
    <w:rsid w:val="005B081F"/>
    <w:rsid w:val="005B1396"/>
    <w:rsid w:val="005B3218"/>
    <w:rsid w:val="005B7C31"/>
    <w:rsid w:val="005C2355"/>
    <w:rsid w:val="005C4686"/>
    <w:rsid w:val="005C5219"/>
    <w:rsid w:val="005C58F6"/>
    <w:rsid w:val="005D19AE"/>
    <w:rsid w:val="005D5C33"/>
    <w:rsid w:val="005D69DF"/>
    <w:rsid w:val="005E69DD"/>
    <w:rsid w:val="005F5980"/>
    <w:rsid w:val="005F7353"/>
    <w:rsid w:val="006042AF"/>
    <w:rsid w:val="006110C8"/>
    <w:rsid w:val="006121C8"/>
    <w:rsid w:val="00613023"/>
    <w:rsid w:val="0061351D"/>
    <w:rsid w:val="0061467D"/>
    <w:rsid w:val="00626FA6"/>
    <w:rsid w:val="00632282"/>
    <w:rsid w:val="0063266B"/>
    <w:rsid w:val="0064096E"/>
    <w:rsid w:val="00641ECD"/>
    <w:rsid w:val="0064275B"/>
    <w:rsid w:val="00643702"/>
    <w:rsid w:val="00645B05"/>
    <w:rsid w:val="006476F7"/>
    <w:rsid w:val="006517E9"/>
    <w:rsid w:val="006525B9"/>
    <w:rsid w:val="00654A03"/>
    <w:rsid w:val="00657938"/>
    <w:rsid w:val="00665C62"/>
    <w:rsid w:val="00675C28"/>
    <w:rsid w:val="0067722A"/>
    <w:rsid w:val="0068782B"/>
    <w:rsid w:val="00692870"/>
    <w:rsid w:val="006A1C7E"/>
    <w:rsid w:val="006B599D"/>
    <w:rsid w:val="006B6F15"/>
    <w:rsid w:val="006C0EB7"/>
    <w:rsid w:val="006C36D8"/>
    <w:rsid w:val="006D2EFD"/>
    <w:rsid w:val="006D7D8D"/>
    <w:rsid w:val="006F182F"/>
    <w:rsid w:val="006F40A5"/>
    <w:rsid w:val="007008F6"/>
    <w:rsid w:val="00712C7F"/>
    <w:rsid w:val="00716DD5"/>
    <w:rsid w:val="007176C5"/>
    <w:rsid w:val="00717BE5"/>
    <w:rsid w:val="00720975"/>
    <w:rsid w:val="007213B4"/>
    <w:rsid w:val="007308D3"/>
    <w:rsid w:val="00731788"/>
    <w:rsid w:val="00750930"/>
    <w:rsid w:val="007620E4"/>
    <w:rsid w:val="00770BF9"/>
    <w:rsid w:val="007720F8"/>
    <w:rsid w:val="00780723"/>
    <w:rsid w:val="00783709"/>
    <w:rsid w:val="00785CB3"/>
    <w:rsid w:val="00792B6C"/>
    <w:rsid w:val="0079383A"/>
    <w:rsid w:val="007941CB"/>
    <w:rsid w:val="007A1063"/>
    <w:rsid w:val="007A2D02"/>
    <w:rsid w:val="007A3587"/>
    <w:rsid w:val="007B0478"/>
    <w:rsid w:val="007B55D7"/>
    <w:rsid w:val="007C0B2B"/>
    <w:rsid w:val="007C431E"/>
    <w:rsid w:val="007D30AE"/>
    <w:rsid w:val="007D7267"/>
    <w:rsid w:val="007D75B0"/>
    <w:rsid w:val="007D7B25"/>
    <w:rsid w:val="007D7DF8"/>
    <w:rsid w:val="007E06F0"/>
    <w:rsid w:val="007E4E29"/>
    <w:rsid w:val="007F3C40"/>
    <w:rsid w:val="007F7D23"/>
    <w:rsid w:val="00802CEF"/>
    <w:rsid w:val="0080348D"/>
    <w:rsid w:val="00817372"/>
    <w:rsid w:val="00820EE1"/>
    <w:rsid w:val="00823396"/>
    <w:rsid w:val="00825B36"/>
    <w:rsid w:val="00825BC8"/>
    <w:rsid w:val="00826899"/>
    <w:rsid w:val="00826A34"/>
    <w:rsid w:val="00833101"/>
    <w:rsid w:val="00843BB4"/>
    <w:rsid w:val="00854A24"/>
    <w:rsid w:val="00861FD1"/>
    <w:rsid w:val="00864887"/>
    <w:rsid w:val="00864D81"/>
    <w:rsid w:val="008729F6"/>
    <w:rsid w:val="0087523A"/>
    <w:rsid w:val="00876EBB"/>
    <w:rsid w:val="00877914"/>
    <w:rsid w:val="00877B8A"/>
    <w:rsid w:val="00880988"/>
    <w:rsid w:val="00881499"/>
    <w:rsid w:val="00882D2B"/>
    <w:rsid w:val="00882FE8"/>
    <w:rsid w:val="00884C64"/>
    <w:rsid w:val="00885BDF"/>
    <w:rsid w:val="008914B1"/>
    <w:rsid w:val="008A12D4"/>
    <w:rsid w:val="008A242E"/>
    <w:rsid w:val="008A472F"/>
    <w:rsid w:val="008A73C3"/>
    <w:rsid w:val="008A788C"/>
    <w:rsid w:val="008B5DBD"/>
    <w:rsid w:val="008B68EF"/>
    <w:rsid w:val="008B7F9A"/>
    <w:rsid w:val="008C3C2B"/>
    <w:rsid w:val="008D13E3"/>
    <w:rsid w:val="008D5697"/>
    <w:rsid w:val="008E5DAD"/>
    <w:rsid w:val="008F0B3D"/>
    <w:rsid w:val="008F4CA0"/>
    <w:rsid w:val="008F51AA"/>
    <w:rsid w:val="008F6290"/>
    <w:rsid w:val="00907196"/>
    <w:rsid w:val="00907C97"/>
    <w:rsid w:val="0092379B"/>
    <w:rsid w:val="009252FE"/>
    <w:rsid w:val="00925542"/>
    <w:rsid w:val="009258AD"/>
    <w:rsid w:val="00925C6A"/>
    <w:rsid w:val="00937EC7"/>
    <w:rsid w:val="00944448"/>
    <w:rsid w:val="00955ABD"/>
    <w:rsid w:val="00957408"/>
    <w:rsid w:val="00960A46"/>
    <w:rsid w:val="00962DC1"/>
    <w:rsid w:val="00962DE3"/>
    <w:rsid w:val="00967089"/>
    <w:rsid w:val="009710F3"/>
    <w:rsid w:val="0097214D"/>
    <w:rsid w:val="0097330F"/>
    <w:rsid w:val="0097335D"/>
    <w:rsid w:val="0097481B"/>
    <w:rsid w:val="00977911"/>
    <w:rsid w:val="00980072"/>
    <w:rsid w:val="00987393"/>
    <w:rsid w:val="00995008"/>
    <w:rsid w:val="00995203"/>
    <w:rsid w:val="00995DBA"/>
    <w:rsid w:val="00997796"/>
    <w:rsid w:val="009A3607"/>
    <w:rsid w:val="009A37A7"/>
    <w:rsid w:val="009B51D2"/>
    <w:rsid w:val="009B5813"/>
    <w:rsid w:val="009C3219"/>
    <w:rsid w:val="009D053C"/>
    <w:rsid w:val="009D4E5B"/>
    <w:rsid w:val="009E07DB"/>
    <w:rsid w:val="009E428E"/>
    <w:rsid w:val="009E5FCE"/>
    <w:rsid w:val="009F17BE"/>
    <w:rsid w:val="00A0576C"/>
    <w:rsid w:val="00A10F52"/>
    <w:rsid w:val="00A11558"/>
    <w:rsid w:val="00A12BB1"/>
    <w:rsid w:val="00A15787"/>
    <w:rsid w:val="00A202B7"/>
    <w:rsid w:val="00A20413"/>
    <w:rsid w:val="00A20CE5"/>
    <w:rsid w:val="00A26B79"/>
    <w:rsid w:val="00A275C3"/>
    <w:rsid w:val="00A32E4F"/>
    <w:rsid w:val="00A333DE"/>
    <w:rsid w:val="00A33CB9"/>
    <w:rsid w:val="00A37DBE"/>
    <w:rsid w:val="00A41339"/>
    <w:rsid w:val="00A469A7"/>
    <w:rsid w:val="00A54F2F"/>
    <w:rsid w:val="00A57E1E"/>
    <w:rsid w:val="00A72859"/>
    <w:rsid w:val="00A72C34"/>
    <w:rsid w:val="00A75514"/>
    <w:rsid w:val="00A81C34"/>
    <w:rsid w:val="00A84A18"/>
    <w:rsid w:val="00A853DF"/>
    <w:rsid w:val="00A868E0"/>
    <w:rsid w:val="00A91BCB"/>
    <w:rsid w:val="00A95F68"/>
    <w:rsid w:val="00AA0590"/>
    <w:rsid w:val="00AA3C8F"/>
    <w:rsid w:val="00AB293C"/>
    <w:rsid w:val="00AD0BF4"/>
    <w:rsid w:val="00AE01AB"/>
    <w:rsid w:val="00AE2BB7"/>
    <w:rsid w:val="00AE3CD9"/>
    <w:rsid w:val="00AE6D1D"/>
    <w:rsid w:val="00AE7B2A"/>
    <w:rsid w:val="00AF002B"/>
    <w:rsid w:val="00B073FB"/>
    <w:rsid w:val="00B1119F"/>
    <w:rsid w:val="00B12744"/>
    <w:rsid w:val="00B12ED7"/>
    <w:rsid w:val="00B21D2E"/>
    <w:rsid w:val="00B26487"/>
    <w:rsid w:val="00B31738"/>
    <w:rsid w:val="00B329BC"/>
    <w:rsid w:val="00B36BAE"/>
    <w:rsid w:val="00B372B6"/>
    <w:rsid w:val="00B43931"/>
    <w:rsid w:val="00B45612"/>
    <w:rsid w:val="00B513B1"/>
    <w:rsid w:val="00B555DB"/>
    <w:rsid w:val="00B57C91"/>
    <w:rsid w:val="00B61ED4"/>
    <w:rsid w:val="00B65256"/>
    <w:rsid w:val="00B6781D"/>
    <w:rsid w:val="00B71A87"/>
    <w:rsid w:val="00B72425"/>
    <w:rsid w:val="00B742A0"/>
    <w:rsid w:val="00B7476E"/>
    <w:rsid w:val="00B80368"/>
    <w:rsid w:val="00B86B6A"/>
    <w:rsid w:val="00BA56B8"/>
    <w:rsid w:val="00BB0EC9"/>
    <w:rsid w:val="00BB32FF"/>
    <w:rsid w:val="00BB4389"/>
    <w:rsid w:val="00BB5099"/>
    <w:rsid w:val="00BB59F1"/>
    <w:rsid w:val="00BC2D8C"/>
    <w:rsid w:val="00BD2A56"/>
    <w:rsid w:val="00BD325C"/>
    <w:rsid w:val="00BD545D"/>
    <w:rsid w:val="00BD7315"/>
    <w:rsid w:val="00BD753C"/>
    <w:rsid w:val="00BE0F1A"/>
    <w:rsid w:val="00BE156D"/>
    <w:rsid w:val="00BE3884"/>
    <w:rsid w:val="00BE481D"/>
    <w:rsid w:val="00BF14F2"/>
    <w:rsid w:val="00BF307C"/>
    <w:rsid w:val="00C015E5"/>
    <w:rsid w:val="00C03B36"/>
    <w:rsid w:val="00C03BA0"/>
    <w:rsid w:val="00C03C50"/>
    <w:rsid w:val="00C10652"/>
    <w:rsid w:val="00C262EE"/>
    <w:rsid w:val="00C26694"/>
    <w:rsid w:val="00C31980"/>
    <w:rsid w:val="00C328A8"/>
    <w:rsid w:val="00C32E26"/>
    <w:rsid w:val="00C365C6"/>
    <w:rsid w:val="00C423AB"/>
    <w:rsid w:val="00C448EC"/>
    <w:rsid w:val="00C53B63"/>
    <w:rsid w:val="00C575A4"/>
    <w:rsid w:val="00C72448"/>
    <w:rsid w:val="00C7518B"/>
    <w:rsid w:val="00C85396"/>
    <w:rsid w:val="00CA5570"/>
    <w:rsid w:val="00CA687F"/>
    <w:rsid w:val="00CB126F"/>
    <w:rsid w:val="00CB1C7C"/>
    <w:rsid w:val="00CB315C"/>
    <w:rsid w:val="00CC163E"/>
    <w:rsid w:val="00CC555E"/>
    <w:rsid w:val="00CC5791"/>
    <w:rsid w:val="00CE7958"/>
    <w:rsid w:val="00CF007A"/>
    <w:rsid w:val="00CF01DD"/>
    <w:rsid w:val="00CF0FC7"/>
    <w:rsid w:val="00CF3AEC"/>
    <w:rsid w:val="00CF5B9C"/>
    <w:rsid w:val="00CF6A0A"/>
    <w:rsid w:val="00CF72A0"/>
    <w:rsid w:val="00CF7D5B"/>
    <w:rsid w:val="00D016EC"/>
    <w:rsid w:val="00D03951"/>
    <w:rsid w:val="00D072AC"/>
    <w:rsid w:val="00D125EA"/>
    <w:rsid w:val="00D131E6"/>
    <w:rsid w:val="00D15448"/>
    <w:rsid w:val="00D21B7D"/>
    <w:rsid w:val="00D26772"/>
    <w:rsid w:val="00D31A83"/>
    <w:rsid w:val="00D3313C"/>
    <w:rsid w:val="00D40E3C"/>
    <w:rsid w:val="00D45DEB"/>
    <w:rsid w:val="00D45DF5"/>
    <w:rsid w:val="00D51491"/>
    <w:rsid w:val="00D51AEE"/>
    <w:rsid w:val="00D5280B"/>
    <w:rsid w:val="00D53D0A"/>
    <w:rsid w:val="00D60100"/>
    <w:rsid w:val="00D65366"/>
    <w:rsid w:val="00D72AF2"/>
    <w:rsid w:val="00D74E86"/>
    <w:rsid w:val="00D8156A"/>
    <w:rsid w:val="00DA0428"/>
    <w:rsid w:val="00DA5154"/>
    <w:rsid w:val="00DA670C"/>
    <w:rsid w:val="00DB1306"/>
    <w:rsid w:val="00DB61A2"/>
    <w:rsid w:val="00DB6691"/>
    <w:rsid w:val="00DC0EF9"/>
    <w:rsid w:val="00DC214B"/>
    <w:rsid w:val="00DC6C3F"/>
    <w:rsid w:val="00DD57C9"/>
    <w:rsid w:val="00DE1D23"/>
    <w:rsid w:val="00DE3FAF"/>
    <w:rsid w:val="00DE5F80"/>
    <w:rsid w:val="00DF53D7"/>
    <w:rsid w:val="00E01775"/>
    <w:rsid w:val="00E01D51"/>
    <w:rsid w:val="00E11CAC"/>
    <w:rsid w:val="00E13FBC"/>
    <w:rsid w:val="00E21EF1"/>
    <w:rsid w:val="00E2470D"/>
    <w:rsid w:val="00E35C2F"/>
    <w:rsid w:val="00E404CB"/>
    <w:rsid w:val="00E40E83"/>
    <w:rsid w:val="00E43449"/>
    <w:rsid w:val="00E47C82"/>
    <w:rsid w:val="00E514FD"/>
    <w:rsid w:val="00E54169"/>
    <w:rsid w:val="00E56436"/>
    <w:rsid w:val="00E77823"/>
    <w:rsid w:val="00E81C08"/>
    <w:rsid w:val="00E8578A"/>
    <w:rsid w:val="00E858D8"/>
    <w:rsid w:val="00E877F8"/>
    <w:rsid w:val="00E9314A"/>
    <w:rsid w:val="00E931C8"/>
    <w:rsid w:val="00E93FCE"/>
    <w:rsid w:val="00E94778"/>
    <w:rsid w:val="00EA18AB"/>
    <w:rsid w:val="00EA4A03"/>
    <w:rsid w:val="00EB0735"/>
    <w:rsid w:val="00EB1189"/>
    <w:rsid w:val="00EC01DF"/>
    <w:rsid w:val="00EC0A21"/>
    <w:rsid w:val="00EC58B2"/>
    <w:rsid w:val="00EC5B06"/>
    <w:rsid w:val="00ED5BCB"/>
    <w:rsid w:val="00EE7F87"/>
    <w:rsid w:val="00EF3841"/>
    <w:rsid w:val="00F00BAF"/>
    <w:rsid w:val="00F064F7"/>
    <w:rsid w:val="00F07472"/>
    <w:rsid w:val="00F1190F"/>
    <w:rsid w:val="00F22D17"/>
    <w:rsid w:val="00F30BBC"/>
    <w:rsid w:val="00F31122"/>
    <w:rsid w:val="00F322A7"/>
    <w:rsid w:val="00F32461"/>
    <w:rsid w:val="00F34454"/>
    <w:rsid w:val="00F4030B"/>
    <w:rsid w:val="00F468F6"/>
    <w:rsid w:val="00F501D7"/>
    <w:rsid w:val="00F507CD"/>
    <w:rsid w:val="00F51232"/>
    <w:rsid w:val="00F5282A"/>
    <w:rsid w:val="00F55627"/>
    <w:rsid w:val="00F559F6"/>
    <w:rsid w:val="00F579A1"/>
    <w:rsid w:val="00F62714"/>
    <w:rsid w:val="00F679A8"/>
    <w:rsid w:val="00F67D90"/>
    <w:rsid w:val="00F804A4"/>
    <w:rsid w:val="00F84649"/>
    <w:rsid w:val="00F92E57"/>
    <w:rsid w:val="00F974DF"/>
    <w:rsid w:val="00FA0722"/>
    <w:rsid w:val="00FA41ED"/>
    <w:rsid w:val="00FB210F"/>
    <w:rsid w:val="00FC2051"/>
    <w:rsid w:val="00FC614E"/>
    <w:rsid w:val="00FD010D"/>
    <w:rsid w:val="00FD0D36"/>
    <w:rsid w:val="00FD615F"/>
    <w:rsid w:val="00FD6FC0"/>
    <w:rsid w:val="00FE0E0F"/>
    <w:rsid w:val="00FE2983"/>
    <w:rsid w:val="00FE43FB"/>
    <w:rsid w:val="00FF0A81"/>
    <w:rsid w:val="00FF4DD7"/>
    <w:rsid w:val="00FF6E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1714BD"/>
  <w15:chartTrackingRefBased/>
  <w15:docId w15:val="{EA689C2D-061B-F744-9B35-DF2A6A47EA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4">
    <w:name w:val="heading 4"/>
    <w:basedOn w:val="Normal"/>
    <w:link w:val="Heading4Char"/>
    <w:uiPriority w:val="9"/>
    <w:qFormat/>
    <w:rsid w:val="000029E2"/>
    <w:pPr>
      <w:spacing w:before="100" w:beforeAutospacing="1" w:after="100" w:afterAutospacing="1"/>
      <w:outlineLvl w:val="3"/>
    </w:pPr>
    <w:rPr>
      <w:rFonts w:eastAsiaTheme="minorEastAsia"/>
      <w:b/>
      <w:b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uiPriority w:val="99"/>
    <w:semiHidden/>
    <w:unhideWhenUsed/>
    <w:rsid w:val="00FE43FB"/>
    <w:rPr>
      <w:rFonts w:ascii="Segoe UI" w:hAnsi="Segoe UI" w:cs="Segoe UI"/>
      <w:sz w:val="18"/>
      <w:szCs w:val="18"/>
    </w:rPr>
  </w:style>
  <w:style w:type="paragraph" w:customStyle="1" w:styleId="Firmas">
    <w:name w:val="Firmas"/>
    <w:basedOn w:val="Normal"/>
    <w:pPr>
      <w:tabs>
        <w:tab w:val="center" w:pos="1440"/>
        <w:tab w:val="center" w:pos="7200"/>
      </w:tabs>
    </w:pPr>
    <w:rPr>
      <w:lang w:val="es-ES_tradnl"/>
    </w:rPr>
  </w:style>
  <w:style w:type="character" w:customStyle="1" w:styleId="BalloonTextChar">
    <w:name w:val="Balloon Text Char"/>
    <w:link w:val="BalloonText"/>
    <w:uiPriority w:val="99"/>
    <w:semiHidden/>
    <w:rsid w:val="00FE43FB"/>
    <w:rPr>
      <w:rFonts w:ascii="Segoe UI" w:hAnsi="Segoe UI" w:cs="Segoe UI"/>
      <w:sz w:val="18"/>
      <w:szCs w:val="18"/>
    </w:rPr>
  </w:style>
  <w:style w:type="paragraph" w:styleId="FootnoteText">
    <w:name w:val="footnote text"/>
    <w:basedOn w:val="Normal"/>
    <w:link w:val="FootnoteTextChar"/>
    <w:uiPriority w:val="99"/>
    <w:semiHidden/>
    <w:unhideWhenUsed/>
    <w:rsid w:val="002206E3"/>
    <w:rPr>
      <w:rFonts w:ascii="Calibri" w:eastAsia="Calibri" w:hAnsi="Calibri"/>
      <w:sz w:val="20"/>
    </w:rPr>
  </w:style>
  <w:style w:type="character" w:customStyle="1" w:styleId="FootnoteTextChar">
    <w:name w:val="Footnote Text Char"/>
    <w:link w:val="FootnoteText"/>
    <w:uiPriority w:val="99"/>
    <w:semiHidden/>
    <w:rsid w:val="002206E3"/>
    <w:rPr>
      <w:rFonts w:ascii="Calibri" w:eastAsia="Calibri" w:hAnsi="Calibri"/>
      <w:lang w:val="en-US" w:eastAsia="en-US"/>
    </w:rPr>
  </w:style>
  <w:style w:type="character" w:styleId="FootnoteReference">
    <w:name w:val="footnote reference"/>
    <w:uiPriority w:val="99"/>
    <w:semiHidden/>
    <w:unhideWhenUsed/>
    <w:rsid w:val="002206E3"/>
    <w:rPr>
      <w:vertAlign w:val="superscript"/>
    </w:rPr>
  </w:style>
  <w:style w:type="character" w:styleId="Hyperlink">
    <w:name w:val="Hyperlink"/>
    <w:uiPriority w:val="99"/>
    <w:unhideWhenUsed/>
    <w:rsid w:val="002206E3"/>
    <w:rPr>
      <w:color w:val="0563C1"/>
      <w:u w:val="single"/>
    </w:rPr>
  </w:style>
  <w:style w:type="character" w:styleId="Mention">
    <w:name w:val="Mention"/>
    <w:uiPriority w:val="99"/>
    <w:semiHidden/>
    <w:unhideWhenUsed/>
    <w:rsid w:val="00167557"/>
    <w:rPr>
      <w:color w:val="2B579A"/>
      <w:shd w:val="clear" w:color="auto" w:fill="E6E6E6"/>
    </w:rPr>
  </w:style>
  <w:style w:type="paragraph" w:styleId="ListParagraph">
    <w:name w:val="List Paragraph"/>
    <w:basedOn w:val="Normal"/>
    <w:uiPriority w:val="34"/>
    <w:qFormat/>
    <w:rsid w:val="00C015E5"/>
    <w:pPr>
      <w:spacing w:after="160" w:line="259" w:lineRule="auto"/>
      <w:ind w:left="720"/>
      <w:contextualSpacing/>
    </w:pPr>
    <w:rPr>
      <w:rFonts w:ascii="Calibri" w:eastAsia="Calibri" w:hAnsi="Calibri"/>
      <w:sz w:val="22"/>
      <w:szCs w:val="22"/>
      <w:lang w:val="es-ES"/>
    </w:rPr>
  </w:style>
  <w:style w:type="paragraph" w:styleId="NormalWeb">
    <w:name w:val="Normal (Web)"/>
    <w:basedOn w:val="Normal"/>
    <w:uiPriority w:val="99"/>
    <w:unhideWhenUsed/>
    <w:rsid w:val="007D75B0"/>
    <w:rPr>
      <w:szCs w:val="24"/>
    </w:rPr>
  </w:style>
  <w:style w:type="character" w:styleId="Strong">
    <w:name w:val="Strong"/>
    <w:basedOn w:val="DefaultParagraphFont"/>
    <w:uiPriority w:val="22"/>
    <w:qFormat/>
    <w:rsid w:val="00C85396"/>
    <w:rPr>
      <w:b/>
      <w:bCs/>
    </w:rPr>
  </w:style>
  <w:style w:type="character" w:customStyle="1" w:styleId="Heading4Char">
    <w:name w:val="Heading 4 Char"/>
    <w:basedOn w:val="DefaultParagraphFont"/>
    <w:link w:val="Heading4"/>
    <w:uiPriority w:val="9"/>
    <w:rsid w:val="000029E2"/>
    <w:rPr>
      <w:rFonts w:eastAsiaTheme="minorEastAsia"/>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7355828">
      <w:bodyDiv w:val="1"/>
      <w:marLeft w:val="0"/>
      <w:marRight w:val="0"/>
      <w:marTop w:val="0"/>
      <w:marBottom w:val="0"/>
      <w:divBdr>
        <w:top w:val="none" w:sz="0" w:space="0" w:color="auto"/>
        <w:left w:val="none" w:sz="0" w:space="0" w:color="auto"/>
        <w:bottom w:val="none" w:sz="0" w:space="0" w:color="auto"/>
        <w:right w:val="none" w:sz="0" w:space="0" w:color="auto"/>
      </w:divBdr>
    </w:div>
    <w:div w:id="180780481">
      <w:bodyDiv w:val="1"/>
      <w:marLeft w:val="0"/>
      <w:marRight w:val="0"/>
      <w:marTop w:val="0"/>
      <w:marBottom w:val="0"/>
      <w:divBdr>
        <w:top w:val="none" w:sz="0" w:space="0" w:color="auto"/>
        <w:left w:val="none" w:sz="0" w:space="0" w:color="auto"/>
        <w:bottom w:val="none" w:sz="0" w:space="0" w:color="auto"/>
        <w:right w:val="none" w:sz="0" w:space="0" w:color="auto"/>
      </w:divBdr>
    </w:div>
    <w:div w:id="237637635">
      <w:bodyDiv w:val="1"/>
      <w:marLeft w:val="0"/>
      <w:marRight w:val="0"/>
      <w:marTop w:val="0"/>
      <w:marBottom w:val="0"/>
      <w:divBdr>
        <w:top w:val="none" w:sz="0" w:space="0" w:color="auto"/>
        <w:left w:val="none" w:sz="0" w:space="0" w:color="auto"/>
        <w:bottom w:val="none" w:sz="0" w:space="0" w:color="auto"/>
        <w:right w:val="none" w:sz="0" w:space="0" w:color="auto"/>
      </w:divBdr>
    </w:div>
    <w:div w:id="423916917">
      <w:bodyDiv w:val="1"/>
      <w:marLeft w:val="0"/>
      <w:marRight w:val="0"/>
      <w:marTop w:val="0"/>
      <w:marBottom w:val="0"/>
      <w:divBdr>
        <w:top w:val="none" w:sz="0" w:space="0" w:color="auto"/>
        <w:left w:val="none" w:sz="0" w:space="0" w:color="auto"/>
        <w:bottom w:val="none" w:sz="0" w:space="0" w:color="auto"/>
        <w:right w:val="none" w:sz="0" w:space="0" w:color="auto"/>
      </w:divBdr>
    </w:div>
    <w:div w:id="492722486">
      <w:bodyDiv w:val="1"/>
      <w:marLeft w:val="0"/>
      <w:marRight w:val="0"/>
      <w:marTop w:val="0"/>
      <w:marBottom w:val="0"/>
      <w:divBdr>
        <w:top w:val="none" w:sz="0" w:space="0" w:color="auto"/>
        <w:left w:val="none" w:sz="0" w:space="0" w:color="auto"/>
        <w:bottom w:val="none" w:sz="0" w:space="0" w:color="auto"/>
        <w:right w:val="none" w:sz="0" w:space="0" w:color="auto"/>
      </w:divBdr>
    </w:div>
    <w:div w:id="554391639">
      <w:bodyDiv w:val="1"/>
      <w:marLeft w:val="0"/>
      <w:marRight w:val="0"/>
      <w:marTop w:val="0"/>
      <w:marBottom w:val="0"/>
      <w:divBdr>
        <w:top w:val="none" w:sz="0" w:space="0" w:color="auto"/>
        <w:left w:val="none" w:sz="0" w:space="0" w:color="auto"/>
        <w:bottom w:val="none" w:sz="0" w:space="0" w:color="auto"/>
        <w:right w:val="none" w:sz="0" w:space="0" w:color="auto"/>
      </w:divBdr>
    </w:div>
    <w:div w:id="623080993">
      <w:bodyDiv w:val="1"/>
      <w:marLeft w:val="0"/>
      <w:marRight w:val="0"/>
      <w:marTop w:val="0"/>
      <w:marBottom w:val="0"/>
      <w:divBdr>
        <w:top w:val="none" w:sz="0" w:space="0" w:color="auto"/>
        <w:left w:val="none" w:sz="0" w:space="0" w:color="auto"/>
        <w:bottom w:val="none" w:sz="0" w:space="0" w:color="auto"/>
        <w:right w:val="none" w:sz="0" w:space="0" w:color="auto"/>
      </w:divBdr>
      <w:divsChild>
        <w:div w:id="1817917974">
          <w:marLeft w:val="0"/>
          <w:marRight w:val="0"/>
          <w:marTop w:val="0"/>
          <w:marBottom w:val="0"/>
          <w:divBdr>
            <w:top w:val="none" w:sz="0" w:space="0" w:color="auto"/>
            <w:left w:val="none" w:sz="0" w:space="0" w:color="auto"/>
            <w:bottom w:val="none" w:sz="0" w:space="0" w:color="auto"/>
            <w:right w:val="none" w:sz="0" w:space="0" w:color="auto"/>
          </w:divBdr>
          <w:divsChild>
            <w:div w:id="264653135">
              <w:marLeft w:val="0"/>
              <w:marRight w:val="0"/>
              <w:marTop w:val="0"/>
              <w:marBottom w:val="0"/>
              <w:divBdr>
                <w:top w:val="none" w:sz="0" w:space="0" w:color="auto"/>
                <w:left w:val="none" w:sz="0" w:space="0" w:color="auto"/>
                <w:bottom w:val="none" w:sz="0" w:space="0" w:color="auto"/>
                <w:right w:val="none" w:sz="0" w:space="0" w:color="auto"/>
              </w:divBdr>
            </w:div>
            <w:div w:id="1305039017">
              <w:marLeft w:val="0"/>
              <w:marRight w:val="0"/>
              <w:marTop w:val="0"/>
              <w:marBottom w:val="0"/>
              <w:divBdr>
                <w:top w:val="none" w:sz="0" w:space="0" w:color="auto"/>
                <w:left w:val="none" w:sz="0" w:space="0" w:color="auto"/>
                <w:bottom w:val="none" w:sz="0" w:space="0" w:color="auto"/>
                <w:right w:val="none" w:sz="0" w:space="0" w:color="auto"/>
              </w:divBdr>
            </w:div>
            <w:div w:id="1120954131">
              <w:marLeft w:val="0"/>
              <w:marRight w:val="0"/>
              <w:marTop w:val="0"/>
              <w:marBottom w:val="0"/>
              <w:divBdr>
                <w:top w:val="none" w:sz="0" w:space="0" w:color="auto"/>
                <w:left w:val="none" w:sz="0" w:space="0" w:color="auto"/>
                <w:bottom w:val="none" w:sz="0" w:space="0" w:color="auto"/>
                <w:right w:val="none" w:sz="0" w:space="0" w:color="auto"/>
              </w:divBdr>
            </w:div>
            <w:div w:id="592711819">
              <w:marLeft w:val="0"/>
              <w:marRight w:val="0"/>
              <w:marTop w:val="0"/>
              <w:marBottom w:val="0"/>
              <w:divBdr>
                <w:top w:val="none" w:sz="0" w:space="0" w:color="auto"/>
                <w:left w:val="none" w:sz="0" w:space="0" w:color="auto"/>
                <w:bottom w:val="none" w:sz="0" w:space="0" w:color="auto"/>
                <w:right w:val="none" w:sz="0" w:space="0" w:color="auto"/>
              </w:divBdr>
            </w:div>
            <w:div w:id="1570656536">
              <w:marLeft w:val="0"/>
              <w:marRight w:val="0"/>
              <w:marTop w:val="0"/>
              <w:marBottom w:val="0"/>
              <w:divBdr>
                <w:top w:val="none" w:sz="0" w:space="0" w:color="auto"/>
                <w:left w:val="none" w:sz="0" w:space="0" w:color="auto"/>
                <w:bottom w:val="none" w:sz="0" w:space="0" w:color="auto"/>
                <w:right w:val="none" w:sz="0" w:space="0" w:color="auto"/>
              </w:divBdr>
            </w:div>
            <w:div w:id="1524050145">
              <w:marLeft w:val="0"/>
              <w:marRight w:val="0"/>
              <w:marTop w:val="0"/>
              <w:marBottom w:val="0"/>
              <w:divBdr>
                <w:top w:val="none" w:sz="0" w:space="0" w:color="auto"/>
                <w:left w:val="none" w:sz="0" w:space="0" w:color="auto"/>
                <w:bottom w:val="none" w:sz="0" w:space="0" w:color="auto"/>
                <w:right w:val="none" w:sz="0" w:space="0" w:color="auto"/>
              </w:divBdr>
            </w:div>
          </w:divsChild>
        </w:div>
        <w:div w:id="80875489">
          <w:marLeft w:val="0"/>
          <w:marRight w:val="0"/>
          <w:marTop w:val="0"/>
          <w:marBottom w:val="0"/>
          <w:divBdr>
            <w:top w:val="none" w:sz="0" w:space="0" w:color="auto"/>
            <w:left w:val="none" w:sz="0" w:space="0" w:color="auto"/>
            <w:bottom w:val="none" w:sz="0" w:space="0" w:color="auto"/>
            <w:right w:val="none" w:sz="0" w:space="0" w:color="auto"/>
          </w:divBdr>
        </w:div>
        <w:div w:id="1516722617">
          <w:marLeft w:val="0"/>
          <w:marRight w:val="0"/>
          <w:marTop w:val="0"/>
          <w:marBottom w:val="0"/>
          <w:divBdr>
            <w:top w:val="none" w:sz="0" w:space="0" w:color="auto"/>
            <w:left w:val="none" w:sz="0" w:space="0" w:color="auto"/>
            <w:bottom w:val="none" w:sz="0" w:space="0" w:color="auto"/>
            <w:right w:val="none" w:sz="0" w:space="0" w:color="auto"/>
          </w:divBdr>
        </w:div>
      </w:divsChild>
    </w:div>
    <w:div w:id="627127355">
      <w:bodyDiv w:val="1"/>
      <w:marLeft w:val="0"/>
      <w:marRight w:val="0"/>
      <w:marTop w:val="0"/>
      <w:marBottom w:val="0"/>
      <w:divBdr>
        <w:top w:val="none" w:sz="0" w:space="0" w:color="auto"/>
        <w:left w:val="none" w:sz="0" w:space="0" w:color="auto"/>
        <w:bottom w:val="none" w:sz="0" w:space="0" w:color="auto"/>
        <w:right w:val="none" w:sz="0" w:space="0" w:color="auto"/>
      </w:divBdr>
    </w:div>
    <w:div w:id="665939005">
      <w:bodyDiv w:val="1"/>
      <w:marLeft w:val="0"/>
      <w:marRight w:val="0"/>
      <w:marTop w:val="0"/>
      <w:marBottom w:val="0"/>
      <w:divBdr>
        <w:top w:val="none" w:sz="0" w:space="0" w:color="auto"/>
        <w:left w:val="none" w:sz="0" w:space="0" w:color="auto"/>
        <w:bottom w:val="none" w:sz="0" w:space="0" w:color="auto"/>
        <w:right w:val="none" w:sz="0" w:space="0" w:color="auto"/>
      </w:divBdr>
    </w:div>
    <w:div w:id="760030333">
      <w:bodyDiv w:val="1"/>
      <w:marLeft w:val="0"/>
      <w:marRight w:val="0"/>
      <w:marTop w:val="0"/>
      <w:marBottom w:val="0"/>
      <w:divBdr>
        <w:top w:val="none" w:sz="0" w:space="0" w:color="auto"/>
        <w:left w:val="none" w:sz="0" w:space="0" w:color="auto"/>
        <w:bottom w:val="none" w:sz="0" w:space="0" w:color="auto"/>
        <w:right w:val="none" w:sz="0" w:space="0" w:color="auto"/>
      </w:divBdr>
      <w:divsChild>
        <w:div w:id="1018504044">
          <w:marLeft w:val="0"/>
          <w:marRight w:val="0"/>
          <w:marTop w:val="0"/>
          <w:marBottom w:val="0"/>
          <w:divBdr>
            <w:top w:val="none" w:sz="0" w:space="0" w:color="auto"/>
            <w:left w:val="none" w:sz="0" w:space="0" w:color="auto"/>
            <w:bottom w:val="none" w:sz="0" w:space="0" w:color="auto"/>
            <w:right w:val="none" w:sz="0" w:space="0" w:color="auto"/>
          </w:divBdr>
        </w:div>
        <w:div w:id="875584030">
          <w:marLeft w:val="0"/>
          <w:marRight w:val="0"/>
          <w:marTop w:val="0"/>
          <w:marBottom w:val="0"/>
          <w:divBdr>
            <w:top w:val="none" w:sz="0" w:space="0" w:color="auto"/>
            <w:left w:val="none" w:sz="0" w:space="0" w:color="auto"/>
            <w:bottom w:val="none" w:sz="0" w:space="0" w:color="auto"/>
            <w:right w:val="none" w:sz="0" w:space="0" w:color="auto"/>
          </w:divBdr>
        </w:div>
      </w:divsChild>
    </w:div>
    <w:div w:id="995181703">
      <w:bodyDiv w:val="1"/>
      <w:marLeft w:val="0"/>
      <w:marRight w:val="0"/>
      <w:marTop w:val="0"/>
      <w:marBottom w:val="0"/>
      <w:divBdr>
        <w:top w:val="none" w:sz="0" w:space="0" w:color="auto"/>
        <w:left w:val="none" w:sz="0" w:space="0" w:color="auto"/>
        <w:bottom w:val="none" w:sz="0" w:space="0" w:color="auto"/>
        <w:right w:val="none" w:sz="0" w:space="0" w:color="auto"/>
      </w:divBdr>
    </w:div>
    <w:div w:id="1022394003">
      <w:bodyDiv w:val="1"/>
      <w:marLeft w:val="0"/>
      <w:marRight w:val="0"/>
      <w:marTop w:val="0"/>
      <w:marBottom w:val="0"/>
      <w:divBdr>
        <w:top w:val="none" w:sz="0" w:space="0" w:color="auto"/>
        <w:left w:val="none" w:sz="0" w:space="0" w:color="auto"/>
        <w:bottom w:val="none" w:sz="0" w:space="0" w:color="auto"/>
        <w:right w:val="none" w:sz="0" w:space="0" w:color="auto"/>
      </w:divBdr>
    </w:div>
    <w:div w:id="1026785190">
      <w:bodyDiv w:val="1"/>
      <w:marLeft w:val="0"/>
      <w:marRight w:val="0"/>
      <w:marTop w:val="0"/>
      <w:marBottom w:val="0"/>
      <w:divBdr>
        <w:top w:val="none" w:sz="0" w:space="0" w:color="auto"/>
        <w:left w:val="none" w:sz="0" w:space="0" w:color="auto"/>
        <w:bottom w:val="none" w:sz="0" w:space="0" w:color="auto"/>
        <w:right w:val="none" w:sz="0" w:space="0" w:color="auto"/>
      </w:divBdr>
    </w:div>
    <w:div w:id="1148325945">
      <w:bodyDiv w:val="1"/>
      <w:marLeft w:val="0"/>
      <w:marRight w:val="0"/>
      <w:marTop w:val="0"/>
      <w:marBottom w:val="0"/>
      <w:divBdr>
        <w:top w:val="none" w:sz="0" w:space="0" w:color="auto"/>
        <w:left w:val="none" w:sz="0" w:space="0" w:color="auto"/>
        <w:bottom w:val="none" w:sz="0" w:space="0" w:color="auto"/>
        <w:right w:val="none" w:sz="0" w:space="0" w:color="auto"/>
      </w:divBdr>
      <w:divsChild>
        <w:div w:id="820653648">
          <w:marLeft w:val="0"/>
          <w:marRight w:val="0"/>
          <w:marTop w:val="0"/>
          <w:marBottom w:val="0"/>
          <w:divBdr>
            <w:top w:val="none" w:sz="0" w:space="0" w:color="auto"/>
            <w:left w:val="none" w:sz="0" w:space="0" w:color="auto"/>
            <w:bottom w:val="none" w:sz="0" w:space="0" w:color="auto"/>
            <w:right w:val="none" w:sz="0" w:space="0" w:color="auto"/>
          </w:divBdr>
        </w:div>
      </w:divsChild>
    </w:div>
    <w:div w:id="1195659199">
      <w:bodyDiv w:val="1"/>
      <w:marLeft w:val="0"/>
      <w:marRight w:val="0"/>
      <w:marTop w:val="0"/>
      <w:marBottom w:val="0"/>
      <w:divBdr>
        <w:top w:val="none" w:sz="0" w:space="0" w:color="auto"/>
        <w:left w:val="none" w:sz="0" w:space="0" w:color="auto"/>
        <w:bottom w:val="none" w:sz="0" w:space="0" w:color="auto"/>
        <w:right w:val="none" w:sz="0" w:space="0" w:color="auto"/>
      </w:divBdr>
      <w:divsChild>
        <w:div w:id="1958832935">
          <w:marLeft w:val="0"/>
          <w:marRight w:val="0"/>
          <w:marTop w:val="0"/>
          <w:marBottom w:val="0"/>
          <w:divBdr>
            <w:top w:val="none" w:sz="0" w:space="0" w:color="auto"/>
            <w:left w:val="none" w:sz="0" w:space="0" w:color="auto"/>
            <w:bottom w:val="none" w:sz="0" w:space="0" w:color="auto"/>
            <w:right w:val="none" w:sz="0" w:space="0" w:color="auto"/>
          </w:divBdr>
        </w:div>
      </w:divsChild>
    </w:div>
    <w:div w:id="1272208156">
      <w:bodyDiv w:val="1"/>
      <w:marLeft w:val="0"/>
      <w:marRight w:val="0"/>
      <w:marTop w:val="0"/>
      <w:marBottom w:val="0"/>
      <w:divBdr>
        <w:top w:val="none" w:sz="0" w:space="0" w:color="auto"/>
        <w:left w:val="none" w:sz="0" w:space="0" w:color="auto"/>
        <w:bottom w:val="none" w:sz="0" w:space="0" w:color="auto"/>
        <w:right w:val="none" w:sz="0" w:space="0" w:color="auto"/>
      </w:divBdr>
    </w:div>
    <w:div w:id="1275017451">
      <w:bodyDiv w:val="1"/>
      <w:marLeft w:val="0"/>
      <w:marRight w:val="0"/>
      <w:marTop w:val="0"/>
      <w:marBottom w:val="0"/>
      <w:divBdr>
        <w:top w:val="none" w:sz="0" w:space="0" w:color="auto"/>
        <w:left w:val="none" w:sz="0" w:space="0" w:color="auto"/>
        <w:bottom w:val="none" w:sz="0" w:space="0" w:color="auto"/>
        <w:right w:val="none" w:sz="0" w:space="0" w:color="auto"/>
      </w:divBdr>
    </w:div>
    <w:div w:id="1294140921">
      <w:bodyDiv w:val="1"/>
      <w:marLeft w:val="0"/>
      <w:marRight w:val="0"/>
      <w:marTop w:val="0"/>
      <w:marBottom w:val="0"/>
      <w:divBdr>
        <w:top w:val="none" w:sz="0" w:space="0" w:color="auto"/>
        <w:left w:val="none" w:sz="0" w:space="0" w:color="auto"/>
        <w:bottom w:val="none" w:sz="0" w:space="0" w:color="auto"/>
        <w:right w:val="none" w:sz="0" w:space="0" w:color="auto"/>
      </w:divBdr>
    </w:div>
    <w:div w:id="1370640622">
      <w:bodyDiv w:val="1"/>
      <w:marLeft w:val="0"/>
      <w:marRight w:val="0"/>
      <w:marTop w:val="0"/>
      <w:marBottom w:val="0"/>
      <w:divBdr>
        <w:top w:val="none" w:sz="0" w:space="0" w:color="auto"/>
        <w:left w:val="none" w:sz="0" w:space="0" w:color="auto"/>
        <w:bottom w:val="none" w:sz="0" w:space="0" w:color="auto"/>
        <w:right w:val="none" w:sz="0" w:space="0" w:color="auto"/>
      </w:divBdr>
    </w:div>
    <w:div w:id="1437869980">
      <w:bodyDiv w:val="1"/>
      <w:marLeft w:val="0"/>
      <w:marRight w:val="0"/>
      <w:marTop w:val="0"/>
      <w:marBottom w:val="0"/>
      <w:divBdr>
        <w:top w:val="none" w:sz="0" w:space="0" w:color="auto"/>
        <w:left w:val="none" w:sz="0" w:space="0" w:color="auto"/>
        <w:bottom w:val="none" w:sz="0" w:space="0" w:color="auto"/>
        <w:right w:val="none" w:sz="0" w:space="0" w:color="auto"/>
      </w:divBdr>
    </w:div>
    <w:div w:id="1465461856">
      <w:bodyDiv w:val="1"/>
      <w:marLeft w:val="0"/>
      <w:marRight w:val="0"/>
      <w:marTop w:val="0"/>
      <w:marBottom w:val="0"/>
      <w:divBdr>
        <w:top w:val="none" w:sz="0" w:space="0" w:color="auto"/>
        <w:left w:val="none" w:sz="0" w:space="0" w:color="auto"/>
        <w:bottom w:val="none" w:sz="0" w:space="0" w:color="auto"/>
        <w:right w:val="none" w:sz="0" w:space="0" w:color="auto"/>
      </w:divBdr>
    </w:div>
    <w:div w:id="1489665112">
      <w:bodyDiv w:val="1"/>
      <w:marLeft w:val="0"/>
      <w:marRight w:val="0"/>
      <w:marTop w:val="0"/>
      <w:marBottom w:val="0"/>
      <w:divBdr>
        <w:top w:val="none" w:sz="0" w:space="0" w:color="auto"/>
        <w:left w:val="none" w:sz="0" w:space="0" w:color="auto"/>
        <w:bottom w:val="none" w:sz="0" w:space="0" w:color="auto"/>
        <w:right w:val="none" w:sz="0" w:space="0" w:color="auto"/>
      </w:divBdr>
    </w:div>
    <w:div w:id="1508982759">
      <w:bodyDiv w:val="1"/>
      <w:marLeft w:val="0"/>
      <w:marRight w:val="0"/>
      <w:marTop w:val="0"/>
      <w:marBottom w:val="0"/>
      <w:divBdr>
        <w:top w:val="none" w:sz="0" w:space="0" w:color="auto"/>
        <w:left w:val="none" w:sz="0" w:space="0" w:color="auto"/>
        <w:bottom w:val="none" w:sz="0" w:space="0" w:color="auto"/>
        <w:right w:val="none" w:sz="0" w:space="0" w:color="auto"/>
      </w:divBdr>
      <w:divsChild>
        <w:div w:id="1663191280">
          <w:marLeft w:val="0"/>
          <w:marRight w:val="0"/>
          <w:marTop w:val="0"/>
          <w:marBottom w:val="0"/>
          <w:divBdr>
            <w:top w:val="none" w:sz="0" w:space="0" w:color="auto"/>
            <w:left w:val="none" w:sz="0" w:space="0" w:color="auto"/>
            <w:bottom w:val="none" w:sz="0" w:space="0" w:color="auto"/>
            <w:right w:val="none" w:sz="0" w:space="0" w:color="auto"/>
          </w:divBdr>
        </w:div>
        <w:div w:id="328365068">
          <w:marLeft w:val="0"/>
          <w:marRight w:val="0"/>
          <w:marTop w:val="0"/>
          <w:marBottom w:val="0"/>
          <w:divBdr>
            <w:top w:val="none" w:sz="0" w:space="0" w:color="auto"/>
            <w:left w:val="none" w:sz="0" w:space="0" w:color="auto"/>
            <w:bottom w:val="none" w:sz="0" w:space="0" w:color="auto"/>
            <w:right w:val="none" w:sz="0" w:space="0" w:color="auto"/>
          </w:divBdr>
        </w:div>
        <w:div w:id="1276671566">
          <w:marLeft w:val="0"/>
          <w:marRight w:val="0"/>
          <w:marTop w:val="0"/>
          <w:marBottom w:val="0"/>
          <w:divBdr>
            <w:top w:val="none" w:sz="0" w:space="0" w:color="auto"/>
            <w:left w:val="none" w:sz="0" w:space="0" w:color="auto"/>
            <w:bottom w:val="none" w:sz="0" w:space="0" w:color="auto"/>
            <w:right w:val="none" w:sz="0" w:space="0" w:color="auto"/>
          </w:divBdr>
        </w:div>
        <w:div w:id="274485705">
          <w:marLeft w:val="0"/>
          <w:marRight w:val="0"/>
          <w:marTop w:val="0"/>
          <w:marBottom w:val="0"/>
          <w:divBdr>
            <w:top w:val="none" w:sz="0" w:space="0" w:color="auto"/>
            <w:left w:val="none" w:sz="0" w:space="0" w:color="auto"/>
            <w:bottom w:val="none" w:sz="0" w:space="0" w:color="auto"/>
            <w:right w:val="none" w:sz="0" w:space="0" w:color="auto"/>
          </w:divBdr>
        </w:div>
      </w:divsChild>
    </w:div>
    <w:div w:id="1573858058">
      <w:bodyDiv w:val="1"/>
      <w:marLeft w:val="0"/>
      <w:marRight w:val="0"/>
      <w:marTop w:val="0"/>
      <w:marBottom w:val="0"/>
      <w:divBdr>
        <w:top w:val="none" w:sz="0" w:space="0" w:color="auto"/>
        <w:left w:val="none" w:sz="0" w:space="0" w:color="auto"/>
        <w:bottom w:val="none" w:sz="0" w:space="0" w:color="auto"/>
        <w:right w:val="none" w:sz="0" w:space="0" w:color="auto"/>
      </w:divBdr>
    </w:div>
    <w:div w:id="1678264774">
      <w:bodyDiv w:val="1"/>
      <w:marLeft w:val="0"/>
      <w:marRight w:val="0"/>
      <w:marTop w:val="0"/>
      <w:marBottom w:val="0"/>
      <w:divBdr>
        <w:top w:val="none" w:sz="0" w:space="0" w:color="auto"/>
        <w:left w:val="none" w:sz="0" w:space="0" w:color="auto"/>
        <w:bottom w:val="none" w:sz="0" w:space="0" w:color="auto"/>
        <w:right w:val="none" w:sz="0" w:space="0" w:color="auto"/>
      </w:divBdr>
    </w:div>
    <w:div w:id="1775249470">
      <w:bodyDiv w:val="1"/>
      <w:marLeft w:val="0"/>
      <w:marRight w:val="0"/>
      <w:marTop w:val="0"/>
      <w:marBottom w:val="0"/>
      <w:divBdr>
        <w:top w:val="none" w:sz="0" w:space="0" w:color="auto"/>
        <w:left w:val="none" w:sz="0" w:space="0" w:color="auto"/>
        <w:bottom w:val="none" w:sz="0" w:space="0" w:color="auto"/>
        <w:right w:val="none" w:sz="0" w:space="0" w:color="auto"/>
      </w:divBdr>
    </w:div>
    <w:div w:id="1995259690">
      <w:bodyDiv w:val="1"/>
      <w:marLeft w:val="0"/>
      <w:marRight w:val="0"/>
      <w:marTop w:val="0"/>
      <w:marBottom w:val="0"/>
      <w:divBdr>
        <w:top w:val="none" w:sz="0" w:space="0" w:color="auto"/>
        <w:left w:val="none" w:sz="0" w:space="0" w:color="auto"/>
        <w:bottom w:val="none" w:sz="0" w:space="0" w:color="auto"/>
        <w:right w:val="none" w:sz="0" w:space="0" w:color="auto"/>
      </w:divBdr>
    </w:div>
    <w:div w:id="2109228298">
      <w:bodyDiv w:val="1"/>
      <w:marLeft w:val="0"/>
      <w:marRight w:val="0"/>
      <w:marTop w:val="0"/>
      <w:marBottom w:val="0"/>
      <w:divBdr>
        <w:top w:val="none" w:sz="0" w:space="0" w:color="auto"/>
        <w:left w:val="none" w:sz="0" w:space="0" w:color="auto"/>
        <w:bottom w:val="none" w:sz="0" w:space="0" w:color="auto"/>
        <w:right w:val="none" w:sz="0" w:space="0" w:color="auto"/>
      </w:divBdr>
    </w:div>
    <w:div w:id="2147355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customXml" Target="../customXml/item6.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520and%2520Settings\mrullan\Application%2520Data\Microsoft\Templates\Medida-V200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b4febbdb716a1026e8375c4a0e6e9360">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51fc3ec2639e53c3580a1f050f36d6e"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LongProperties xmlns="http://schemas.microsoft.com/office/2006/metadata/long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_dlc_DocId xmlns="c890fddd-4e87-4e08-8b51-545f2a3f7b06">4SQX5P7U7WPY-958212181-821789</_dlc_DocId>
    <lcf76f155ced4ddcb4097134ff3c332f xmlns="f29de0d1-023e-4363-82d3-bb472b30be6a">
      <Terms xmlns="http://schemas.microsoft.com/office/infopath/2007/PartnerControls"/>
    </lcf76f155ced4ddcb4097134ff3c332f>
    <TaxCatchAll xmlns="c890fddd-4e87-4e08-8b51-545f2a3f7b06" xsi:nil="true"/>
    <_ip_UnifiedCompliancePolicyUIAction xmlns="http://schemas.microsoft.com/sharepoint/v3" xsi:nil="true"/>
    <_dlc_DocIdUrl xmlns="c890fddd-4e87-4e08-8b51-545f2a3f7b06">
      <Url>https://senpr.sharepoint.com/sites/obralegislativa/_layouts/15/DocIdRedir.aspx?ID=4SQX5P7U7WPY-958212181-821789</Url>
      <Description>4SQX5P7U7WPY-958212181-821789</Description>
    </_dlc_DocIdUrl>
    <_ip_UnifiedCompliancePolicyProperties xmlns="http://schemas.microsoft.com/sharepoint/v3" xsi:nil="true"/>
  </documentManagement>
</p:properties>
</file>

<file path=customXml/itemProps1.xml><?xml version="1.0" encoding="utf-8"?>
<ds:datastoreItem xmlns:ds="http://schemas.openxmlformats.org/officeDocument/2006/customXml" ds:itemID="{B8E4E84C-C8FB-476E-B6D3-8D776357D4C6}"/>
</file>

<file path=customXml/itemProps2.xml><?xml version="1.0" encoding="utf-8"?>
<ds:datastoreItem xmlns:ds="http://schemas.openxmlformats.org/officeDocument/2006/customXml" ds:itemID="{C1CF60D2-A7E7-4588-AEE9-77E8FB195952}">
  <ds:schemaRefs>
    <ds:schemaRef ds:uri="http://schemas.openxmlformats.org/officeDocument/2006/bibliography"/>
    <ds:schemaRef ds:uri="http://www.w3.org/2000/xmlns/"/>
  </ds:schemaRefs>
</ds:datastoreItem>
</file>

<file path=customXml/itemProps3.xml><?xml version="1.0" encoding="utf-8"?>
<ds:datastoreItem xmlns:ds="http://schemas.openxmlformats.org/officeDocument/2006/customXml" ds:itemID="{7F486869-AF01-4B46-A80D-4ECDD58E329B}">
  <ds:schemaRefs>
    <ds:schemaRef ds:uri="http://schemas.microsoft.com/office/2006/metadata/longProperties"/>
  </ds:schemaRefs>
</ds:datastoreItem>
</file>

<file path=customXml/itemProps4.xml><?xml version="1.0" encoding="utf-8"?>
<ds:datastoreItem xmlns:ds="http://schemas.openxmlformats.org/officeDocument/2006/customXml" ds:itemID="{9A647714-0C83-425A-8229-CECCAAE83A0D}">
  <ds:schemaRefs>
    <ds:schemaRef ds:uri="http://schemas.microsoft.com/sharepoint/events"/>
    <ds:schemaRef ds:uri="http://www.w3.org/2000/xmlns/"/>
  </ds:schemaRefs>
</ds:datastoreItem>
</file>

<file path=customXml/itemProps5.xml><?xml version="1.0" encoding="utf-8"?>
<ds:datastoreItem xmlns:ds="http://schemas.openxmlformats.org/officeDocument/2006/customXml" ds:itemID="{45C0A04F-F275-4002-94E8-B5CD6C5191A5}">
  <ds:schemaRefs>
    <ds:schemaRef ds:uri="http://schemas.microsoft.com/sharepoint/v3/contenttype/forms"/>
  </ds:schemaRefs>
</ds:datastoreItem>
</file>

<file path=customXml/itemProps6.xml><?xml version="1.0" encoding="utf-8"?>
<ds:datastoreItem xmlns:ds="http://schemas.openxmlformats.org/officeDocument/2006/customXml" ds:itemID="{15BFAA1D-0A88-4610-BE53-2CC173C407D1}"/>
</file>

<file path=docProps/app.xml><?xml version="1.0" encoding="utf-8"?>
<Properties xmlns="http://schemas.openxmlformats.org/officeDocument/2006/extended-properties" xmlns:vt="http://schemas.openxmlformats.org/officeDocument/2006/docPropsVTypes">
  <Template>Medida-V2005</Template>
  <TotalTime>14</TotalTime>
  <Pages>5</Pages>
  <Words>1227</Words>
  <Characters>6912</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Asamblea legislativa</Company>
  <LinksUpToDate>false</LinksUpToDate>
  <CharactersWithSpaces>8123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mrullan</dc:creator>
  <cp:keywords/>
  <cp:lastModifiedBy>Eric J. González (Trámites y Récords)</cp:lastModifiedBy>
  <cp:revision>5</cp:revision>
  <cp:lastPrinted>2021-05-04T12:09:00Z</cp:lastPrinted>
  <dcterms:created xsi:type="dcterms:W3CDTF">2025-11-18T13:25:00Z</dcterms:created>
  <dcterms:modified xsi:type="dcterms:W3CDTF">2025-11-20T12:35:00Z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4SQX5P7U7WPY-958212181-809911</vt:lpwstr>
  </property>
  <property fmtid="{D5CDD505-2E9C-101B-9397-08002B2CF9AE}" pid="3" name="_dlc_DocIdItemGuid">
    <vt:lpwstr>13046d14-b5f9-4bdf-9552-e222e78b79bc</vt:lpwstr>
  </property>
  <property fmtid="{D5CDD505-2E9C-101B-9397-08002B2CF9AE}" pid="4" name="_dlc_DocIdUrl">
    <vt:lpwstr>https://senpr.sharepoint.com/sites/obralegislativa/_layouts/15/DocIdRedir.aspx?ID=4SQX5P7U7WPY-958212181-809911, 4SQX5P7U7WPY-958212181-809911</vt:lpwstr>
  </property>
  <property fmtid="{D5CDD505-2E9C-101B-9397-08002B2CF9AE}" pid="5" name="MediaServiceImageTags">
    <vt:lpwstr/>
  </property>
  <property fmtid="{D5CDD505-2E9C-101B-9397-08002B2CF9AE}" pid="6" name="ContentTypeId">
    <vt:lpwstr>0x0101008C58FC75B682744FB4A53C756BEDC3A3</vt:lpwstr>
  </property>
</Properties>
</file>