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6772EB00" w:rsidR="00EE1E93" w:rsidRPr="00700566" w:rsidRDefault="002B433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 xml:space="preserve">de la C. </w:t>
      </w:r>
      <w:r w:rsidR="008F15BB">
        <w:rPr>
          <w:rFonts w:ascii="Book Antiqua" w:eastAsia="Book Antiqua" w:hAnsi="Book Antiqua" w:cs="Book Antiqua"/>
          <w:b/>
          <w:sz w:val="52"/>
          <w:szCs w:val="52"/>
        </w:rPr>
        <w:t>246</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3CD84C81" w:rsidR="00EE1E93" w:rsidRPr="00700566" w:rsidRDefault="006E6EE3" w:rsidP="00EE1E93">
      <w:pPr>
        <w:spacing w:line="360" w:lineRule="auto"/>
        <w:jc w:val="center"/>
        <w:rPr>
          <w:rFonts w:ascii="Book Antiqua" w:eastAsia="Book Antiqua" w:hAnsi="Book Antiqua" w:cs="Book Antiqua"/>
          <w:b/>
        </w:rPr>
      </w:pPr>
      <w:r>
        <w:rPr>
          <w:rFonts w:ascii="Book Antiqua" w:eastAsia="Book Antiqua" w:hAnsi="Book Antiqua" w:cs="Book Antiqua"/>
        </w:rPr>
        <w:t>9</w:t>
      </w:r>
      <w:r w:rsidR="00EE1E93" w:rsidRPr="00700566">
        <w:rPr>
          <w:rFonts w:ascii="Book Antiqua" w:eastAsia="Book Antiqua" w:hAnsi="Book Antiqua" w:cs="Book Antiqua"/>
        </w:rPr>
        <w:t xml:space="preserve"> de </w:t>
      </w:r>
      <w:r w:rsidR="00DD7530">
        <w:rPr>
          <w:rFonts w:ascii="Book Antiqua" w:eastAsia="Book Antiqua" w:hAnsi="Book Antiqua" w:cs="Book Antiqua"/>
        </w:rPr>
        <w:t>febrero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70953497"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2B4336">
        <w:rPr>
          <w:rFonts w:ascii="Book Antiqua" w:eastAsia="Book Antiqua" w:hAnsi="Book Antiqua" w:cs="Book Antiqua"/>
        </w:rPr>
        <w:t>R</w:t>
      </w:r>
      <w:r w:rsidRPr="00700566">
        <w:rPr>
          <w:rFonts w:ascii="Book Antiqua" w:eastAsia="Book Antiqua" w:hAnsi="Book Antiqua" w:cs="Book Antiqua"/>
        </w:rPr>
        <w:t xml:space="preserve">. </w:t>
      </w:r>
      <w:r w:rsidR="002B4336">
        <w:rPr>
          <w:rFonts w:ascii="Book Antiqua" w:eastAsia="Book Antiqua" w:hAnsi="Book Antiqua" w:cs="Book Antiqua"/>
        </w:rPr>
        <w:t xml:space="preserve">C. </w:t>
      </w:r>
      <w:r w:rsidRPr="00700566">
        <w:rPr>
          <w:rFonts w:ascii="Book Antiqua" w:eastAsia="Book Antiqua" w:hAnsi="Book Antiqua" w:cs="Book Antiqua"/>
        </w:rPr>
        <w:t>de la C.</w:t>
      </w:r>
      <w:r>
        <w:rPr>
          <w:rFonts w:ascii="Book Antiqua" w:eastAsia="Book Antiqua" w:hAnsi="Book Antiqua" w:cs="Book Antiqua"/>
        </w:rPr>
        <w:t xml:space="preserve"> </w:t>
      </w:r>
      <w:r w:rsidR="008F15BB">
        <w:rPr>
          <w:rFonts w:ascii="Book Antiqua" w:eastAsia="Book Antiqua" w:hAnsi="Book Antiqua" w:cs="Book Antiqua"/>
        </w:rPr>
        <w:t>246</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7996F9B2" w14:textId="6FED0136" w:rsidR="00FC02D0" w:rsidRPr="00FC02D0" w:rsidRDefault="00FC02D0" w:rsidP="00FC02D0">
      <w:pPr>
        <w:ind w:firstLine="720"/>
        <w:jc w:val="both"/>
        <w:rPr>
          <w:rFonts w:ascii="Book Antiqua" w:eastAsia="Book Antiqua" w:hAnsi="Book Antiqua" w:cs="Book Antiqua"/>
          <w:bCs/>
          <w:lang w:val="es-419"/>
        </w:rPr>
      </w:pPr>
      <w:r w:rsidRPr="00FC02D0">
        <w:rPr>
          <w:rFonts w:ascii="Book Antiqua" w:eastAsia="Book Antiqua" w:hAnsi="Book Antiqua" w:cs="Book Antiqua"/>
          <w:bCs/>
        </w:rPr>
        <w:t xml:space="preserve">La Resolución Conjunta de la Cámara 246 tiene como propósito ordenar al Departamento de Transportación y Obras Públicas (DTOP) y a la Autoridad de Carreteras y Transportación de Puerto Rico (ACT), conforme a los estatutos de la Ley Núm. 74 de 23 de junio de 1965, según enmendada, en coordinación con LUMA Energy, la Autoridad de Energía Eléctrica o cualquier otra entidad correspondiente, a establecer e implementar los mecanismos necesarios para el funcionamiento eficiente de los sistemas de alumbrado eléctrico, así como de los semáforos o señales de control de tráfico, en las calles y carreteras que viabilizan el tránsito de vehículos y peatones en los </w:t>
      </w:r>
      <w:r w:rsidRPr="00FC02D0">
        <w:rPr>
          <w:rFonts w:ascii="Book Antiqua" w:eastAsia="Book Antiqua" w:hAnsi="Book Antiqua" w:cs="Book Antiqua"/>
          <w:bCs/>
          <w:lang w:val="es-419"/>
        </w:rPr>
        <w:t>M</w:t>
      </w:r>
      <w:proofErr w:type="spellStart"/>
      <w:r w:rsidRPr="00FC02D0">
        <w:rPr>
          <w:rFonts w:ascii="Book Antiqua" w:eastAsia="Book Antiqua" w:hAnsi="Book Antiqua" w:cs="Book Antiqua"/>
          <w:bCs/>
        </w:rPr>
        <w:t>unicipios</w:t>
      </w:r>
      <w:proofErr w:type="spellEnd"/>
      <w:r w:rsidRPr="00FC02D0">
        <w:rPr>
          <w:rFonts w:ascii="Book Antiqua" w:eastAsia="Book Antiqua" w:hAnsi="Book Antiqua" w:cs="Book Antiqua"/>
          <w:bCs/>
        </w:rPr>
        <w:t xml:space="preserve"> de Cidra y Cayey, los cuales comprenden el Distrito Representativo número 29.</w:t>
      </w:r>
    </w:p>
    <w:p w14:paraId="5CBE14B1" w14:textId="77777777" w:rsidR="00FC02D0" w:rsidRPr="00FC02D0" w:rsidRDefault="00FC02D0" w:rsidP="00FC02D0">
      <w:pPr>
        <w:ind w:firstLine="720"/>
        <w:jc w:val="both"/>
        <w:rPr>
          <w:rFonts w:ascii="Book Antiqua" w:eastAsia="Book Antiqua" w:hAnsi="Book Antiqua" w:cs="Book Antiqua"/>
          <w:bCs/>
          <w:lang w:val="es-419"/>
        </w:rPr>
      </w:pPr>
    </w:p>
    <w:p w14:paraId="0E956962" w14:textId="7D57BCF4" w:rsidR="00FC02D0" w:rsidRPr="00CF7117" w:rsidRDefault="00FC02D0" w:rsidP="00FC02D0">
      <w:pPr>
        <w:ind w:firstLine="720"/>
        <w:jc w:val="both"/>
        <w:rPr>
          <w:rFonts w:ascii="Book Antiqua" w:eastAsia="Book Antiqua" w:hAnsi="Book Antiqua" w:cs="Book Antiqua"/>
          <w:bCs/>
          <w:lang w:val="es-PR"/>
        </w:rPr>
      </w:pPr>
      <w:r w:rsidRPr="00FC02D0">
        <w:rPr>
          <w:rFonts w:ascii="Book Antiqua" w:eastAsia="Book Antiqua" w:hAnsi="Book Antiqua" w:cs="Book Antiqua"/>
          <w:bCs/>
        </w:rPr>
        <w:t>La medida, además, ordena el desarrollo de planes de mantenimiento y provisión de servicios dirigidos a garantizar la existencia y ejecución efectiva de la infraestructura que genere energía para una iluminación adecuada y precisa en las vías de rodaje y caminos antes referidos, y dispone que las agencias concernidas rindan un informe a la Asamblea Legislativa sobre el cumplimiento con lo ordenado.</w:t>
      </w:r>
    </w:p>
    <w:p w14:paraId="4CD829CC" w14:textId="77777777" w:rsidR="00FC02D0" w:rsidRPr="00CF7117" w:rsidRDefault="00FC02D0" w:rsidP="00FC02D0">
      <w:pPr>
        <w:ind w:firstLine="720"/>
        <w:jc w:val="both"/>
        <w:rPr>
          <w:rFonts w:ascii="Book Antiqua" w:eastAsia="Book Antiqua" w:hAnsi="Book Antiqua" w:cs="Book Antiqua"/>
          <w:bCs/>
          <w:lang w:val="es-PR"/>
        </w:rPr>
      </w:pPr>
    </w:p>
    <w:p w14:paraId="14F898A4" w14:textId="6C201754" w:rsidR="00FC02D0" w:rsidRPr="00CF7117" w:rsidRDefault="00FC02D0" w:rsidP="00FC02D0">
      <w:pPr>
        <w:ind w:firstLine="720"/>
        <w:jc w:val="both"/>
        <w:rPr>
          <w:rFonts w:ascii="Book Antiqua" w:eastAsia="Book Antiqua" w:hAnsi="Book Antiqua" w:cs="Book Antiqua"/>
          <w:bCs/>
          <w:lang w:val="es-PR"/>
        </w:rPr>
      </w:pPr>
      <w:r w:rsidRPr="00FC02D0">
        <w:rPr>
          <w:rFonts w:ascii="Book Antiqua" w:eastAsia="Book Antiqua" w:hAnsi="Book Antiqua" w:cs="Book Antiqua"/>
          <w:bCs/>
        </w:rPr>
        <w:lastRenderedPageBreak/>
        <w:t xml:space="preserve">Según se desprende de la </w:t>
      </w:r>
      <w:r w:rsidRPr="00FC02D0">
        <w:rPr>
          <w:rFonts w:ascii="Book Antiqua" w:eastAsia="Book Antiqua" w:hAnsi="Book Antiqua" w:cs="Book Antiqua"/>
          <w:bCs/>
          <w:lang w:val="es-419"/>
        </w:rPr>
        <w:t>e</w:t>
      </w:r>
      <w:proofErr w:type="spellStart"/>
      <w:r w:rsidRPr="00FC02D0">
        <w:rPr>
          <w:rFonts w:ascii="Book Antiqua" w:eastAsia="Book Antiqua" w:hAnsi="Book Antiqua" w:cs="Book Antiqua"/>
          <w:bCs/>
        </w:rPr>
        <w:t>xposición</w:t>
      </w:r>
      <w:proofErr w:type="spellEnd"/>
      <w:r w:rsidRPr="00FC02D0">
        <w:rPr>
          <w:rFonts w:ascii="Book Antiqua" w:eastAsia="Book Antiqua" w:hAnsi="Book Antiqua" w:cs="Book Antiqua"/>
          <w:bCs/>
        </w:rPr>
        <w:t xml:space="preserve"> de </w:t>
      </w:r>
      <w:r w:rsidRPr="00FC02D0">
        <w:rPr>
          <w:rFonts w:ascii="Book Antiqua" w:eastAsia="Book Antiqua" w:hAnsi="Book Antiqua" w:cs="Book Antiqua"/>
          <w:bCs/>
          <w:lang w:val="es-419"/>
        </w:rPr>
        <w:t>m</w:t>
      </w:r>
      <w:proofErr w:type="spellStart"/>
      <w:r w:rsidRPr="00FC02D0">
        <w:rPr>
          <w:rFonts w:ascii="Book Antiqua" w:eastAsia="Book Antiqua" w:hAnsi="Book Antiqua" w:cs="Book Antiqua"/>
          <w:bCs/>
        </w:rPr>
        <w:t>otivos</w:t>
      </w:r>
      <w:proofErr w:type="spellEnd"/>
      <w:r w:rsidRPr="00FC02D0">
        <w:rPr>
          <w:rFonts w:ascii="Book Antiqua" w:eastAsia="Book Antiqua" w:hAnsi="Book Antiqua" w:cs="Book Antiqua"/>
          <w:bCs/>
        </w:rPr>
        <w:t>, el Gobierno de Puerto Rico reconoce como política pública el mantenimiento de las vías públicas en condiciones óptimas, no solo para el tránsito vehicular, sino también para la seguridad de los peatones y demás usuarios.</w:t>
      </w:r>
    </w:p>
    <w:p w14:paraId="7F6C0B95" w14:textId="77777777" w:rsidR="00FC02D0" w:rsidRPr="00CF7117" w:rsidRDefault="00FC02D0" w:rsidP="00FC02D0">
      <w:pPr>
        <w:ind w:firstLine="720"/>
        <w:jc w:val="both"/>
        <w:rPr>
          <w:rFonts w:ascii="Book Antiqua" w:eastAsia="Book Antiqua" w:hAnsi="Book Antiqua" w:cs="Book Antiqua"/>
          <w:bCs/>
          <w:lang w:val="es-PR"/>
        </w:rPr>
      </w:pPr>
    </w:p>
    <w:p w14:paraId="20047C5C" w14:textId="77777777" w:rsidR="00FC02D0" w:rsidRPr="00CF7117" w:rsidRDefault="00FC02D0" w:rsidP="00FC02D0">
      <w:pPr>
        <w:ind w:firstLine="720"/>
        <w:jc w:val="both"/>
        <w:rPr>
          <w:rFonts w:ascii="Book Antiqua" w:eastAsia="Book Antiqua" w:hAnsi="Book Antiqua" w:cs="Book Antiqua"/>
          <w:bCs/>
          <w:lang w:val="es-PR"/>
        </w:rPr>
      </w:pPr>
      <w:r w:rsidRPr="00FC02D0">
        <w:rPr>
          <w:rFonts w:ascii="Book Antiqua" w:eastAsia="Book Antiqua" w:hAnsi="Book Antiqua" w:cs="Book Antiqua"/>
          <w:bCs/>
        </w:rPr>
        <w:t>La medida expone que una gran cantidad de las carreteras del país presentan condiciones de deterioro asociadas a la falta de mantenimiento adecuado, deficiencias en el alumbrado público y el mal funcionamiento de semáforos o señales de control de tráfico, lo que incide directamente en la seguridad vial y la calidad de vida de la ciudadanía.</w:t>
      </w:r>
    </w:p>
    <w:p w14:paraId="3C1841A8" w14:textId="77777777" w:rsidR="00FC02D0" w:rsidRPr="00CF7117" w:rsidRDefault="00FC02D0" w:rsidP="00FC02D0">
      <w:pPr>
        <w:ind w:firstLine="720"/>
        <w:jc w:val="both"/>
        <w:rPr>
          <w:rFonts w:ascii="Book Antiqua" w:eastAsia="Book Antiqua" w:hAnsi="Book Antiqua" w:cs="Book Antiqua"/>
          <w:bCs/>
          <w:lang w:val="es-PR"/>
        </w:rPr>
      </w:pPr>
    </w:p>
    <w:p w14:paraId="67239269" w14:textId="2816ED97" w:rsidR="00FC02D0" w:rsidRPr="00FC02D0" w:rsidRDefault="00FC02D0" w:rsidP="00FC02D0">
      <w:pPr>
        <w:ind w:firstLine="720"/>
        <w:jc w:val="both"/>
        <w:rPr>
          <w:rFonts w:ascii="Book Antiqua" w:eastAsia="Book Antiqua" w:hAnsi="Book Antiqua" w:cs="Book Antiqua"/>
          <w:bCs/>
        </w:rPr>
      </w:pPr>
      <w:r w:rsidRPr="00FC02D0">
        <w:rPr>
          <w:rFonts w:ascii="Book Antiqua" w:eastAsia="Book Antiqua" w:hAnsi="Book Antiqua" w:cs="Book Antiqua"/>
          <w:bCs/>
        </w:rPr>
        <w:t xml:space="preserve">De manera particular, se destaca la situación de los </w:t>
      </w:r>
      <w:r w:rsidRPr="00FC02D0">
        <w:rPr>
          <w:rFonts w:ascii="Book Antiqua" w:eastAsia="Book Antiqua" w:hAnsi="Book Antiqua" w:cs="Book Antiqua"/>
          <w:bCs/>
          <w:lang w:val="es-419"/>
        </w:rPr>
        <w:t>M</w:t>
      </w:r>
      <w:proofErr w:type="spellStart"/>
      <w:r w:rsidRPr="00FC02D0">
        <w:rPr>
          <w:rFonts w:ascii="Book Antiqua" w:eastAsia="Book Antiqua" w:hAnsi="Book Antiqua" w:cs="Book Antiqua"/>
          <w:bCs/>
        </w:rPr>
        <w:t>unicipios</w:t>
      </w:r>
      <w:proofErr w:type="spellEnd"/>
      <w:r w:rsidRPr="00FC02D0">
        <w:rPr>
          <w:rFonts w:ascii="Book Antiqua" w:eastAsia="Book Antiqua" w:hAnsi="Book Antiqua" w:cs="Book Antiqua"/>
          <w:bCs/>
        </w:rPr>
        <w:t xml:space="preserve"> de Cidra y Cayey, los cuales comprenden amplias zonas rurales con alta dependencia del transporte privado, lo que hace indispensable contar con vías debidamente iluminadas y sistemas de control de tránsito funcionales para prevenir accidentes y garantizar la movilidad segura de sus residentes.</w:t>
      </w:r>
    </w:p>
    <w:p w14:paraId="477AC360" w14:textId="03F74DC0" w:rsidR="00E63172" w:rsidRPr="00FC02D0" w:rsidRDefault="00E63172" w:rsidP="00DD7530">
      <w:pPr>
        <w:ind w:firstLine="720"/>
        <w:jc w:val="both"/>
        <w:rPr>
          <w:rFonts w:ascii="Book Antiqua" w:eastAsia="Book Antiqua" w:hAnsi="Book Antiqua" w:cs="Book Antiqua"/>
          <w:bCs/>
        </w:rPr>
      </w:pPr>
    </w:p>
    <w:p w14:paraId="7782EEA4" w14:textId="77777777" w:rsidR="00EE1E93" w:rsidRPr="00E63172" w:rsidRDefault="00EE1E93"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2C77FF1B"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La Comisión de Transportación e Infraestructura para la debida consideración y estudio de</w:t>
      </w:r>
      <w:r w:rsidR="00171293">
        <w:rPr>
          <w:rFonts w:ascii="Book Antiqua" w:eastAsia="Book Antiqua" w:hAnsi="Book Antiqua" w:cs="Book Antiqua"/>
        </w:rPr>
        <w:t xml:space="preserve"> la Resolución Conjunta</w:t>
      </w:r>
      <w:r w:rsidRPr="001E16CE">
        <w:rPr>
          <w:rFonts w:ascii="Book Antiqua" w:eastAsia="Book Antiqua" w:hAnsi="Book Antiqua" w:cs="Book Antiqua"/>
        </w:rPr>
        <w:t xml:space="preserve"> de la Cámara </w:t>
      </w:r>
      <w:r w:rsidR="00FC02D0">
        <w:rPr>
          <w:rFonts w:ascii="Book Antiqua" w:eastAsia="Book Antiqua" w:hAnsi="Book Antiqua" w:cs="Book Antiqua"/>
        </w:rPr>
        <w:t>246</w:t>
      </w:r>
      <w:r w:rsidRPr="001E16CE">
        <w:rPr>
          <w:rFonts w:ascii="Book Antiqua" w:eastAsia="Book Antiqua" w:hAnsi="Book Antiqua" w:cs="Book Antiqua"/>
        </w:rPr>
        <w:t xml:space="preserve">, </w:t>
      </w:r>
      <w:r w:rsidR="00F85924">
        <w:rPr>
          <w:rFonts w:ascii="Book Antiqua" w:eastAsia="Book Antiqua" w:hAnsi="Book Antiqua" w:cs="Book Antiqua"/>
        </w:rPr>
        <w:t xml:space="preserve">se </w:t>
      </w:r>
      <w:r w:rsidRPr="001E16CE">
        <w:rPr>
          <w:rFonts w:ascii="Book Antiqua" w:eastAsia="Book Antiqua" w:hAnsi="Book Antiqua" w:cs="Book Antiqua"/>
        </w:rPr>
        <w:t>solicitó memorial explicativo</w:t>
      </w:r>
      <w:r>
        <w:rPr>
          <w:rFonts w:ascii="Book Antiqua" w:eastAsia="Book Antiqua" w:hAnsi="Book Antiqua" w:cs="Book Antiqua"/>
        </w:rPr>
        <w:t xml:space="preserve"> </w:t>
      </w:r>
      <w:r w:rsidR="00742E97">
        <w:rPr>
          <w:rFonts w:ascii="Book Antiqua" w:eastAsia="Book Antiqua" w:hAnsi="Book Antiqua" w:cs="Book Antiqua"/>
        </w:rPr>
        <w:t>a</w:t>
      </w:r>
      <w:r w:rsidR="00171293">
        <w:rPr>
          <w:rFonts w:ascii="Book Antiqua" w:eastAsia="Book Antiqua" w:hAnsi="Book Antiqua" w:cs="Book Antiqua"/>
        </w:rPr>
        <w:t>l Departamento de Transportación y Obras Públicas (DTOP)</w:t>
      </w:r>
      <w:r w:rsidR="00FC02D0">
        <w:rPr>
          <w:rFonts w:ascii="Book Antiqua" w:eastAsia="Book Antiqua" w:hAnsi="Book Antiqua" w:cs="Book Antiqua"/>
        </w:rPr>
        <w:t xml:space="preserve"> y LUMA Energy</w:t>
      </w:r>
      <w:r w:rsidRPr="001E16CE">
        <w:rPr>
          <w:rFonts w:ascii="Book Antiqua" w:eastAsia="Book Antiqua" w:hAnsi="Book Antiqua" w:cs="Book Antiqua"/>
        </w:rPr>
        <w:t>.</w:t>
      </w:r>
      <w:r>
        <w:rPr>
          <w:rFonts w:ascii="Book Antiqua" w:eastAsia="Book Antiqua" w:hAnsi="Book Antiqua" w:cs="Book Antiqua"/>
        </w:rPr>
        <w:t xml:space="preserve"> </w:t>
      </w:r>
      <w:r w:rsidR="00FC02D0">
        <w:rPr>
          <w:rFonts w:ascii="Book Antiqua" w:eastAsia="Book Antiqua" w:hAnsi="Book Antiqua" w:cs="Book Antiqua"/>
        </w:rPr>
        <w:t xml:space="preserve">Al momento de la redacción de este informe solo LUMA Energy envió sus comentarios.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0C03C568" w:rsidR="00EE1E93" w:rsidRPr="00886B04" w:rsidRDefault="00FC02D0" w:rsidP="004B370E">
      <w:pPr>
        <w:jc w:val="center"/>
        <w:rPr>
          <w:rFonts w:ascii="Book Antiqua" w:eastAsia="Book Antiqua" w:hAnsi="Book Antiqua" w:cs="Book Antiqua"/>
        </w:rPr>
      </w:pPr>
      <w:r>
        <w:rPr>
          <w:rFonts w:ascii="Book Antiqua" w:eastAsia="Book Antiqua" w:hAnsi="Book Antiqua" w:cs="Book Antiqua"/>
          <w:b/>
          <w:bCs/>
          <w:u w:val="single"/>
        </w:rPr>
        <w:t>LUMA Energy</w:t>
      </w:r>
    </w:p>
    <w:p w14:paraId="7A922099" w14:textId="77777777" w:rsidR="00EE1E93" w:rsidRPr="00886B04" w:rsidRDefault="00EE1E93" w:rsidP="00EE1E93">
      <w:pPr>
        <w:ind w:firstLine="720"/>
        <w:jc w:val="both"/>
        <w:rPr>
          <w:rFonts w:ascii="Book Antiqua" w:eastAsia="Book Antiqua" w:hAnsi="Book Antiqua" w:cs="Book Antiqua"/>
        </w:rPr>
      </w:pPr>
    </w:p>
    <w:p w14:paraId="3FF78B78" w14:textId="4E58383E" w:rsidR="00FC02D0" w:rsidRPr="00FC02D0" w:rsidRDefault="00FC02D0" w:rsidP="00FC02D0">
      <w:pPr>
        <w:ind w:firstLine="720"/>
        <w:jc w:val="both"/>
        <w:rPr>
          <w:rFonts w:ascii="Book Antiqua" w:eastAsia="Helvetica Neue" w:hAnsi="Book Antiqua" w:cs="Helvetica Neue"/>
          <w:lang w:val="es-419"/>
        </w:rPr>
      </w:pPr>
      <w:r w:rsidRPr="00FC02D0">
        <w:rPr>
          <w:rFonts w:ascii="Book Antiqua" w:eastAsia="Helvetica Neue" w:hAnsi="Book Antiqua" w:cs="Helvetica Neue"/>
        </w:rPr>
        <w:t xml:space="preserve">En su memorial, LUMA explicó que su responsabilidad contractual se limita exclusivamente a aquellas luminarias que forman parte del sistema de distribución de la AEE, mientras que las luminarias pertenecientes a otras entidades incluyendo la Autoridad de Carreteras y Transportación, el Departamento de Transportación y Obras Públicas, los </w:t>
      </w:r>
      <w:r w:rsidRPr="00FC02D0">
        <w:rPr>
          <w:rFonts w:ascii="Book Antiqua" w:eastAsia="Helvetica Neue" w:hAnsi="Book Antiqua" w:cs="Helvetica Neue"/>
          <w:lang w:val="es-419"/>
        </w:rPr>
        <w:t>M</w:t>
      </w:r>
      <w:proofErr w:type="spellStart"/>
      <w:r w:rsidRPr="00FC02D0">
        <w:rPr>
          <w:rFonts w:ascii="Book Antiqua" w:eastAsia="Helvetica Neue" w:hAnsi="Book Antiqua" w:cs="Helvetica Neue"/>
        </w:rPr>
        <w:t>unicipios</w:t>
      </w:r>
      <w:proofErr w:type="spellEnd"/>
      <w:r w:rsidRPr="00FC02D0">
        <w:rPr>
          <w:rFonts w:ascii="Book Antiqua" w:eastAsia="Helvetica Neue" w:hAnsi="Book Antiqua" w:cs="Helvetica Neue"/>
        </w:rPr>
        <w:t xml:space="preserve"> u otras agencias públicas o privadas</w:t>
      </w:r>
      <w:r w:rsidRPr="00FC02D0">
        <w:rPr>
          <w:rFonts w:ascii="Book Antiqua" w:eastAsia="Helvetica Neue" w:hAnsi="Book Antiqua" w:cs="Helvetica Neue"/>
          <w:lang w:val="es-419"/>
        </w:rPr>
        <w:t xml:space="preserve"> </w:t>
      </w:r>
      <w:r w:rsidRPr="00FC02D0">
        <w:rPr>
          <w:rFonts w:ascii="Book Antiqua" w:eastAsia="Helvetica Neue" w:hAnsi="Book Antiqua" w:cs="Helvetica Neue"/>
        </w:rPr>
        <w:t>permanecen bajo la jurisdicción y responsabilidad legal y operacional de sus respectivos titulares.</w:t>
      </w:r>
    </w:p>
    <w:p w14:paraId="73752612" w14:textId="77777777" w:rsidR="00FC02D0" w:rsidRPr="00FC02D0" w:rsidRDefault="00FC02D0" w:rsidP="00FC02D0">
      <w:pPr>
        <w:jc w:val="both"/>
        <w:rPr>
          <w:rFonts w:ascii="Book Antiqua" w:eastAsia="Helvetica Neue" w:hAnsi="Book Antiqua" w:cs="Helvetica Neue"/>
          <w:lang w:val="es-419"/>
        </w:rPr>
      </w:pPr>
    </w:p>
    <w:p w14:paraId="16AE606D" w14:textId="77777777" w:rsidR="00FC02D0" w:rsidRPr="00FC02D0" w:rsidRDefault="00FC02D0" w:rsidP="00FC02D0">
      <w:pPr>
        <w:ind w:firstLine="720"/>
        <w:jc w:val="both"/>
        <w:rPr>
          <w:rFonts w:ascii="Book Antiqua" w:eastAsia="Helvetica Neue" w:hAnsi="Book Antiqua" w:cs="Helvetica Neue"/>
        </w:rPr>
      </w:pPr>
      <w:r w:rsidRPr="00FC02D0">
        <w:rPr>
          <w:rFonts w:ascii="Book Antiqua" w:eastAsia="Helvetica Neue" w:hAnsi="Book Antiqua" w:cs="Helvetica Neue"/>
        </w:rPr>
        <w:t>La entidad informó que, desde el inicio de sus operaciones en junio de 2021, realizó un inventario a nivel isla que identificó más de quinientas mil luminarias, de las cuales una porción significativa requiere intervención. Como parte de la Iniciativa de Alumbrado Público Comunitario, LUMA ha logrado la modernización de más de ciento ochenta mil luminarias mediante tecnología LED, con el objetivo de mejorar la eficiencia energética, la resiliencia del sistema eléctrico y la seguridad en las comunidades, sujeto a las aprobaciones regulatorias y a la disponibilidad de fondos federales.</w:t>
      </w:r>
    </w:p>
    <w:p w14:paraId="3AB5E34E" w14:textId="13727800" w:rsidR="00FC02D0" w:rsidRPr="00FC02D0" w:rsidRDefault="00FC02D0" w:rsidP="00FC02D0">
      <w:pPr>
        <w:ind w:firstLine="720"/>
        <w:jc w:val="both"/>
        <w:rPr>
          <w:rFonts w:ascii="Book Antiqua" w:eastAsia="Helvetica Neue" w:hAnsi="Book Antiqua" w:cs="Helvetica Neue"/>
        </w:rPr>
      </w:pPr>
      <w:r w:rsidRPr="00FC02D0">
        <w:rPr>
          <w:rFonts w:ascii="Book Antiqua" w:eastAsia="Helvetica Neue" w:hAnsi="Book Antiqua" w:cs="Helvetica Neue"/>
        </w:rPr>
        <w:lastRenderedPageBreak/>
        <w:t xml:space="preserve">En cuanto al Distrito Representativo número 29, que comprende los </w:t>
      </w:r>
      <w:r w:rsidRPr="00FC02D0">
        <w:rPr>
          <w:rFonts w:ascii="Book Antiqua" w:eastAsia="Helvetica Neue" w:hAnsi="Book Antiqua" w:cs="Helvetica Neue"/>
          <w:lang w:val="es-419"/>
        </w:rPr>
        <w:t>M</w:t>
      </w:r>
      <w:proofErr w:type="spellStart"/>
      <w:r w:rsidRPr="00FC02D0">
        <w:rPr>
          <w:rFonts w:ascii="Book Antiqua" w:eastAsia="Helvetica Neue" w:hAnsi="Book Antiqua" w:cs="Helvetica Neue"/>
        </w:rPr>
        <w:t>unicipios</w:t>
      </w:r>
      <w:proofErr w:type="spellEnd"/>
      <w:r w:rsidRPr="00FC02D0">
        <w:rPr>
          <w:rFonts w:ascii="Book Antiqua" w:eastAsia="Helvetica Neue" w:hAnsi="Book Antiqua" w:cs="Helvetica Neue"/>
        </w:rPr>
        <w:t xml:space="preserve"> de Cidra y Cayey, LUMA detalló que el Programa de Alumbrado Público se ejecuta por fases que incluyen el reemplazo de componentes y la atención de postes secundarios, tanto con uso mancomunado como sin este. Para el Municipio de Cidra, se reportó un nivel de avance superior al setenta por ciento</w:t>
      </w:r>
      <w:r w:rsidRPr="00FC02D0">
        <w:rPr>
          <w:rFonts w:ascii="Book Antiqua" w:eastAsia="Helvetica Neue" w:hAnsi="Book Antiqua" w:cs="Helvetica Neue"/>
          <w:lang w:val="es-419"/>
        </w:rPr>
        <w:t xml:space="preserve"> </w:t>
      </w:r>
      <w:r>
        <w:rPr>
          <w:rFonts w:ascii="Book Antiqua" w:eastAsia="Helvetica Neue" w:hAnsi="Book Antiqua" w:cs="Helvetica Neue"/>
          <w:lang w:val="es-419"/>
        </w:rPr>
        <w:t>(70%)</w:t>
      </w:r>
      <w:r w:rsidRPr="00FC02D0">
        <w:rPr>
          <w:rFonts w:ascii="Book Antiqua" w:eastAsia="Helvetica Neue" w:hAnsi="Book Antiqua" w:cs="Helvetica Neue"/>
        </w:rPr>
        <w:t xml:space="preserve"> del total de trabajos identificados. En el Municipio de Cayey, se informó un progreso mayor al sesenta por ciento, con avances sustanciales en la fase de reemplazo de componentes, encontrándose el trabajo restante bajo evaluación técnica y coordinación </w:t>
      </w:r>
      <w:proofErr w:type="spellStart"/>
      <w:r w:rsidRPr="00FC02D0">
        <w:rPr>
          <w:rFonts w:ascii="Book Antiqua" w:eastAsia="Helvetica Neue" w:hAnsi="Book Antiqua" w:cs="Helvetica Neue"/>
        </w:rPr>
        <w:t>interagencial</w:t>
      </w:r>
      <w:proofErr w:type="spellEnd"/>
      <w:r w:rsidRPr="00FC02D0">
        <w:rPr>
          <w:rFonts w:ascii="Book Antiqua" w:eastAsia="Helvetica Neue" w:hAnsi="Book Antiqua" w:cs="Helvetica Neue"/>
        </w:rPr>
        <w:t xml:space="preserve"> conforme a los requisitos aplicables.</w:t>
      </w:r>
    </w:p>
    <w:p w14:paraId="1FD70E3F" w14:textId="77777777" w:rsidR="00891F6B" w:rsidRPr="00FC02D0" w:rsidRDefault="00891F6B" w:rsidP="000D1E9A">
      <w:pPr>
        <w:jc w:val="both"/>
        <w:rPr>
          <w:rFonts w:ascii="Book Antiqua" w:eastAsia="Helvetica Neue" w:hAnsi="Book Antiqua" w:cs="Helvetica Neue"/>
        </w:rPr>
      </w:pPr>
    </w:p>
    <w:p w14:paraId="22D3F2CE" w14:textId="77777777" w:rsidR="00B728D7" w:rsidRDefault="00B728D7" w:rsidP="003025EC">
      <w:pPr>
        <w:jc w:val="cente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01F79596" w14:textId="77777777" w:rsidR="00EE1E93" w:rsidRPr="000D1E9A" w:rsidRDefault="00EE1E93" w:rsidP="00EE1E93">
      <w:pPr>
        <w:jc w:val="both"/>
        <w:rPr>
          <w:rFonts w:ascii="Book Antiqua" w:eastAsia="Helvetica Neue" w:hAnsi="Book Antiqua" w:cs="Helvetica Neue"/>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26FECE0C" w14:textId="77777777" w:rsidR="00A44E76" w:rsidRDefault="00A44E76" w:rsidP="00EE1E93">
      <w:pPr>
        <w:jc w:val="center"/>
        <w:rPr>
          <w:rFonts w:ascii="Book Antiqua" w:eastAsia="Book Antiqua" w:hAnsi="Book Antiqua" w:cs="Book Antiqua"/>
          <w:b/>
        </w:rPr>
      </w:pPr>
    </w:p>
    <w:p w14:paraId="44F53EA5" w14:textId="77777777" w:rsidR="00891F6B" w:rsidRDefault="00891F6B"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61AAF675" w14:textId="5FF977C1" w:rsidR="00FC02D0" w:rsidRPr="00FC02D0" w:rsidRDefault="00EE1E93" w:rsidP="00FC02D0">
      <w:pPr>
        <w:ind w:firstLine="720"/>
        <w:jc w:val="both"/>
        <w:rPr>
          <w:rFonts w:ascii="Book Antiqua" w:eastAsia="Book Antiqua" w:hAnsi="Book Antiqua" w:cs="Book Antiqua"/>
          <w:lang w:val="es-419"/>
        </w:rPr>
      </w:pPr>
      <w:r w:rsidRPr="00191185">
        <w:rPr>
          <w:rFonts w:ascii="Book Antiqua" w:eastAsia="Book Antiqua" w:hAnsi="Book Antiqua" w:cs="Book Antiqua"/>
          <w:lang w:val="es-PR"/>
        </w:rPr>
        <w:t>La Comisión de Transportación e Infraestructura</w:t>
      </w:r>
      <w:r w:rsidR="00886B04" w:rsidRPr="00886B04">
        <w:rPr>
          <w:rFonts w:ascii="Aptos" w:hAnsi="Aptos" w:cs="Arial"/>
          <w:b/>
          <w:color w:val="000000"/>
          <w:szCs w:val="24"/>
        </w:rPr>
        <w:t xml:space="preserve"> </w:t>
      </w:r>
      <w:r w:rsidR="00886B04" w:rsidRPr="00886B04">
        <w:rPr>
          <w:rFonts w:ascii="Book Antiqua" w:eastAsia="Book Antiqua" w:hAnsi="Book Antiqua" w:cs="Book Antiqua"/>
        </w:rPr>
        <w:t xml:space="preserve">concluye que la Resolución Conjunta de la Cámara </w:t>
      </w:r>
      <w:r w:rsidR="00FC02D0">
        <w:rPr>
          <w:rFonts w:ascii="Book Antiqua" w:eastAsia="Book Antiqua" w:hAnsi="Book Antiqua" w:cs="Book Antiqua"/>
        </w:rPr>
        <w:t>246</w:t>
      </w:r>
      <w:r w:rsidR="00DD7530">
        <w:rPr>
          <w:rFonts w:ascii="Book Antiqua" w:eastAsia="Book Antiqua" w:hAnsi="Book Antiqua" w:cs="Book Antiqua"/>
        </w:rPr>
        <w:t xml:space="preserve">, </w:t>
      </w:r>
      <w:r w:rsidR="00FC02D0" w:rsidRPr="00FC02D0">
        <w:rPr>
          <w:rFonts w:ascii="Book Antiqua" w:eastAsia="Book Antiqua" w:hAnsi="Book Antiqua" w:cs="Book Antiqua"/>
        </w:rPr>
        <w:t>es cónsona con la política pública de promover vías públicas seguras, funcionales y debidamente iluminadas.</w:t>
      </w:r>
    </w:p>
    <w:p w14:paraId="7C30C4F5" w14:textId="77777777" w:rsidR="00FC02D0" w:rsidRPr="00FC02D0" w:rsidRDefault="00FC02D0" w:rsidP="00FC02D0">
      <w:pPr>
        <w:ind w:firstLine="720"/>
        <w:jc w:val="both"/>
        <w:rPr>
          <w:rFonts w:ascii="Book Antiqua" w:eastAsia="Book Antiqua" w:hAnsi="Book Antiqua" w:cs="Book Antiqua"/>
          <w:lang w:val="es-419"/>
        </w:rPr>
      </w:pPr>
    </w:p>
    <w:p w14:paraId="76BDBED7" w14:textId="77777777" w:rsidR="00FC02D0" w:rsidRPr="00FC02D0" w:rsidRDefault="00FC02D0" w:rsidP="00FC02D0">
      <w:pPr>
        <w:ind w:firstLine="720"/>
        <w:jc w:val="both"/>
        <w:rPr>
          <w:rFonts w:ascii="Book Antiqua" w:eastAsia="Book Antiqua" w:hAnsi="Book Antiqua" w:cs="Book Antiqua"/>
        </w:rPr>
      </w:pPr>
      <w:r w:rsidRPr="00FC02D0">
        <w:rPr>
          <w:rFonts w:ascii="Book Antiqua" w:eastAsia="Book Antiqua" w:hAnsi="Book Antiqua" w:cs="Book Antiqua"/>
        </w:rPr>
        <w:t>La Comisión reconoce que la medida no altera las responsabilidades contractuales ni legales de las entidades concernidas, sino que propicia un marco de coordinación y rendición de cuentas que permitirá atender de manera más eficiente las deficiencias existentes en los sistemas de alumbrado público y control de tráfico en los municipios de Cidra y Cayey.</w:t>
      </w:r>
    </w:p>
    <w:p w14:paraId="4FB5A14A" w14:textId="7600D3E7" w:rsidR="00EE1E93" w:rsidRPr="00886B04" w:rsidRDefault="00EE1E93" w:rsidP="00FC02D0">
      <w:pPr>
        <w:jc w:val="both"/>
        <w:rPr>
          <w:rFonts w:ascii="Book Antiqua" w:eastAsia="Book Antiqua" w:hAnsi="Book Antiqua" w:cs="Book Antiqua"/>
          <w:lang w:val="es-419"/>
        </w:rPr>
      </w:pPr>
    </w:p>
    <w:p w14:paraId="05F96B97" w14:textId="4FA2DFC8"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0D1E9A">
        <w:rPr>
          <w:rFonts w:ascii="Book Antiqua" w:eastAsia="Book Antiqua" w:hAnsi="Book Antiqua" w:cs="Book Antiqua"/>
        </w:rPr>
        <w:t>R</w:t>
      </w:r>
      <w:r>
        <w:rPr>
          <w:rFonts w:ascii="Book Antiqua" w:eastAsia="Book Antiqua" w:hAnsi="Book Antiqua" w:cs="Book Antiqua"/>
        </w:rPr>
        <w:t xml:space="preserve">. </w:t>
      </w:r>
      <w:r w:rsidR="000D1E9A">
        <w:rPr>
          <w:rFonts w:ascii="Book Antiqua" w:eastAsia="Book Antiqua" w:hAnsi="Book Antiqua" w:cs="Book Antiqua"/>
        </w:rPr>
        <w:t xml:space="preserve">C. </w:t>
      </w:r>
      <w:r>
        <w:rPr>
          <w:rFonts w:ascii="Book Antiqua" w:eastAsia="Book Antiqua" w:hAnsi="Book Antiqua" w:cs="Book Antiqua"/>
        </w:rPr>
        <w:t>de la C.</w:t>
      </w:r>
      <w:r w:rsidR="00DD7530">
        <w:rPr>
          <w:rFonts w:ascii="Book Antiqua" w:eastAsia="Book Antiqua" w:hAnsi="Book Antiqua" w:cs="Book Antiqua"/>
        </w:rPr>
        <w:t xml:space="preserve"> </w:t>
      </w:r>
      <w:r w:rsidR="00FC02D0">
        <w:rPr>
          <w:rFonts w:ascii="Book Antiqua" w:eastAsia="Book Antiqua" w:hAnsi="Book Antiqua" w:cs="Book Antiqua"/>
        </w:rPr>
        <w:t>246</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Default="00EE1E93" w:rsidP="00EE1E93">
      <w:pPr>
        <w:jc w:val="both"/>
        <w:rPr>
          <w:rFonts w:ascii="Book Antiqua" w:eastAsia="Book Antiqua" w:hAnsi="Book Antiqua" w:cs="Book Antiqua"/>
        </w:rPr>
      </w:pPr>
    </w:p>
    <w:p w14:paraId="7DA5C08D" w14:textId="77777777" w:rsidR="00FC02D0" w:rsidRPr="00700566" w:rsidRDefault="00FC02D0"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42C2C" w14:textId="77777777" w:rsidR="00BF60AB" w:rsidRDefault="00BF60AB">
      <w:r>
        <w:separator/>
      </w:r>
    </w:p>
  </w:endnote>
  <w:endnote w:type="continuationSeparator" w:id="0">
    <w:p w14:paraId="4B65C605" w14:textId="77777777" w:rsidR="00BF60AB" w:rsidRDefault="00BF6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3BDA8EE-25CA-4F15-A951-6DC2799E1D6F}"/>
  </w:font>
  <w:font w:name="Helvetica">
    <w:panose1 w:val="020B0604020202020204"/>
    <w:charset w:val="00"/>
    <w:family w:val="swiss"/>
    <w:pitch w:val="variable"/>
    <w:sig w:usb0="E0002EFF" w:usb1="C000785B" w:usb2="00000009" w:usb3="00000000" w:csb0="000001FF" w:csb1="00000000"/>
    <w:embedRegular r:id="rId2" w:fontKey="{36A78C63-3E1F-4562-AC78-8A830F345841}"/>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E82604EB-B652-4D78-888E-7980C506DD0B}"/>
  </w:font>
  <w:font w:name="Georgia">
    <w:panose1 w:val="02040502050405020303"/>
    <w:charset w:val="00"/>
    <w:family w:val="roman"/>
    <w:pitch w:val="variable"/>
    <w:sig w:usb0="00000287" w:usb1="00000000" w:usb2="00000000" w:usb3="00000000" w:csb0="0000009F" w:csb1="00000000"/>
    <w:embedRegular r:id="rId4" w:fontKey="{E7192E55-2600-4267-B776-1798E010CC5B}"/>
    <w:embedItalic r:id="rId5" w:fontKey="{F362CDA7-A100-4B7C-924F-BBC6E95B7D11}"/>
  </w:font>
  <w:font w:name="Book Antiqua">
    <w:panose1 w:val="02040602050305030304"/>
    <w:charset w:val="00"/>
    <w:family w:val="roman"/>
    <w:pitch w:val="variable"/>
    <w:sig w:usb0="00000287" w:usb1="00000000" w:usb2="00000000" w:usb3="00000000" w:csb0="0000009F" w:csb1="00000000"/>
    <w:embedRegular r:id="rId6" w:fontKey="{348ECE49-918E-49B8-8D1C-85EFE0F909E9}"/>
    <w:embedBold r:id="rId7" w:fontKey="{3BAFC8C5-D9C6-463B-86B7-D6060CDAED96}"/>
  </w:font>
  <w:font w:name="Helvetica Neue">
    <w:charset w:val="00"/>
    <w:family w:val="auto"/>
    <w:pitch w:val="default"/>
    <w:embedRegular r:id="rId8" w:fontKey="{99D992D9-E4C8-404B-B5B1-2BDDD5C44264}"/>
    <w:embedBold r:id="rId9" w:fontKey="{C41FAE2F-D2AA-4E33-81A1-44C22AE2B955}"/>
  </w:font>
  <w:font w:name="Aptos">
    <w:charset w:val="00"/>
    <w:family w:val="swiss"/>
    <w:pitch w:val="variable"/>
    <w:sig w:usb0="20000287" w:usb1="00000003" w:usb2="00000000" w:usb3="00000000" w:csb0="0000019F" w:csb1="00000000"/>
    <w:embedBold r:id="rId10" w:fontKey="{9938AA25-2490-4758-AEE9-F89343F2250E}"/>
  </w:font>
  <w:font w:name="Arial">
    <w:panose1 w:val="020B0604020202020204"/>
    <w:charset w:val="00"/>
    <w:family w:val="swiss"/>
    <w:pitch w:val="variable"/>
    <w:sig w:usb0="E0002EFF" w:usb1="C000785B" w:usb2="00000009" w:usb3="00000000" w:csb0="000001FF" w:csb1="00000000"/>
  </w:font>
  <w:font w:name="Lustria">
    <w:altName w:val="Calibri"/>
    <w:charset w:val="00"/>
    <w:family w:val="auto"/>
    <w:pitch w:val="default"/>
    <w:embedRegular r:id="rId11" w:fontKey="{EE81CF27-617E-462E-BE2F-DBDCA0C1AF2F}"/>
    <w:embedBoldItalic r:id="rId12" w:fontKey="{A680A345-96C4-4EE2-901A-05D59A8F41BC}"/>
  </w:font>
  <w:font w:name="Cambria">
    <w:panose1 w:val="02040503050406030204"/>
    <w:charset w:val="00"/>
    <w:family w:val="roman"/>
    <w:pitch w:val="variable"/>
    <w:sig w:usb0="E00006FF" w:usb1="420024FF" w:usb2="02000000" w:usb3="00000000" w:csb0="0000019F" w:csb1="00000000"/>
    <w:embedRegular r:id="rId13" w:fontKey="{F85138F0-966E-4238-AD94-B9D63DCF03E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FA4CA" w14:textId="77777777" w:rsidR="00BF60AB" w:rsidRDefault="00BF60AB">
      <w:r>
        <w:separator/>
      </w:r>
    </w:p>
  </w:footnote>
  <w:footnote w:type="continuationSeparator" w:id="0">
    <w:p w14:paraId="1314DC9A" w14:textId="77777777" w:rsidR="00BF60AB" w:rsidRDefault="00BF6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90795C2"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B23695">
      <w:rPr>
        <w:rFonts w:ascii="Lustria" w:eastAsia="Lustria" w:hAnsi="Lustria" w:cs="Lustria"/>
        <w:b/>
        <w:i/>
        <w:sz w:val="22"/>
        <w:szCs w:val="22"/>
      </w:rPr>
      <w:t>R</w:t>
    </w:r>
    <w:r>
      <w:rPr>
        <w:rFonts w:ascii="Lustria" w:eastAsia="Lustria" w:hAnsi="Lustria" w:cs="Lustria"/>
        <w:b/>
        <w:i/>
        <w:sz w:val="22"/>
        <w:szCs w:val="22"/>
      </w:rPr>
      <w:t xml:space="preserve">. </w:t>
    </w:r>
    <w:r w:rsidR="00B23695">
      <w:rPr>
        <w:rFonts w:ascii="Lustria" w:eastAsia="Lustria" w:hAnsi="Lustria" w:cs="Lustria"/>
        <w:b/>
        <w:i/>
        <w:sz w:val="22"/>
        <w:szCs w:val="22"/>
      </w:rPr>
      <w:t xml:space="preserve">C. </w:t>
    </w:r>
    <w:r>
      <w:rPr>
        <w:rFonts w:ascii="Lustria" w:eastAsia="Lustria" w:hAnsi="Lustria" w:cs="Lustria"/>
        <w:b/>
        <w:i/>
        <w:sz w:val="22"/>
        <w:szCs w:val="22"/>
      </w:rPr>
      <w:t xml:space="preserve">de la C. </w:t>
    </w:r>
    <w:r w:rsidR="00FC02D0">
      <w:rPr>
        <w:rFonts w:ascii="Lustria" w:eastAsia="Lustria" w:hAnsi="Lustria" w:cs="Lustria"/>
        <w:b/>
        <w:i/>
        <w:sz w:val="22"/>
        <w:szCs w:val="22"/>
      </w:rPr>
      <w:t>246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80F3B"/>
    <w:rsid w:val="000A19FD"/>
    <w:rsid w:val="000A5E2C"/>
    <w:rsid w:val="000A752D"/>
    <w:rsid w:val="000C098A"/>
    <w:rsid w:val="000D1E9A"/>
    <w:rsid w:val="000D2DA6"/>
    <w:rsid w:val="000F7A24"/>
    <w:rsid w:val="00101FB4"/>
    <w:rsid w:val="0012417C"/>
    <w:rsid w:val="0013656C"/>
    <w:rsid w:val="00147B7C"/>
    <w:rsid w:val="00160C1F"/>
    <w:rsid w:val="001619B2"/>
    <w:rsid w:val="00171293"/>
    <w:rsid w:val="001714C4"/>
    <w:rsid w:val="00176DA0"/>
    <w:rsid w:val="0019085D"/>
    <w:rsid w:val="00191185"/>
    <w:rsid w:val="001919C2"/>
    <w:rsid w:val="00196C5A"/>
    <w:rsid w:val="001A3E93"/>
    <w:rsid w:val="001D424E"/>
    <w:rsid w:val="001E16CE"/>
    <w:rsid w:val="001E2EB4"/>
    <w:rsid w:val="001E6E24"/>
    <w:rsid w:val="00202B9F"/>
    <w:rsid w:val="00204C67"/>
    <w:rsid w:val="00220975"/>
    <w:rsid w:val="00222393"/>
    <w:rsid w:val="00235829"/>
    <w:rsid w:val="00253784"/>
    <w:rsid w:val="00266B2F"/>
    <w:rsid w:val="00274850"/>
    <w:rsid w:val="002B3EE3"/>
    <w:rsid w:val="002B4336"/>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B11C5"/>
    <w:rsid w:val="003E479C"/>
    <w:rsid w:val="003F43A2"/>
    <w:rsid w:val="00400B99"/>
    <w:rsid w:val="004277D8"/>
    <w:rsid w:val="00431557"/>
    <w:rsid w:val="0044377E"/>
    <w:rsid w:val="004673DA"/>
    <w:rsid w:val="0047119B"/>
    <w:rsid w:val="004730E0"/>
    <w:rsid w:val="00473D39"/>
    <w:rsid w:val="00475814"/>
    <w:rsid w:val="0049326F"/>
    <w:rsid w:val="004A6565"/>
    <w:rsid w:val="004B370E"/>
    <w:rsid w:val="004D3D36"/>
    <w:rsid w:val="004E28E4"/>
    <w:rsid w:val="00501798"/>
    <w:rsid w:val="005059B4"/>
    <w:rsid w:val="00506A3D"/>
    <w:rsid w:val="005227C0"/>
    <w:rsid w:val="005456F5"/>
    <w:rsid w:val="00550313"/>
    <w:rsid w:val="00557604"/>
    <w:rsid w:val="005858EA"/>
    <w:rsid w:val="005871BE"/>
    <w:rsid w:val="00596F5B"/>
    <w:rsid w:val="005A1843"/>
    <w:rsid w:val="005E4A2F"/>
    <w:rsid w:val="00605CE1"/>
    <w:rsid w:val="0060692B"/>
    <w:rsid w:val="006354F3"/>
    <w:rsid w:val="00642646"/>
    <w:rsid w:val="0068352C"/>
    <w:rsid w:val="00684107"/>
    <w:rsid w:val="00684ECE"/>
    <w:rsid w:val="006908FA"/>
    <w:rsid w:val="006A552A"/>
    <w:rsid w:val="006A7E5E"/>
    <w:rsid w:val="006C2186"/>
    <w:rsid w:val="006D297F"/>
    <w:rsid w:val="006E029C"/>
    <w:rsid w:val="006E6EE3"/>
    <w:rsid w:val="00700566"/>
    <w:rsid w:val="00702D47"/>
    <w:rsid w:val="0071797E"/>
    <w:rsid w:val="007303A4"/>
    <w:rsid w:val="00735C8F"/>
    <w:rsid w:val="00742E97"/>
    <w:rsid w:val="00766B8B"/>
    <w:rsid w:val="00772095"/>
    <w:rsid w:val="00785FCE"/>
    <w:rsid w:val="0079045F"/>
    <w:rsid w:val="007923B1"/>
    <w:rsid w:val="00797E58"/>
    <w:rsid w:val="00797FCC"/>
    <w:rsid w:val="007A15F9"/>
    <w:rsid w:val="007A2D94"/>
    <w:rsid w:val="007C31AB"/>
    <w:rsid w:val="007C3C34"/>
    <w:rsid w:val="007C6404"/>
    <w:rsid w:val="007D441D"/>
    <w:rsid w:val="007F09EB"/>
    <w:rsid w:val="007F0CDC"/>
    <w:rsid w:val="007F5687"/>
    <w:rsid w:val="007F5E44"/>
    <w:rsid w:val="00817784"/>
    <w:rsid w:val="0083404D"/>
    <w:rsid w:val="008355F8"/>
    <w:rsid w:val="00835F7B"/>
    <w:rsid w:val="00842EBD"/>
    <w:rsid w:val="0085373F"/>
    <w:rsid w:val="0085568D"/>
    <w:rsid w:val="00866D80"/>
    <w:rsid w:val="00875CE7"/>
    <w:rsid w:val="00884F6A"/>
    <w:rsid w:val="00886B04"/>
    <w:rsid w:val="00891F6B"/>
    <w:rsid w:val="00897774"/>
    <w:rsid w:val="008A65F0"/>
    <w:rsid w:val="008A7B90"/>
    <w:rsid w:val="008B0187"/>
    <w:rsid w:val="008B5454"/>
    <w:rsid w:val="008D3F5B"/>
    <w:rsid w:val="008E7719"/>
    <w:rsid w:val="008F15BB"/>
    <w:rsid w:val="008F30F0"/>
    <w:rsid w:val="008F40D0"/>
    <w:rsid w:val="009048A3"/>
    <w:rsid w:val="0091544D"/>
    <w:rsid w:val="009157C1"/>
    <w:rsid w:val="00935E5C"/>
    <w:rsid w:val="00940A79"/>
    <w:rsid w:val="009742B0"/>
    <w:rsid w:val="009821D1"/>
    <w:rsid w:val="00984099"/>
    <w:rsid w:val="009E0BE7"/>
    <w:rsid w:val="009E7555"/>
    <w:rsid w:val="00A11D0B"/>
    <w:rsid w:val="00A24012"/>
    <w:rsid w:val="00A27CCB"/>
    <w:rsid w:val="00A43849"/>
    <w:rsid w:val="00A44E76"/>
    <w:rsid w:val="00A54DD0"/>
    <w:rsid w:val="00A57E02"/>
    <w:rsid w:val="00A62FD8"/>
    <w:rsid w:val="00A95142"/>
    <w:rsid w:val="00AB45BB"/>
    <w:rsid w:val="00AC7FD7"/>
    <w:rsid w:val="00AD05EA"/>
    <w:rsid w:val="00AE1FD3"/>
    <w:rsid w:val="00AE4383"/>
    <w:rsid w:val="00AE44CF"/>
    <w:rsid w:val="00B21168"/>
    <w:rsid w:val="00B23695"/>
    <w:rsid w:val="00B43BBC"/>
    <w:rsid w:val="00B45C76"/>
    <w:rsid w:val="00B46ABC"/>
    <w:rsid w:val="00B52476"/>
    <w:rsid w:val="00B57A56"/>
    <w:rsid w:val="00B728D7"/>
    <w:rsid w:val="00B80F7B"/>
    <w:rsid w:val="00B93150"/>
    <w:rsid w:val="00BA4DF7"/>
    <w:rsid w:val="00BF044B"/>
    <w:rsid w:val="00BF60AB"/>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CF7117"/>
    <w:rsid w:val="00D13155"/>
    <w:rsid w:val="00D137D3"/>
    <w:rsid w:val="00D16C60"/>
    <w:rsid w:val="00D20E59"/>
    <w:rsid w:val="00D5029F"/>
    <w:rsid w:val="00D60BBD"/>
    <w:rsid w:val="00D740F8"/>
    <w:rsid w:val="00D7774F"/>
    <w:rsid w:val="00D82337"/>
    <w:rsid w:val="00D83118"/>
    <w:rsid w:val="00D8739D"/>
    <w:rsid w:val="00D92C8F"/>
    <w:rsid w:val="00DB02F9"/>
    <w:rsid w:val="00DB46A4"/>
    <w:rsid w:val="00DD6037"/>
    <w:rsid w:val="00DD657F"/>
    <w:rsid w:val="00DD6D1E"/>
    <w:rsid w:val="00DD7530"/>
    <w:rsid w:val="00DE0649"/>
    <w:rsid w:val="00DE6658"/>
    <w:rsid w:val="00DF6BC4"/>
    <w:rsid w:val="00E000B2"/>
    <w:rsid w:val="00E16D68"/>
    <w:rsid w:val="00E24AC1"/>
    <w:rsid w:val="00E3056E"/>
    <w:rsid w:val="00E374AE"/>
    <w:rsid w:val="00E62D96"/>
    <w:rsid w:val="00E63172"/>
    <w:rsid w:val="00E776D5"/>
    <w:rsid w:val="00E8576C"/>
    <w:rsid w:val="00E94557"/>
    <w:rsid w:val="00EA26A1"/>
    <w:rsid w:val="00EB340F"/>
    <w:rsid w:val="00ED6177"/>
    <w:rsid w:val="00EE1E93"/>
    <w:rsid w:val="00EE5B6A"/>
    <w:rsid w:val="00F01A45"/>
    <w:rsid w:val="00F01B4D"/>
    <w:rsid w:val="00F032FA"/>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930</Words>
  <Characters>5125</Characters>
  <Application>Microsoft Office Word</Application>
  <DocSecurity>4</DocSecurity>
  <Lines>121</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2026-02-09T12:47:00Z</cp:lastPrinted>
  <dcterms:created xsi:type="dcterms:W3CDTF">2026-02-09T20:33:00Z</dcterms:created>
  <dcterms:modified xsi:type="dcterms:W3CDTF">2026-02-09T20:33:00Z</dcterms:modified>
</cp:coreProperties>
</file>