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4F51" w14:textId="77777777" w:rsidR="00FF6BD2" w:rsidRDefault="00721626" w:rsidP="00F5463C">
      <w:pPr>
        <w:jc w:val="center"/>
        <w:rPr>
          <w:rFonts w:ascii="Book Antiqua" w:hAnsi="Book Antiqua"/>
          <w:sz w:val="28"/>
          <w:lang w:val="es-ES_tradnl"/>
        </w:rPr>
      </w:pPr>
      <w:r>
        <w:rPr>
          <w:rFonts w:ascii="Book Antiqua" w:hAnsi="Book Antiqua"/>
          <w:sz w:val="28"/>
          <w:lang w:val="es-ES_tradnl"/>
        </w:rPr>
        <w:t>GOBIERNO DE PUERTO RICO</w:t>
      </w:r>
    </w:p>
    <w:p w14:paraId="46584F52" w14:textId="77777777" w:rsidR="00721626" w:rsidRPr="00F5463C" w:rsidRDefault="00721626" w:rsidP="00F5463C">
      <w:pPr>
        <w:jc w:val="center"/>
        <w:rPr>
          <w:rFonts w:ascii="Book Antiqua" w:hAnsi="Book Antiqua"/>
          <w:szCs w:val="24"/>
          <w:lang w:val="es-ES_tradnl"/>
        </w:rPr>
      </w:pPr>
    </w:p>
    <w:p w14:paraId="46584F53" w14:textId="3423F036" w:rsidR="00721626" w:rsidRPr="00F5463C" w:rsidRDefault="00F5463C" w:rsidP="00F5463C">
      <w:pPr>
        <w:pStyle w:val="Title2"/>
        <w:tabs>
          <w:tab w:val="clear" w:pos="648"/>
          <w:tab w:val="clear" w:pos="7776"/>
          <w:tab w:val="clear" w:pos="7848"/>
        </w:tabs>
        <w:rPr>
          <w:rFonts w:ascii="Book Antiqua" w:hAnsi="Book Antiqua"/>
          <w:lang w:val="it-IT"/>
        </w:rPr>
      </w:pPr>
      <w:r w:rsidRPr="00F5463C">
        <w:rPr>
          <w:rFonts w:ascii="Book Antiqua" w:hAnsi="Book Antiqua"/>
          <w:lang w:val="it-IT"/>
        </w:rPr>
        <w:t>20ma.</w:t>
      </w:r>
      <w:r w:rsidR="00721626" w:rsidRPr="00F5463C">
        <w:rPr>
          <w:rFonts w:ascii="Book Antiqua" w:hAnsi="Book Antiqua"/>
          <w:lang w:val="it-IT"/>
        </w:rPr>
        <w:tab/>
        <w:t>Asamblea</w:t>
      </w:r>
      <w:r w:rsidR="00721626" w:rsidRPr="00F5463C">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3ra. </w:t>
      </w:r>
      <w:r w:rsidR="00721626" w:rsidRPr="00F5463C">
        <w:rPr>
          <w:rFonts w:ascii="Book Antiqua" w:hAnsi="Book Antiqua"/>
          <w:lang w:val="it-IT"/>
        </w:rPr>
        <w:t>Sesión</w:t>
      </w:r>
    </w:p>
    <w:p w14:paraId="46584F54" w14:textId="59ED47DD" w:rsidR="00721626" w:rsidRPr="00F5463C" w:rsidRDefault="00721626" w:rsidP="00F5463C">
      <w:pPr>
        <w:pStyle w:val="Title2"/>
        <w:tabs>
          <w:tab w:val="clear" w:pos="648"/>
          <w:tab w:val="clear" w:pos="7776"/>
          <w:tab w:val="clear" w:pos="7848"/>
        </w:tabs>
        <w:rPr>
          <w:rFonts w:ascii="Book Antiqua" w:hAnsi="Book Antiqua"/>
          <w:lang w:val="it-IT"/>
        </w:rPr>
      </w:pPr>
      <w:r w:rsidRPr="00F5463C">
        <w:rPr>
          <w:rFonts w:ascii="Book Antiqua" w:hAnsi="Book Antiqua"/>
          <w:lang w:val="it-IT"/>
        </w:rPr>
        <w:tab/>
        <w:t>Legislativa</w:t>
      </w:r>
      <w:r w:rsidRPr="00F5463C">
        <w:rPr>
          <w:rFonts w:ascii="Book Antiqua" w:hAnsi="Book Antiqua"/>
          <w:lang w:val="it-IT"/>
        </w:rPr>
        <w:tab/>
      </w:r>
      <w:r w:rsidRPr="00F5463C">
        <w:rPr>
          <w:rFonts w:ascii="Book Antiqua" w:hAnsi="Book Antiqua"/>
          <w:lang w:val="it-IT"/>
        </w:rPr>
        <w:tab/>
      </w:r>
      <w:r w:rsidR="00F5463C">
        <w:rPr>
          <w:rFonts w:ascii="Book Antiqua" w:hAnsi="Book Antiqua"/>
          <w:lang w:val="it-IT"/>
        </w:rPr>
        <w:tab/>
      </w:r>
      <w:r w:rsidR="00F5463C">
        <w:rPr>
          <w:rFonts w:ascii="Book Antiqua" w:hAnsi="Book Antiqua"/>
          <w:lang w:val="it-IT"/>
        </w:rPr>
        <w:tab/>
      </w:r>
      <w:r w:rsidR="00F5463C">
        <w:rPr>
          <w:rFonts w:ascii="Book Antiqua" w:hAnsi="Book Antiqua"/>
          <w:lang w:val="it-IT"/>
        </w:rPr>
        <w:tab/>
      </w:r>
      <w:r w:rsidR="00F5463C">
        <w:rPr>
          <w:rFonts w:ascii="Book Antiqua" w:hAnsi="Book Antiqua"/>
          <w:lang w:val="it-IT"/>
        </w:rPr>
        <w:tab/>
      </w:r>
      <w:r w:rsidR="00F5463C">
        <w:rPr>
          <w:rFonts w:ascii="Book Antiqua" w:hAnsi="Book Antiqua"/>
          <w:lang w:val="it-IT"/>
        </w:rPr>
        <w:tab/>
      </w:r>
      <w:r w:rsidR="00F5463C">
        <w:rPr>
          <w:rFonts w:ascii="Book Antiqua" w:hAnsi="Book Antiqua"/>
          <w:lang w:val="it-IT"/>
        </w:rPr>
        <w:tab/>
      </w:r>
      <w:r w:rsidR="00F5463C">
        <w:rPr>
          <w:rFonts w:ascii="Book Antiqua" w:hAnsi="Book Antiqua"/>
          <w:lang w:val="it-IT"/>
        </w:rPr>
        <w:tab/>
        <w:t xml:space="preserve">      </w:t>
      </w:r>
      <w:r w:rsidRPr="00F5463C">
        <w:rPr>
          <w:rFonts w:ascii="Book Antiqua" w:hAnsi="Book Antiqua"/>
          <w:lang w:val="it-IT"/>
        </w:rPr>
        <w:t>Ordinaria</w:t>
      </w:r>
    </w:p>
    <w:p w14:paraId="46584F55" w14:textId="77777777" w:rsidR="00721626" w:rsidRPr="00F5463C" w:rsidRDefault="00721626" w:rsidP="00F5463C">
      <w:pPr>
        <w:rPr>
          <w:lang w:val="it-IT"/>
        </w:rPr>
      </w:pPr>
    </w:p>
    <w:p w14:paraId="46584F56" w14:textId="77777777" w:rsidR="00721626" w:rsidRDefault="00721626" w:rsidP="00F5463C">
      <w:pPr>
        <w:jc w:val="center"/>
        <w:rPr>
          <w:rFonts w:ascii="Book Antiqua" w:hAnsi="Book Antiqua"/>
          <w:b/>
          <w:sz w:val="36"/>
          <w:lang w:val="es-ES_tradnl"/>
        </w:rPr>
      </w:pPr>
      <w:r>
        <w:rPr>
          <w:rFonts w:ascii="Book Antiqua" w:hAnsi="Book Antiqua"/>
          <w:b/>
          <w:sz w:val="36"/>
          <w:lang w:val="es-ES_tradnl"/>
        </w:rPr>
        <w:t>CÁMARA DE REPRESENTANTES</w:t>
      </w:r>
    </w:p>
    <w:p w14:paraId="46584F57" w14:textId="77777777" w:rsidR="00721626" w:rsidRPr="00F5463C" w:rsidRDefault="00721626" w:rsidP="00F5463C">
      <w:pPr>
        <w:jc w:val="center"/>
        <w:rPr>
          <w:rFonts w:ascii="Book Antiqua" w:hAnsi="Book Antiqua"/>
          <w:b/>
          <w:szCs w:val="24"/>
          <w:lang w:val="es-ES_tradnl"/>
        </w:rPr>
      </w:pPr>
    </w:p>
    <w:p w14:paraId="46584F58" w14:textId="7264531E" w:rsidR="00721626" w:rsidRDefault="00721626" w:rsidP="00F5463C">
      <w:pPr>
        <w:jc w:val="center"/>
        <w:rPr>
          <w:rFonts w:ascii="Book Antiqua" w:hAnsi="Book Antiqua"/>
          <w:b/>
          <w:sz w:val="52"/>
          <w:lang w:val="es-ES_tradnl"/>
        </w:rPr>
      </w:pPr>
      <w:r>
        <w:rPr>
          <w:rFonts w:ascii="Book Antiqua" w:hAnsi="Book Antiqua"/>
          <w:b/>
          <w:sz w:val="52"/>
          <w:lang w:val="es-ES_tradnl"/>
        </w:rPr>
        <w:t>R. C. de la C.</w:t>
      </w:r>
      <w:r w:rsidR="00E85AC9">
        <w:rPr>
          <w:rFonts w:ascii="Book Antiqua" w:hAnsi="Book Antiqua"/>
          <w:b/>
          <w:sz w:val="52"/>
          <w:lang w:val="es-ES_tradnl"/>
        </w:rPr>
        <w:t xml:space="preserve"> 248</w:t>
      </w:r>
      <w:r>
        <w:rPr>
          <w:rFonts w:ascii="Book Antiqua" w:hAnsi="Book Antiqua"/>
          <w:b/>
          <w:sz w:val="52"/>
          <w:lang w:val="es-ES_tradnl"/>
        </w:rPr>
        <w:t xml:space="preserve"> </w:t>
      </w:r>
    </w:p>
    <w:p w14:paraId="1530D3DE" w14:textId="77777777" w:rsidR="00F5463C" w:rsidRDefault="00F5463C" w:rsidP="00F5463C">
      <w:pPr>
        <w:jc w:val="center"/>
        <w:rPr>
          <w:rFonts w:ascii="Book Antiqua" w:hAnsi="Book Antiqua"/>
          <w:lang w:val="es-ES_tradnl"/>
        </w:rPr>
      </w:pPr>
    </w:p>
    <w:p w14:paraId="46584F59" w14:textId="2CDC2980" w:rsidR="00721626" w:rsidRDefault="00D739EF" w:rsidP="00F5463C">
      <w:pPr>
        <w:jc w:val="center"/>
        <w:rPr>
          <w:rFonts w:ascii="Book Antiqua" w:hAnsi="Book Antiqua"/>
          <w:lang w:val="es-ES_tradnl"/>
        </w:rPr>
      </w:pPr>
      <w:r>
        <w:rPr>
          <w:rFonts w:ascii="Book Antiqua" w:hAnsi="Book Antiqua"/>
          <w:lang w:val="es-ES_tradnl"/>
        </w:rPr>
        <w:t>3</w:t>
      </w:r>
      <w:r w:rsidR="00721626">
        <w:rPr>
          <w:rFonts w:ascii="Book Antiqua" w:hAnsi="Book Antiqua"/>
          <w:lang w:val="es-ES_tradnl"/>
        </w:rPr>
        <w:t xml:space="preserve"> DE </w:t>
      </w:r>
      <w:r>
        <w:rPr>
          <w:rFonts w:ascii="Book Antiqua" w:hAnsi="Book Antiqua"/>
          <w:lang w:val="es-ES_tradnl"/>
        </w:rPr>
        <w:t>DIC</w:t>
      </w:r>
      <w:r w:rsidR="00205E3A">
        <w:rPr>
          <w:rFonts w:ascii="Book Antiqua" w:hAnsi="Book Antiqua"/>
          <w:lang w:val="es-ES_tradnl"/>
        </w:rPr>
        <w:t>IEMBRE</w:t>
      </w:r>
      <w:r w:rsidR="00721626">
        <w:rPr>
          <w:rFonts w:ascii="Book Antiqua" w:hAnsi="Book Antiqua"/>
          <w:lang w:val="es-ES_tradnl"/>
        </w:rPr>
        <w:t xml:space="preserve"> DE 202</w:t>
      </w:r>
      <w:r w:rsidR="00205E3A">
        <w:rPr>
          <w:rFonts w:ascii="Book Antiqua" w:hAnsi="Book Antiqua"/>
          <w:lang w:val="es-ES_tradnl"/>
        </w:rPr>
        <w:t>5</w:t>
      </w:r>
    </w:p>
    <w:p w14:paraId="69DC7E5B" w14:textId="77777777" w:rsidR="00F5463C" w:rsidRDefault="00F5463C" w:rsidP="00F5463C">
      <w:pPr>
        <w:jc w:val="center"/>
        <w:rPr>
          <w:rFonts w:ascii="Book Antiqua" w:eastAsia="Book Antiqua" w:hAnsi="Book Antiqua" w:cs="Book Antiqua"/>
          <w:lang w:val="es-PR"/>
        </w:rPr>
      </w:pPr>
    </w:p>
    <w:p w14:paraId="76734041" w14:textId="0D3CA040" w:rsidR="00F5463C" w:rsidRDefault="00F5463C" w:rsidP="00F5463C">
      <w:pPr>
        <w:jc w:val="center"/>
        <w:rPr>
          <w:rFonts w:ascii="Book Antiqua" w:eastAsia="Book Antiqua" w:hAnsi="Book Antiqua" w:cs="Book Antiqua"/>
          <w:i/>
          <w:lang w:val="es-PR"/>
        </w:rPr>
      </w:pPr>
      <w:r w:rsidRPr="00E32F5E">
        <w:rPr>
          <w:rFonts w:ascii="Book Antiqua" w:eastAsia="Book Antiqua" w:hAnsi="Book Antiqua" w:cs="Book Antiqua"/>
          <w:lang w:val="es-PR"/>
        </w:rPr>
        <w:t xml:space="preserve">Presentada por </w:t>
      </w:r>
      <w:r w:rsidRPr="0027514D">
        <w:rPr>
          <w:rFonts w:ascii="Book Antiqua" w:eastAsia="Book Antiqua" w:hAnsi="Book Antiqua" w:cs="Book Antiqua"/>
          <w:iCs/>
          <w:lang w:val="es-PR"/>
        </w:rPr>
        <w:t>el representante</w:t>
      </w:r>
      <w:r w:rsidRPr="0027514D">
        <w:rPr>
          <w:rFonts w:ascii="Book Antiqua" w:eastAsia="Book Antiqua" w:hAnsi="Book Antiqua" w:cs="Book Antiqua"/>
          <w:i/>
          <w:lang w:val="es-PR"/>
        </w:rPr>
        <w:t xml:space="preserve"> </w:t>
      </w:r>
      <w:r>
        <w:rPr>
          <w:rFonts w:ascii="Book Antiqua" w:eastAsia="Book Antiqua" w:hAnsi="Book Antiqua" w:cs="Book Antiqua"/>
          <w:i/>
          <w:lang w:val="es-PR"/>
        </w:rPr>
        <w:t>Márquez Lebrón</w:t>
      </w:r>
      <w:r w:rsidRPr="00475D48">
        <w:rPr>
          <w:rFonts w:ascii="Book Antiqua" w:eastAsia="Book Antiqua" w:hAnsi="Book Antiqua" w:cs="Book Antiqua"/>
          <w:i/>
          <w:lang w:val="es-PR"/>
        </w:rPr>
        <w:t>;</w:t>
      </w:r>
      <w:r>
        <w:rPr>
          <w:rFonts w:ascii="Book Antiqua" w:eastAsia="Book Antiqua" w:hAnsi="Book Antiqua" w:cs="Book Antiqua"/>
          <w:i/>
          <w:lang w:val="es-PR"/>
        </w:rPr>
        <w:t xml:space="preserve"> </w:t>
      </w:r>
      <w:r w:rsidRPr="00E32F5E">
        <w:rPr>
          <w:rFonts w:ascii="Book Antiqua" w:eastAsia="Book Antiqua" w:hAnsi="Book Antiqua" w:cs="Book Antiqua"/>
          <w:i/>
          <w:lang w:val="es-PR"/>
        </w:rPr>
        <w:t xml:space="preserve"> </w:t>
      </w:r>
    </w:p>
    <w:p w14:paraId="3E74FF3D" w14:textId="77777777" w:rsidR="00F5463C" w:rsidRPr="0027514D" w:rsidRDefault="00F5463C" w:rsidP="00F5463C">
      <w:pPr>
        <w:jc w:val="center"/>
        <w:rPr>
          <w:rFonts w:ascii="Book Antiqua" w:eastAsia="Book Antiqua" w:hAnsi="Book Antiqua" w:cs="Book Antiqua"/>
          <w:i/>
          <w:lang w:val="es-PR"/>
        </w:rPr>
      </w:pPr>
      <w:r w:rsidRPr="00475D48">
        <w:rPr>
          <w:rFonts w:ascii="Book Antiqua" w:eastAsia="Book Antiqua" w:hAnsi="Book Antiqua" w:cs="Book Antiqua"/>
          <w:iCs/>
          <w:lang w:val="es-PR"/>
        </w:rPr>
        <w:t>y las representantes</w:t>
      </w:r>
      <w:r>
        <w:rPr>
          <w:rFonts w:ascii="Book Antiqua" w:eastAsia="Book Antiqua" w:hAnsi="Book Antiqua" w:cs="Book Antiqua"/>
          <w:i/>
          <w:lang w:val="es-PR"/>
        </w:rPr>
        <w:t xml:space="preserve"> </w:t>
      </w:r>
      <w:r w:rsidRPr="00E32F5E">
        <w:rPr>
          <w:rFonts w:ascii="Book Antiqua" w:eastAsia="Book Antiqua" w:hAnsi="Book Antiqua" w:cs="Book Antiqua"/>
          <w:i/>
          <w:lang w:val="es-PR"/>
        </w:rPr>
        <w:t>Gutiérrez Colón</w:t>
      </w:r>
      <w:r>
        <w:rPr>
          <w:rFonts w:ascii="Book Antiqua" w:eastAsia="Book Antiqua" w:hAnsi="Book Antiqua" w:cs="Book Antiqua"/>
          <w:iCs/>
          <w:lang w:val="es-PR"/>
        </w:rPr>
        <w:t xml:space="preserve"> y </w:t>
      </w:r>
      <w:r w:rsidRPr="00262BA2">
        <w:rPr>
          <w:rFonts w:ascii="Book Antiqua" w:hAnsi="Book Antiqua"/>
          <w:i/>
          <w:lang w:val="es-ES"/>
        </w:rPr>
        <w:t>Lebrón Robles</w:t>
      </w:r>
    </w:p>
    <w:p w14:paraId="4D860A44" w14:textId="77777777" w:rsidR="00F5463C" w:rsidRDefault="00F5463C" w:rsidP="00F5463C">
      <w:pPr>
        <w:jc w:val="center"/>
        <w:rPr>
          <w:rFonts w:ascii="Book Antiqua" w:hAnsi="Book Antiqua"/>
          <w:lang w:val="es-ES_tradnl"/>
        </w:rPr>
      </w:pPr>
    </w:p>
    <w:p w14:paraId="46584F5B" w14:textId="4E05AC5A" w:rsidR="00721626" w:rsidRPr="00F5463C" w:rsidRDefault="00721626" w:rsidP="00F5463C">
      <w:pPr>
        <w:jc w:val="center"/>
        <w:rPr>
          <w:rFonts w:ascii="Book Antiqua" w:hAnsi="Book Antiqua"/>
          <w:lang w:val="es-PR"/>
        </w:rPr>
      </w:pPr>
      <w:r>
        <w:rPr>
          <w:rFonts w:ascii="Book Antiqua" w:hAnsi="Book Antiqua"/>
          <w:lang w:val="es-ES_tradnl"/>
        </w:rPr>
        <w:t xml:space="preserve">Referida a </w:t>
      </w:r>
      <w:r w:rsidR="00F5463C">
        <w:rPr>
          <w:rFonts w:ascii="Book Antiqua" w:hAnsi="Book Antiqua"/>
          <w:lang w:val="es-ES_tradnl"/>
        </w:rPr>
        <w:t>la Comisión</w:t>
      </w:r>
      <w:r w:rsidR="00F5463C" w:rsidRPr="00F5463C">
        <w:rPr>
          <w:rFonts w:ascii="Book Antiqua" w:hAnsi="Book Antiqua"/>
          <w:lang w:val="es-PR"/>
        </w:rPr>
        <w:t xml:space="preserve"> d</w:t>
      </w:r>
      <w:r w:rsidR="00F5463C">
        <w:rPr>
          <w:rFonts w:ascii="Book Antiqua" w:hAnsi="Book Antiqua"/>
          <w:lang w:val="es-PR"/>
        </w:rPr>
        <w:t xml:space="preserve">e Educación </w:t>
      </w:r>
    </w:p>
    <w:p w14:paraId="46584F5C" w14:textId="77777777" w:rsidR="00721626" w:rsidRDefault="00721626" w:rsidP="00721626">
      <w:pPr>
        <w:jc w:val="both"/>
        <w:rPr>
          <w:rFonts w:ascii="Book Antiqua" w:hAnsi="Book Antiqua"/>
          <w:lang w:val="es-ES_tradnl"/>
        </w:rPr>
      </w:pPr>
    </w:p>
    <w:p w14:paraId="46584F5D" w14:textId="77777777" w:rsidR="00721626" w:rsidRDefault="00721626" w:rsidP="00721626">
      <w:pPr>
        <w:jc w:val="center"/>
        <w:rPr>
          <w:rFonts w:ascii="Book Antiqua" w:hAnsi="Book Antiqua"/>
          <w:b/>
          <w:sz w:val="28"/>
          <w:lang w:val="es-ES_tradnl"/>
        </w:rPr>
      </w:pPr>
      <w:r>
        <w:rPr>
          <w:rFonts w:ascii="Book Antiqua" w:hAnsi="Book Antiqua"/>
          <w:b/>
          <w:sz w:val="28"/>
          <w:lang w:val="es-ES_tradnl"/>
        </w:rPr>
        <w:t>RESOLUCIÓN CONJUNTA</w:t>
      </w:r>
    </w:p>
    <w:p w14:paraId="46584F5E" w14:textId="77777777" w:rsidR="00721626" w:rsidRDefault="00721626" w:rsidP="00721626">
      <w:pPr>
        <w:jc w:val="both"/>
        <w:rPr>
          <w:rFonts w:ascii="Book Antiqua" w:hAnsi="Book Antiqua"/>
          <w:lang w:val="es-ES_tradnl"/>
        </w:rPr>
      </w:pPr>
    </w:p>
    <w:p w14:paraId="46584F5F" w14:textId="70F7693A" w:rsidR="00721626" w:rsidRDefault="00721626" w:rsidP="00F5463C">
      <w:pPr>
        <w:ind w:left="720" w:hanging="720"/>
        <w:jc w:val="both"/>
        <w:rPr>
          <w:rFonts w:ascii="Book Antiqua" w:hAnsi="Book Antiqua"/>
          <w:lang w:val="es-ES_tradnl"/>
        </w:rPr>
      </w:pPr>
      <w:r>
        <w:rPr>
          <w:rFonts w:ascii="Book Antiqua" w:hAnsi="Book Antiqua"/>
          <w:lang w:val="es-ES_tradnl"/>
        </w:rPr>
        <w:t xml:space="preserve">Para </w:t>
      </w:r>
      <w:r w:rsidR="00E4235A" w:rsidRPr="00E4235A">
        <w:rPr>
          <w:rFonts w:ascii="Book Antiqua" w:hAnsi="Book Antiqua"/>
          <w:lang w:val="es-PR"/>
        </w:rPr>
        <w:t xml:space="preserve">ordenar </w:t>
      </w:r>
      <w:r w:rsidR="00E4235A" w:rsidRPr="00E4235A">
        <w:rPr>
          <w:rFonts w:ascii="Book Antiqua" w:hAnsi="Book Antiqua"/>
          <w:lang w:val="es-ES"/>
        </w:rPr>
        <w:t xml:space="preserve">al Departamento de Educación dejar sin efecto la </w:t>
      </w:r>
      <w:r w:rsidR="00E4235A" w:rsidRPr="00E4235A">
        <w:rPr>
          <w:rFonts w:ascii="Book Antiqua" w:hAnsi="Book Antiqua"/>
          <w:lang w:val="es-PR"/>
        </w:rPr>
        <w:t xml:space="preserve">Carta Circular Núm. 006-2025-2026, titulada </w:t>
      </w:r>
      <w:r w:rsidR="00E4235A" w:rsidRPr="00E4235A">
        <w:rPr>
          <w:rFonts w:ascii="Book Antiqua" w:hAnsi="Book Antiqua"/>
          <w:lang w:val="es-419"/>
        </w:rPr>
        <w:t>“Política</w:t>
      </w:r>
      <w:r w:rsidR="00E4235A" w:rsidRPr="00E4235A">
        <w:rPr>
          <w:rFonts w:ascii="Book Antiqua" w:hAnsi="Book Antiqua"/>
          <w:lang w:val="es-PR"/>
        </w:rPr>
        <w:t xml:space="preserve"> pública y marco práctico para distinguir entre servicios relacionados educativos y terapias o tratamientos clínicos”</w:t>
      </w:r>
      <w:r w:rsidR="00E4235A" w:rsidRPr="00E4235A">
        <w:rPr>
          <w:rFonts w:ascii="Book Antiqua" w:hAnsi="Book Antiqua"/>
          <w:lang w:val="es-ES"/>
        </w:rPr>
        <w:t xml:space="preserve">; detener y revertir cualquier procedimiento iniciado al amparo de ésta; y garantizar la continuidad de los servicios relacionados provistos al estudiantado del Programa de Educación Especial al amparo de </w:t>
      </w:r>
      <w:r w:rsidR="00E4235A" w:rsidRPr="00E4235A">
        <w:rPr>
          <w:rFonts w:ascii="Book Antiqua" w:hAnsi="Book Antiqua"/>
          <w:lang w:val="es-PR"/>
        </w:rPr>
        <w:t xml:space="preserve">la </w:t>
      </w:r>
      <w:proofErr w:type="spellStart"/>
      <w:r w:rsidR="00E4235A" w:rsidRPr="00E4235A">
        <w:rPr>
          <w:rFonts w:ascii="Book Antiqua" w:hAnsi="Book Antiqua"/>
          <w:i/>
          <w:iCs/>
          <w:lang w:val="es-PR"/>
        </w:rPr>
        <w:t>Individuals</w:t>
      </w:r>
      <w:proofErr w:type="spellEnd"/>
      <w:r w:rsidR="00E4235A" w:rsidRPr="00E4235A">
        <w:rPr>
          <w:rFonts w:ascii="Book Antiqua" w:hAnsi="Book Antiqua"/>
          <w:i/>
          <w:iCs/>
          <w:lang w:val="es-PR"/>
        </w:rPr>
        <w:t xml:space="preserve"> </w:t>
      </w:r>
      <w:proofErr w:type="spellStart"/>
      <w:r w:rsidR="00E4235A" w:rsidRPr="00E4235A">
        <w:rPr>
          <w:rFonts w:ascii="Book Antiqua" w:hAnsi="Book Antiqua"/>
          <w:i/>
          <w:iCs/>
          <w:lang w:val="es-PR"/>
        </w:rPr>
        <w:t>with</w:t>
      </w:r>
      <w:proofErr w:type="spellEnd"/>
      <w:r w:rsidR="00E4235A" w:rsidRPr="00E4235A">
        <w:rPr>
          <w:rFonts w:ascii="Book Antiqua" w:hAnsi="Book Antiqua"/>
          <w:i/>
          <w:iCs/>
          <w:lang w:val="es-PR"/>
        </w:rPr>
        <w:t xml:space="preserve"> </w:t>
      </w:r>
      <w:proofErr w:type="spellStart"/>
      <w:r w:rsidR="00E4235A" w:rsidRPr="00E4235A">
        <w:rPr>
          <w:rFonts w:ascii="Book Antiqua" w:hAnsi="Book Antiqua"/>
          <w:i/>
          <w:iCs/>
          <w:lang w:val="es-PR"/>
        </w:rPr>
        <w:t>Disabilities</w:t>
      </w:r>
      <w:proofErr w:type="spellEnd"/>
      <w:r w:rsidR="00E4235A" w:rsidRPr="00E4235A">
        <w:rPr>
          <w:rFonts w:ascii="Book Antiqua" w:hAnsi="Book Antiqua"/>
          <w:i/>
          <w:iCs/>
          <w:lang w:val="es-PR"/>
        </w:rPr>
        <w:t xml:space="preserve"> </w:t>
      </w:r>
      <w:proofErr w:type="spellStart"/>
      <w:r w:rsidR="00E4235A" w:rsidRPr="00E4235A">
        <w:rPr>
          <w:rFonts w:ascii="Book Antiqua" w:hAnsi="Book Antiqua"/>
          <w:i/>
          <w:iCs/>
          <w:lang w:val="es-PR"/>
        </w:rPr>
        <w:t>Education</w:t>
      </w:r>
      <w:proofErr w:type="spellEnd"/>
      <w:r w:rsidR="00E4235A" w:rsidRPr="00E4235A">
        <w:rPr>
          <w:rFonts w:ascii="Book Antiqua" w:hAnsi="Book Antiqua"/>
          <w:i/>
          <w:iCs/>
          <w:lang w:val="es-PR"/>
        </w:rPr>
        <w:t xml:space="preserve"> </w:t>
      </w:r>
      <w:proofErr w:type="spellStart"/>
      <w:r w:rsidR="00E4235A" w:rsidRPr="00E4235A">
        <w:rPr>
          <w:rFonts w:ascii="Book Antiqua" w:hAnsi="Book Antiqua"/>
          <w:i/>
          <w:iCs/>
          <w:lang w:val="es-PR"/>
        </w:rPr>
        <w:t>Act</w:t>
      </w:r>
      <w:proofErr w:type="spellEnd"/>
      <w:r w:rsidR="00E4235A" w:rsidRPr="00E4235A">
        <w:rPr>
          <w:rFonts w:ascii="Book Antiqua" w:hAnsi="Book Antiqua"/>
          <w:lang w:val="es-PR"/>
        </w:rPr>
        <w:t xml:space="preserve">, la Constitución de Puerto Rico, la Ley de Servicios Educativos Integrales para Personas con Impedimentos, </w:t>
      </w:r>
      <w:r w:rsidR="00E4235A" w:rsidRPr="00E4235A">
        <w:rPr>
          <w:rFonts w:ascii="Book Antiqua" w:hAnsi="Book Antiqua"/>
          <w:lang w:val="uz-Cyrl-UZ"/>
        </w:rPr>
        <w:t xml:space="preserve">la </w:t>
      </w:r>
      <w:r w:rsidR="00E4235A" w:rsidRPr="00E4235A">
        <w:rPr>
          <w:rFonts w:ascii="Book Antiqua" w:hAnsi="Book Antiqua"/>
          <w:lang w:val="es-419"/>
        </w:rPr>
        <w:t>Sentencia por E</w:t>
      </w:r>
      <w:r w:rsidR="00E4235A" w:rsidRPr="00E4235A">
        <w:rPr>
          <w:rFonts w:ascii="Book Antiqua" w:hAnsi="Book Antiqua"/>
          <w:lang w:val="uz-Cyrl-UZ"/>
        </w:rPr>
        <w:t xml:space="preserve">stipulación del caso </w:t>
      </w:r>
      <w:r w:rsidR="00E4235A" w:rsidRPr="00E4235A">
        <w:rPr>
          <w:rFonts w:ascii="Book Antiqua" w:hAnsi="Book Antiqua"/>
          <w:i/>
          <w:iCs/>
          <w:lang w:val="uz-Cyrl-UZ"/>
        </w:rPr>
        <w:t>Rosa Lydia Vélez y otros v. Awilda Aponte Roque y otros</w:t>
      </w:r>
      <w:r w:rsidR="00E4235A" w:rsidRPr="00E4235A">
        <w:rPr>
          <w:rFonts w:ascii="Book Antiqua" w:hAnsi="Book Antiqua"/>
          <w:lang w:val="es-419"/>
        </w:rPr>
        <w:t xml:space="preserve"> y la jurisprudencia interpretativa que acompaña estas (y otras) fuentes jurídicas</w:t>
      </w:r>
      <w:r w:rsidR="00E4235A" w:rsidRPr="00E4235A">
        <w:rPr>
          <w:rFonts w:ascii="Book Antiqua" w:hAnsi="Book Antiqua"/>
          <w:lang w:val="es-ES"/>
        </w:rPr>
        <w:t xml:space="preserve">; </w:t>
      </w:r>
      <w:r w:rsidR="00E4235A" w:rsidRPr="00E4235A">
        <w:rPr>
          <w:rFonts w:ascii="Book Antiqua" w:hAnsi="Book Antiqua"/>
          <w:lang w:val="es-419"/>
        </w:rPr>
        <w:t>y para establecer otras disposiciones complementarias.</w:t>
      </w:r>
    </w:p>
    <w:p w14:paraId="352C696E" w14:textId="77777777" w:rsidR="00FF6424" w:rsidRDefault="00FF6424" w:rsidP="00721626">
      <w:pPr>
        <w:ind w:left="360" w:hanging="360"/>
        <w:jc w:val="both"/>
        <w:rPr>
          <w:rFonts w:ascii="Book Antiqua" w:hAnsi="Book Antiqua"/>
          <w:lang w:val="es-ES_tradnl"/>
        </w:rPr>
      </w:pPr>
    </w:p>
    <w:p w14:paraId="46584F60" w14:textId="77777777" w:rsidR="00721626" w:rsidRDefault="00721626" w:rsidP="00F5463C">
      <w:pPr>
        <w:ind w:firstLine="360"/>
        <w:jc w:val="center"/>
        <w:rPr>
          <w:rFonts w:ascii="Book Antiqua" w:hAnsi="Book Antiqua"/>
          <w:lang w:val="es-ES_tradnl"/>
        </w:rPr>
      </w:pPr>
      <w:r>
        <w:rPr>
          <w:rFonts w:ascii="Book Antiqua" w:hAnsi="Book Antiqua"/>
          <w:lang w:val="es-ES_tradnl"/>
        </w:rPr>
        <w:t>EXPOSICIÓN DE MOTIVOS</w:t>
      </w:r>
    </w:p>
    <w:p w14:paraId="6E548158" w14:textId="77777777" w:rsidR="00F5463C" w:rsidRDefault="00F5463C" w:rsidP="00F5463C">
      <w:pPr>
        <w:ind w:firstLine="360"/>
        <w:jc w:val="center"/>
        <w:rPr>
          <w:rFonts w:ascii="Book Antiqua" w:hAnsi="Book Antiqua"/>
          <w:lang w:val="es-ES_tradnl"/>
        </w:rPr>
      </w:pPr>
    </w:p>
    <w:p w14:paraId="0DA9D732" w14:textId="77777777" w:rsidR="00F5463C" w:rsidRDefault="00E4235A" w:rsidP="00F5463C">
      <w:pPr>
        <w:ind w:firstLine="360"/>
        <w:jc w:val="both"/>
        <w:rPr>
          <w:rFonts w:ascii="Book Antiqua" w:hAnsi="Book Antiqua"/>
          <w:lang w:val="es-419"/>
        </w:rPr>
      </w:pPr>
      <w:r w:rsidRPr="00E4235A">
        <w:rPr>
          <w:rFonts w:ascii="Book Antiqua" w:hAnsi="Book Antiqua"/>
          <w:lang w:val="es-PR"/>
        </w:rPr>
        <w:t>El 15 de octubre de 2025, el Secretario del Departamento de Educación (DEPR), Lcdo. Eliezer Ramos Parés, promulgó la Carta Circular Número 006-2025-2026, cuyo propósito práctico es restringir el acceso del estudiantado registrado en el Programa de Educación Especial a servicios relacionados a la educación, principalmente de terapias. Se trata, en la mayoría de las ocasiones, de servicios indispensables para estudiantes con diagnósticos complejos que se ofrecen a través del DEPR y sus dependencias al amparo de lo dispuesto en el estatuto federal conocido como IDEA,</w:t>
      </w:r>
      <w:r w:rsidRPr="00E4235A">
        <w:rPr>
          <w:rFonts w:ascii="Book Antiqua" w:hAnsi="Book Antiqua"/>
          <w:vertAlign w:val="superscript"/>
          <w:lang w:val="es-PR"/>
        </w:rPr>
        <w:footnoteReference w:id="1"/>
      </w:r>
      <w:r w:rsidRPr="00E4235A">
        <w:rPr>
          <w:rFonts w:ascii="Book Antiqua" w:hAnsi="Book Antiqua"/>
          <w:lang w:val="es-PR"/>
        </w:rPr>
        <w:t xml:space="preserve"> la Constitución de Puerto Rico, la “Ley de </w:t>
      </w:r>
      <w:r w:rsidRPr="00E4235A">
        <w:rPr>
          <w:rFonts w:ascii="Book Antiqua" w:hAnsi="Book Antiqua"/>
          <w:lang w:val="es-PR"/>
        </w:rPr>
        <w:lastRenderedPageBreak/>
        <w:t>Servicios Educativos Integrales para Personas con Impedimentos”,</w:t>
      </w:r>
      <w:r w:rsidRPr="00E4235A">
        <w:rPr>
          <w:rFonts w:ascii="Book Antiqua" w:hAnsi="Book Antiqua"/>
          <w:vertAlign w:val="superscript"/>
          <w:lang w:val="es-PR"/>
        </w:rPr>
        <w:footnoteReference w:id="2"/>
      </w:r>
      <w:r w:rsidRPr="00E4235A">
        <w:rPr>
          <w:rFonts w:ascii="Book Antiqua" w:hAnsi="Book Antiqua"/>
          <w:lang w:val="es-PR"/>
        </w:rPr>
        <w:t xml:space="preserve"> </w:t>
      </w:r>
      <w:r w:rsidRPr="00E4235A">
        <w:rPr>
          <w:rFonts w:ascii="Book Antiqua" w:hAnsi="Book Antiqua"/>
          <w:lang w:val="uz-Cyrl-UZ"/>
        </w:rPr>
        <w:t xml:space="preserve">la </w:t>
      </w:r>
      <w:r w:rsidRPr="00E4235A">
        <w:rPr>
          <w:rFonts w:ascii="Book Antiqua" w:hAnsi="Book Antiqua"/>
          <w:lang w:val="es-419"/>
        </w:rPr>
        <w:t>Sentencia por E</w:t>
      </w:r>
      <w:r w:rsidRPr="00E4235A">
        <w:rPr>
          <w:rFonts w:ascii="Book Antiqua" w:hAnsi="Book Antiqua"/>
          <w:lang w:val="uz-Cyrl-UZ"/>
        </w:rPr>
        <w:t xml:space="preserve">stipulación del caso </w:t>
      </w:r>
      <w:r w:rsidRPr="00E4235A">
        <w:rPr>
          <w:rFonts w:ascii="Book Antiqua" w:hAnsi="Book Antiqua"/>
          <w:i/>
          <w:iCs/>
          <w:lang w:val="uz-Cyrl-UZ"/>
        </w:rPr>
        <w:t>Rosa Lydia Vélez y otros v. Awilda Aponte Roque y otros</w:t>
      </w:r>
      <w:r w:rsidRPr="00E4235A">
        <w:rPr>
          <w:rFonts w:ascii="Book Antiqua" w:hAnsi="Book Antiqua"/>
          <w:vertAlign w:val="superscript"/>
          <w:lang w:val="uz-Cyrl-UZ"/>
        </w:rPr>
        <w:footnoteReference w:id="3"/>
      </w:r>
      <w:r w:rsidRPr="00E4235A">
        <w:rPr>
          <w:rFonts w:ascii="Book Antiqua" w:hAnsi="Book Antiqua"/>
          <w:lang w:val="es-419"/>
        </w:rPr>
        <w:t xml:space="preserve"> y la jurisprudencia interpretativa que acompaña estas (y otras) fuentes jurídicas.</w:t>
      </w:r>
    </w:p>
    <w:p w14:paraId="53A225D9" w14:textId="1BE72602" w:rsidR="00E4235A" w:rsidRPr="00E4235A" w:rsidRDefault="00E4235A" w:rsidP="00F5463C">
      <w:pPr>
        <w:ind w:firstLine="360"/>
        <w:jc w:val="both"/>
        <w:rPr>
          <w:rFonts w:ascii="Book Antiqua" w:hAnsi="Book Antiqua"/>
          <w:lang w:val="es-419"/>
        </w:rPr>
      </w:pPr>
      <w:r w:rsidRPr="00E4235A">
        <w:rPr>
          <w:rFonts w:ascii="Book Antiqua" w:hAnsi="Book Antiqua"/>
          <w:lang w:val="es-419"/>
        </w:rPr>
        <w:t xml:space="preserve"> </w:t>
      </w:r>
    </w:p>
    <w:p w14:paraId="0E92DD63" w14:textId="77777777" w:rsidR="00E4235A" w:rsidRDefault="00E4235A" w:rsidP="00F5463C">
      <w:pPr>
        <w:ind w:firstLine="360"/>
        <w:jc w:val="both"/>
        <w:rPr>
          <w:rFonts w:ascii="Book Antiqua" w:hAnsi="Book Antiqua"/>
          <w:lang w:val="es-419"/>
        </w:rPr>
      </w:pPr>
      <w:r w:rsidRPr="00E4235A">
        <w:rPr>
          <w:rFonts w:ascii="Book Antiqua" w:hAnsi="Book Antiqua"/>
          <w:lang w:val="es-419"/>
        </w:rPr>
        <w:t>IDEA es clara en el sentido de que los propósitos de la Educación Especial, incluidos los servicios relacionados, se extienden más allá de la escuela. Según su texto, el estatuto busca “</w:t>
      </w:r>
      <w:r w:rsidRPr="00E4235A">
        <w:rPr>
          <w:rFonts w:ascii="Book Antiqua" w:hAnsi="Book Antiqua"/>
          <w:lang w:val="es-ES"/>
        </w:rPr>
        <w:t xml:space="preserve">garantizar que la niñez con discapacidades tenga acceso a una educación pública gratuita y apropiada que enfatice una educación especial y servicios relacionados diseñados para satisfacer sus necesidades únicas y </w:t>
      </w:r>
      <w:proofErr w:type="gramStart"/>
      <w:r w:rsidRPr="00E4235A">
        <w:rPr>
          <w:rFonts w:ascii="Book Antiqua" w:hAnsi="Book Antiqua"/>
          <w:lang w:val="es-ES"/>
        </w:rPr>
        <w:t>prepararles</w:t>
      </w:r>
      <w:proofErr w:type="gramEnd"/>
      <w:r w:rsidRPr="00E4235A">
        <w:rPr>
          <w:rFonts w:ascii="Book Antiqua" w:hAnsi="Book Antiqua"/>
          <w:lang w:val="es-ES"/>
        </w:rPr>
        <w:t xml:space="preserve"> para la educación superior, el empleo y la vida independiente.</w:t>
      </w:r>
      <w:r w:rsidRPr="00E4235A">
        <w:rPr>
          <w:rFonts w:ascii="Book Antiqua" w:hAnsi="Book Antiqua"/>
          <w:lang w:val="es-419"/>
        </w:rPr>
        <w:t>”</w:t>
      </w:r>
      <w:r w:rsidRPr="00E4235A">
        <w:rPr>
          <w:rFonts w:ascii="Book Antiqua" w:hAnsi="Book Antiqua"/>
          <w:vertAlign w:val="superscript"/>
        </w:rPr>
        <w:footnoteReference w:id="4"/>
      </w:r>
      <w:r w:rsidRPr="00E4235A">
        <w:rPr>
          <w:rFonts w:ascii="Book Antiqua" w:hAnsi="Book Antiqua"/>
          <w:lang w:val="es-419"/>
        </w:rPr>
        <w:t xml:space="preserve"> Éste es un lenguaje que reproduce la Ley</w:t>
      </w:r>
      <w:r w:rsidRPr="00E4235A">
        <w:rPr>
          <w:rFonts w:ascii="Book Antiqua" w:hAnsi="Book Antiqua"/>
          <w:lang w:val="es-PR"/>
        </w:rPr>
        <w:t xml:space="preserve"> 51-1996</w:t>
      </w:r>
      <w:r w:rsidRPr="00E4235A">
        <w:rPr>
          <w:rFonts w:ascii="Book Antiqua" w:hAnsi="Book Antiqua"/>
          <w:lang w:val="es-419"/>
        </w:rPr>
        <w:t xml:space="preserve"> en cuanto al proceso de transición del estudiantado a la vida postescolar.</w:t>
      </w:r>
      <w:r w:rsidRPr="00E4235A">
        <w:rPr>
          <w:rFonts w:ascii="Book Antiqua" w:hAnsi="Book Antiqua"/>
          <w:vertAlign w:val="superscript"/>
          <w:lang w:val="es-419"/>
        </w:rPr>
        <w:footnoteReference w:id="5"/>
      </w:r>
      <w:r w:rsidRPr="00E4235A">
        <w:rPr>
          <w:rFonts w:ascii="Book Antiqua" w:hAnsi="Book Antiqua"/>
          <w:lang w:val="es-419"/>
        </w:rPr>
        <w:t xml:space="preserve"> Ésa no es la visión que hoy promulga el DEPR. La Carta Circular </w:t>
      </w:r>
      <w:r w:rsidRPr="00E4235A">
        <w:rPr>
          <w:rFonts w:ascii="Book Antiqua" w:hAnsi="Book Antiqua"/>
          <w:lang w:val="es-PR"/>
        </w:rPr>
        <w:t>006-2025-2026</w:t>
      </w:r>
      <w:r w:rsidRPr="00E4235A">
        <w:rPr>
          <w:rFonts w:ascii="Book Antiqua" w:hAnsi="Book Antiqua"/>
          <w:lang w:val="es-419"/>
        </w:rPr>
        <w:t>, cuyo título lee “Política</w:t>
      </w:r>
      <w:r w:rsidRPr="00E4235A">
        <w:rPr>
          <w:rFonts w:ascii="Book Antiqua" w:hAnsi="Book Antiqua"/>
          <w:lang w:val="es-PR"/>
        </w:rPr>
        <w:t xml:space="preserve"> pública y marco práctico para distinguir entre servicios relacionados educativos y terapias o tratamientos clínicos” tiene el fin expreso de generarle ahorros fiscales a la agencia;</w:t>
      </w:r>
      <w:r w:rsidRPr="00E4235A">
        <w:rPr>
          <w:rFonts w:ascii="Book Antiqua" w:hAnsi="Book Antiqua"/>
          <w:vertAlign w:val="superscript"/>
          <w:lang w:val="es-PR"/>
        </w:rPr>
        <w:footnoteReference w:id="6"/>
      </w:r>
      <w:r w:rsidRPr="00E4235A">
        <w:rPr>
          <w:rFonts w:ascii="Book Antiqua" w:hAnsi="Book Antiqua"/>
          <w:lang w:val="es-PR"/>
        </w:rPr>
        <w:t xml:space="preserve"> sin embargo, se implementó </w:t>
      </w:r>
      <w:r w:rsidRPr="00E4235A">
        <w:rPr>
          <w:rFonts w:ascii="Book Antiqua" w:hAnsi="Book Antiqua"/>
          <w:lang w:val="es-419"/>
        </w:rPr>
        <w:t xml:space="preserve">bajo el subterfugio de que es posible trazar una circunscripción artificial entre las terapias que inciden sobre los asuntos educativos y los tratamientos clínicos. Esa demarcación no sólo no surge de los estatutos pertinentes, sino que es patentemente contraria a lo dispuesto en ellos. </w:t>
      </w:r>
    </w:p>
    <w:p w14:paraId="7B317A94" w14:textId="77777777" w:rsidR="00F5463C" w:rsidRPr="00E4235A" w:rsidRDefault="00F5463C" w:rsidP="00F5463C">
      <w:pPr>
        <w:ind w:firstLine="360"/>
        <w:jc w:val="both"/>
        <w:rPr>
          <w:rFonts w:ascii="Book Antiqua" w:hAnsi="Book Antiqua"/>
          <w:lang w:val="es-419"/>
        </w:rPr>
      </w:pPr>
    </w:p>
    <w:p w14:paraId="3343D37E" w14:textId="77777777" w:rsidR="00E4235A" w:rsidRDefault="00E4235A" w:rsidP="00F5463C">
      <w:pPr>
        <w:ind w:firstLine="360"/>
        <w:jc w:val="both"/>
        <w:rPr>
          <w:rFonts w:ascii="Book Antiqua" w:hAnsi="Book Antiqua"/>
          <w:lang w:val="es-419"/>
        </w:rPr>
      </w:pPr>
      <w:r w:rsidRPr="00E4235A">
        <w:rPr>
          <w:rFonts w:ascii="Book Antiqua" w:hAnsi="Book Antiqua"/>
          <w:lang w:val="es-419"/>
        </w:rPr>
        <w:t xml:space="preserve">La definición que IDEA provee para la frase “servicios relacionados” incluye una gama de ofrecimientos íntimamente ligados al desarrollo integral de la estudiante, muchos con énfasis clínico; incluidos los servicios médicos que tengan el efecto de </w:t>
      </w:r>
      <w:r w:rsidRPr="00E4235A">
        <w:rPr>
          <w:rFonts w:ascii="Book Antiqua" w:hAnsi="Book Antiqua"/>
          <w:lang w:val="es-ES"/>
        </w:rPr>
        <w:t>ayudar a una niña con diversidad funcional a beneficiarse de la educación especial</w:t>
      </w:r>
      <w:bookmarkStart w:id="0" w:name="substructure-location_26_A"/>
      <w:bookmarkEnd w:id="0"/>
      <w:r w:rsidRPr="00E4235A">
        <w:rPr>
          <w:rFonts w:ascii="Book Antiqua" w:hAnsi="Book Antiqua"/>
          <w:lang w:val="es-419"/>
        </w:rPr>
        <w:t xml:space="preserve">. Específicamente, IDEA señala que el término “servicios relacionados” se refiere a </w:t>
      </w:r>
      <w:r w:rsidRPr="00E4235A">
        <w:rPr>
          <w:rFonts w:ascii="Book Antiqua" w:hAnsi="Book Antiqua"/>
          <w:lang w:val="es-ES"/>
        </w:rPr>
        <w:t>transportación,</w:t>
      </w:r>
      <w:r w:rsidRPr="00E4235A">
        <w:rPr>
          <w:rFonts w:ascii="Book Antiqua" w:hAnsi="Book Antiqua"/>
          <w:lang w:val="es-419"/>
        </w:rPr>
        <w:t xml:space="preserve"> terapias para atender deficiencias en el desarrollo o de naturaleza correctiva y otros servicios que sirvan de apoyo a la estudiante; incluyendo, pero sin limitarse a: </w:t>
      </w:r>
      <w:r w:rsidRPr="00E4235A">
        <w:rPr>
          <w:rFonts w:ascii="Book Antiqua" w:hAnsi="Book Antiqua"/>
          <w:lang w:val="es-ES"/>
        </w:rPr>
        <w:t xml:space="preserve">servicios de patología del habla y lenguaje; servicios de audiología; servicios de interpretación; servicios psicológicos; terapia física y ocupacional; servicios de recreación, incluida la recreación terapéutica; servicios de trabajo social; servicios de enfermería escolar diseñados para viabilizar que un niño con diversidad funcional o alguna discapacidad reciba una educación pública gratuita y apropiada como se describa en su programa educativo individualizado; servicios de asesoramiento, incluido el asesoramiento de rehabilitación; servicios de orientación y movilidad; y los servicios médicos requeridos para evaluar, diagnosticar y auxiliar a un niño con alguna discapacidad a beneficiarse de la educación especial. Esto incluye la identificación temprana y la evaluación de las condiciones </w:t>
      </w:r>
      <w:proofErr w:type="spellStart"/>
      <w:r w:rsidRPr="00E4235A">
        <w:rPr>
          <w:rFonts w:ascii="Book Antiqua" w:hAnsi="Book Antiqua"/>
          <w:lang w:val="es-ES"/>
        </w:rPr>
        <w:t>discapacitantes</w:t>
      </w:r>
      <w:proofErr w:type="spellEnd"/>
      <w:r w:rsidRPr="00E4235A">
        <w:rPr>
          <w:rFonts w:ascii="Book Antiqua" w:hAnsi="Book Antiqua"/>
          <w:lang w:val="es-ES"/>
        </w:rPr>
        <w:t xml:space="preserve"> en la niñez.</w:t>
      </w:r>
      <w:r w:rsidRPr="00E4235A">
        <w:rPr>
          <w:rFonts w:ascii="Book Antiqua" w:hAnsi="Book Antiqua"/>
          <w:vertAlign w:val="superscript"/>
        </w:rPr>
        <w:footnoteReference w:id="7"/>
      </w:r>
      <w:bookmarkStart w:id="1" w:name="substructure-location_26_B"/>
      <w:bookmarkEnd w:id="1"/>
      <w:r w:rsidRPr="00E4235A">
        <w:rPr>
          <w:rFonts w:ascii="Book Antiqua" w:hAnsi="Book Antiqua"/>
          <w:lang w:val="es-419"/>
        </w:rPr>
        <w:t xml:space="preserve"> La única disposición del texto expreso de IDEA que excluye la provisión de algún servicio </w:t>
      </w:r>
      <w:r w:rsidRPr="00E4235A">
        <w:rPr>
          <w:rFonts w:ascii="Book Antiqua" w:hAnsi="Book Antiqua"/>
          <w:lang w:val="es-419"/>
        </w:rPr>
        <w:lastRenderedPageBreak/>
        <w:t>considerado exclusivamente médico se refiera a la implantación de dispositivos médicos que requieran intervención quirúrgica.</w:t>
      </w:r>
      <w:r w:rsidRPr="00E4235A">
        <w:rPr>
          <w:rFonts w:ascii="Book Antiqua" w:hAnsi="Book Antiqua"/>
          <w:vertAlign w:val="superscript"/>
        </w:rPr>
        <w:footnoteReference w:id="8"/>
      </w:r>
      <w:r w:rsidRPr="00E4235A">
        <w:rPr>
          <w:rFonts w:ascii="Book Antiqua" w:hAnsi="Book Antiqua"/>
          <w:lang w:val="es-PR"/>
        </w:rPr>
        <w:t xml:space="preserve"> </w:t>
      </w:r>
      <w:r w:rsidRPr="00E4235A">
        <w:rPr>
          <w:rFonts w:ascii="Book Antiqua" w:hAnsi="Book Antiqua"/>
          <w:lang w:val="es-419"/>
        </w:rPr>
        <w:t>Ésta es la excepción que confirma la regla. Fuera de esa exclusión de carácter excepcional, la Ley considera que los restantes servicios clínicos deben ser provistos siempre que busquen subsanar deficiencias en el desarrollo, sean de naturaleza correctiva o sirvan de apoyo a la estudiante en su proceso educativo.</w:t>
      </w:r>
    </w:p>
    <w:p w14:paraId="0FFDF5A8" w14:textId="77777777" w:rsidR="00F5463C" w:rsidRPr="00E4235A" w:rsidRDefault="00F5463C" w:rsidP="00F5463C">
      <w:pPr>
        <w:ind w:firstLine="360"/>
        <w:jc w:val="both"/>
        <w:rPr>
          <w:rFonts w:ascii="Book Antiqua" w:hAnsi="Book Antiqua"/>
          <w:lang w:val="es-419"/>
        </w:rPr>
      </w:pPr>
    </w:p>
    <w:p w14:paraId="4C1548E9" w14:textId="77777777" w:rsidR="00E4235A" w:rsidRDefault="00E4235A" w:rsidP="00F5463C">
      <w:pPr>
        <w:ind w:firstLine="360"/>
        <w:jc w:val="both"/>
        <w:rPr>
          <w:rFonts w:ascii="Book Antiqua" w:hAnsi="Book Antiqua"/>
          <w:lang w:val="es-PR"/>
        </w:rPr>
      </w:pPr>
      <w:r w:rsidRPr="00E4235A">
        <w:rPr>
          <w:rFonts w:ascii="Book Antiqua" w:hAnsi="Book Antiqua"/>
          <w:lang w:val="es-419"/>
        </w:rPr>
        <w:t xml:space="preserve">El DEPR hoy insiste en realizar una lectura restrictiva de los ofrecimientos cobijados bajo el estatuto federal; </w:t>
      </w:r>
      <w:r w:rsidRPr="00E4235A">
        <w:rPr>
          <w:rFonts w:ascii="Book Antiqua" w:hAnsi="Book Antiqua"/>
          <w:lang w:val="es-PR"/>
        </w:rPr>
        <w:t>no obstante</w:t>
      </w:r>
      <w:r w:rsidRPr="00E4235A">
        <w:rPr>
          <w:rFonts w:ascii="Book Antiqua" w:hAnsi="Book Antiqua"/>
          <w:lang w:val="es-419"/>
        </w:rPr>
        <w:t xml:space="preserve">, aun una persona que interesara hacer una lectura de mala fe del texto de IDEA tendría que retrotraerse a la ley local, cuyo lenguaje responsabiliza, de forma inequívoca, a la </w:t>
      </w:r>
      <w:r w:rsidRPr="00E4235A">
        <w:rPr>
          <w:rFonts w:ascii="Book Antiqua" w:hAnsi="Book Antiqua"/>
          <w:lang w:val="es-PR"/>
        </w:rPr>
        <w:t>Secretaría Auxiliar de Servicios Educativos Integrales para Personas con Impedimentos con el deber de “prestar servicios educativos y relacionados a personas con impedimentos; y coordinar los servicios que se les asignan a las demás agencias participantes”.</w:t>
      </w:r>
      <w:r w:rsidRPr="00E4235A">
        <w:rPr>
          <w:rFonts w:ascii="Book Antiqua" w:hAnsi="Book Antiqua"/>
          <w:vertAlign w:val="superscript"/>
          <w:lang w:val="es-PR"/>
        </w:rPr>
        <w:footnoteReference w:id="9"/>
      </w:r>
      <w:r w:rsidRPr="00E4235A">
        <w:rPr>
          <w:rFonts w:ascii="Book Antiqua" w:hAnsi="Book Antiqua"/>
          <w:lang w:val="es-PR"/>
        </w:rPr>
        <w:t xml:space="preserve"> Los servicios relacionados aludidos incluyen servicios de salud; en esta ocasión, sin excepciones. Los “[s]</w:t>
      </w:r>
      <w:proofErr w:type="spellStart"/>
      <w:r w:rsidRPr="00E4235A">
        <w:rPr>
          <w:rFonts w:ascii="Book Antiqua" w:hAnsi="Book Antiqua"/>
          <w:lang w:val="es-PR"/>
        </w:rPr>
        <w:t>ervicios</w:t>
      </w:r>
      <w:proofErr w:type="spellEnd"/>
      <w:r w:rsidRPr="00E4235A">
        <w:rPr>
          <w:rFonts w:ascii="Book Antiqua" w:hAnsi="Book Antiqua"/>
          <w:lang w:val="es-PR"/>
        </w:rPr>
        <w:t xml:space="preserve"> relacionados con la educación [son] </w:t>
      </w:r>
      <w:r w:rsidRPr="00E4235A">
        <w:rPr>
          <w:rFonts w:ascii="Book Antiqua" w:hAnsi="Book Antiqua"/>
          <w:b/>
          <w:bCs/>
          <w:lang w:val="es-PR"/>
        </w:rPr>
        <w:t>servicios de salud</w:t>
      </w:r>
      <w:r w:rsidRPr="00E4235A">
        <w:rPr>
          <w:rFonts w:ascii="Book Antiqua" w:hAnsi="Book Antiqua"/>
          <w:lang w:val="es-PR"/>
        </w:rPr>
        <w:t xml:space="preserve"> y de apoyo indispensables, que se requieren para que la persona con impedimentos se beneficie de la educación especial para desarrollar al máximo sus potencialidades”.</w:t>
      </w:r>
      <w:r w:rsidRPr="00E4235A">
        <w:rPr>
          <w:rFonts w:ascii="Book Antiqua" w:hAnsi="Book Antiqua"/>
          <w:vertAlign w:val="superscript"/>
          <w:lang w:val="es-419"/>
        </w:rPr>
        <w:footnoteReference w:id="10"/>
      </w:r>
      <w:r w:rsidRPr="00E4235A">
        <w:rPr>
          <w:rFonts w:ascii="Book Antiqua" w:hAnsi="Book Antiqua"/>
          <w:lang w:val="es-419"/>
        </w:rPr>
        <w:t xml:space="preserve"> Los servicios relacionados no se ofrecen para que el estudiantado obtenga buenas calificaciones en pruebas estandarizadas o los exámenes de la escuela; son para “</w:t>
      </w:r>
      <w:r w:rsidRPr="00E4235A">
        <w:rPr>
          <w:rFonts w:ascii="Book Antiqua" w:hAnsi="Book Antiqua"/>
          <w:lang w:val="es-PR"/>
        </w:rPr>
        <w:t>desarrollar al máximo sus potencialidades”.</w:t>
      </w:r>
    </w:p>
    <w:p w14:paraId="6A7AD6D7" w14:textId="77777777" w:rsidR="00F5463C" w:rsidRPr="00E4235A" w:rsidRDefault="00F5463C" w:rsidP="00F5463C">
      <w:pPr>
        <w:ind w:firstLine="360"/>
        <w:jc w:val="both"/>
        <w:rPr>
          <w:rFonts w:ascii="Book Antiqua" w:hAnsi="Book Antiqua"/>
          <w:lang w:val="es-419"/>
        </w:rPr>
      </w:pPr>
    </w:p>
    <w:p w14:paraId="679AFF10" w14:textId="77777777" w:rsidR="00E4235A" w:rsidRDefault="00E4235A" w:rsidP="00F5463C">
      <w:pPr>
        <w:ind w:firstLine="360"/>
        <w:jc w:val="both"/>
        <w:rPr>
          <w:rFonts w:ascii="Book Antiqua" w:hAnsi="Book Antiqua"/>
          <w:lang w:val="es-419"/>
        </w:rPr>
      </w:pPr>
      <w:r w:rsidRPr="00E4235A">
        <w:rPr>
          <w:rFonts w:ascii="Book Antiqua" w:hAnsi="Book Antiqua"/>
          <w:lang w:val="es-419"/>
        </w:rPr>
        <w:t xml:space="preserve">La </w:t>
      </w:r>
      <w:r w:rsidRPr="00E4235A">
        <w:rPr>
          <w:rFonts w:ascii="Book Antiqua" w:hAnsi="Book Antiqua"/>
          <w:lang w:val="es-PR"/>
        </w:rPr>
        <w:t xml:space="preserve">Carta Circular 006-2025-2026 </w:t>
      </w:r>
      <w:r w:rsidRPr="00E4235A">
        <w:rPr>
          <w:rFonts w:ascii="Book Antiqua" w:hAnsi="Book Antiqua"/>
          <w:lang w:val="es-419"/>
        </w:rPr>
        <w:t>delata una concepción fragmentada del desarrollo de la persona; como si las estudiantes pudieran de alguna manera bifurcar su estado de salud de su desarrollo motor, académico, sociocognitivo o emocional; o como si no hubiera traslapos entre las necesidades clínicas y las necesidades educativas del estudiantado. Ninguna profesional de la salud o de la pedagogía se atrevería a aseverar que los beneficios que se obtienen de una e</w:t>
      </w:r>
      <w:r w:rsidRPr="00E4235A">
        <w:rPr>
          <w:rFonts w:ascii="Book Antiqua" w:hAnsi="Book Antiqua"/>
          <w:lang w:val="es-PR"/>
        </w:rPr>
        <w:t>valuación neuropsicológica,</w:t>
      </w:r>
      <w:r w:rsidRPr="00E4235A">
        <w:rPr>
          <w:rFonts w:ascii="Book Antiqua" w:hAnsi="Book Antiqua"/>
          <w:lang w:val="es-419"/>
        </w:rPr>
        <w:t xml:space="preserve"> de una terapia </w:t>
      </w:r>
      <w:r w:rsidRPr="00E4235A">
        <w:rPr>
          <w:rFonts w:ascii="Book Antiqua" w:hAnsi="Book Antiqua"/>
          <w:lang w:val="es-PR"/>
        </w:rPr>
        <w:t>ocupacional</w:t>
      </w:r>
      <w:r w:rsidRPr="00E4235A">
        <w:rPr>
          <w:rFonts w:ascii="Book Antiqua" w:hAnsi="Book Antiqua"/>
          <w:lang w:val="es-419"/>
        </w:rPr>
        <w:t xml:space="preserve"> para el desarrollo de destrezas de vida independiente o de una terapia</w:t>
      </w:r>
      <w:r w:rsidRPr="00E4235A">
        <w:rPr>
          <w:rFonts w:ascii="Book Antiqua" w:hAnsi="Book Antiqua"/>
          <w:lang w:val="es-PR"/>
        </w:rPr>
        <w:t xml:space="preserve"> de disfagia </w:t>
      </w:r>
      <w:r w:rsidRPr="00E4235A">
        <w:rPr>
          <w:rFonts w:ascii="Book Antiqua" w:hAnsi="Book Antiqua"/>
          <w:lang w:val="es-419"/>
        </w:rPr>
        <w:t>no guardan relación con el avance progresivo de una estudiante en el entorno escolar; o que éstas son innecesarias para “</w:t>
      </w:r>
      <w:r w:rsidRPr="00E4235A">
        <w:rPr>
          <w:rFonts w:ascii="Book Antiqua" w:hAnsi="Book Antiqua"/>
          <w:lang w:val="es-PR"/>
        </w:rPr>
        <w:t xml:space="preserve">desarrollar al máximo sus potencialidades”. </w:t>
      </w:r>
      <w:r w:rsidRPr="00E4235A">
        <w:rPr>
          <w:rFonts w:ascii="Book Antiqua" w:hAnsi="Book Antiqua"/>
          <w:lang w:val="es-419"/>
        </w:rPr>
        <w:t xml:space="preserve">Por el contrario, los desarrollos de naturaleza física, cognitiva, social, emocional y académica son fenómenos interdependientes. Así lo reconocen los estatutos federales y territoriales. Lamentablemente, el afán de ahorro de la agencia con mayor presupuesto en Puerto Rico pretende llevarse a consecución a costa del atropello de los derechos humanos y estatutarios del sector estudiantil más vulnerado. </w:t>
      </w:r>
    </w:p>
    <w:p w14:paraId="13754972" w14:textId="77777777" w:rsidR="00F5463C" w:rsidRPr="00E4235A" w:rsidRDefault="00F5463C" w:rsidP="00F5463C">
      <w:pPr>
        <w:ind w:firstLine="360"/>
        <w:jc w:val="both"/>
        <w:rPr>
          <w:rFonts w:ascii="Book Antiqua" w:hAnsi="Book Antiqua"/>
          <w:lang w:val="es-419"/>
        </w:rPr>
      </w:pPr>
    </w:p>
    <w:p w14:paraId="403802A5" w14:textId="77777777" w:rsidR="00E4235A" w:rsidRDefault="00E4235A" w:rsidP="00F5463C">
      <w:pPr>
        <w:ind w:firstLine="360"/>
        <w:jc w:val="both"/>
        <w:rPr>
          <w:rFonts w:ascii="Book Antiqua" w:hAnsi="Book Antiqua"/>
          <w:lang w:val="es-419"/>
        </w:rPr>
      </w:pPr>
      <w:r w:rsidRPr="00E4235A">
        <w:rPr>
          <w:rFonts w:ascii="Book Antiqua" w:hAnsi="Book Antiqua"/>
          <w:lang w:val="es-PR"/>
        </w:rPr>
        <w:t xml:space="preserve">El Lcdo. Ramos Parés arguye que “resulta imperativo establecer con claridad una línea divisoria entre lo que constituye un servicio relacionado educativo, cuyo propósito es apoyar el desempeño académico y la adaptación del estudiante al entorno escolar, y lo que representa un tratamiento terapéutico o clínico, que tiene fines diagnósticos, médicos </w:t>
      </w:r>
      <w:r w:rsidRPr="00E4235A">
        <w:rPr>
          <w:rFonts w:ascii="Book Antiqua" w:hAnsi="Book Antiqua"/>
          <w:lang w:val="es-PR"/>
        </w:rPr>
        <w:lastRenderedPageBreak/>
        <w:t xml:space="preserve">o de rehabilitación y cuya responsabilidad recae en los planes médicos, el Departamento de Salud u otras agencias gubernamentales”. Para los servicios medulares sin los cuales miles de los niños y niñas no podrán avanzar o –en los casos más delicados– funcionar, ésa es la crónica de una muerte anunciada. El </w:t>
      </w:r>
      <w:r w:rsidRPr="00E4235A">
        <w:rPr>
          <w:rFonts w:ascii="Book Antiqua" w:hAnsi="Book Antiqua"/>
          <w:lang w:val="es-419"/>
        </w:rPr>
        <w:t>Departamento de Salud no cuenta con la estructura administrativa o de fiscalización para proveer o garantizar la provisión de los servicios relacionados que el DEPR pretende excluir de su catálogo. El efecto de la implementación de esta política será el sufrimiento innecesario de decenas de miles de familias abandonadas a su suerte por el gobierno responsable de propender al pleno desarrollo de su personalidad</w:t>
      </w:r>
      <w:r w:rsidRPr="00E4235A">
        <w:rPr>
          <w:rFonts w:ascii="Book Antiqua" w:hAnsi="Book Antiqua"/>
          <w:vertAlign w:val="superscript"/>
          <w:lang w:val="es-419"/>
        </w:rPr>
        <w:footnoteReference w:id="11"/>
      </w:r>
      <w:r w:rsidRPr="00E4235A">
        <w:rPr>
          <w:rFonts w:ascii="Book Antiqua" w:hAnsi="Book Antiqua"/>
          <w:lang w:val="es-419"/>
        </w:rPr>
        <w:t xml:space="preserve"> y proteger sus derechos humanos. El Departamento de Salud ni siquiera ha sido capaz de cumplir oportuna o cabalmente con las obligaciones asignadas a su Sistema de Servicios de Intervención Temprana. Mucho menos podrá proveer, coordinar y garantizar los servicios que ahora se tramitan a través del DEPR.</w:t>
      </w:r>
    </w:p>
    <w:p w14:paraId="35A2B8AA" w14:textId="77777777" w:rsidR="00F5463C" w:rsidRPr="00E4235A" w:rsidRDefault="00F5463C" w:rsidP="00F5463C">
      <w:pPr>
        <w:ind w:firstLine="360"/>
        <w:jc w:val="both"/>
        <w:rPr>
          <w:rFonts w:ascii="Book Antiqua" w:hAnsi="Book Antiqua"/>
          <w:lang w:val="es-419"/>
        </w:rPr>
      </w:pPr>
    </w:p>
    <w:p w14:paraId="46584F66" w14:textId="3FCA5B1E" w:rsidR="00721626" w:rsidRDefault="00E4235A" w:rsidP="00F5463C">
      <w:pPr>
        <w:ind w:firstLine="360"/>
        <w:jc w:val="both"/>
        <w:rPr>
          <w:rFonts w:ascii="Book Antiqua" w:hAnsi="Book Antiqua"/>
          <w:lang w:val="es-419"/>
        </w:rPr>
      </w:pPr>
      <w:r w:rsidRPr="00E4235A">
        <w:rPr>
          <w:rFonts w:ascii="Book Antiqua" w:hAnsi="Book Antiqua"/>
          <w:lang w:val="es-419"/>
        </w:rPr>
        <w:t xml:space="preserve">Si fuera cierto que el DEPR no cuenta con los recursos fiscales para sostener las necesidades actuales de las niñas del Programa de Educación Especial, ¿cuenta el Departamento de Salud con esos recursos? ¿Se le asignarán los recursos necesarios a una agencia paralela? ¿Podrán la </w:t>
      </w:r>
      <w:r w:rsidRPr="00E4235A">
        <w:rPr>
          <w:rFonts w:ascii="Book Antiqua" w:hAnsi="Book Antiqua"/>
          <w:lang w:val="es-PR"/>
        </w:rPr>
        <w:t xml:space="preserve">Administración de Seguros de Salud de Puerto Rico (ASES) y sus intermediarios asumir esa carga? </w:t>
      </w:r>
      <w:r w:rsidRPr="00E4235A">
        <w:rPr>
          <w:rFonts w:ascii="Book Antiqua" w:hAnsi="Book Antiqua"/>
          <w:lang w:val="es-419"/>
        </w:rPr>
        <w:t xml:space="preserve">¿Cómo puede configurarse un ahorro real para el gobierno si la solución propuesta es externalizar los servicios a otra agencia? Ninguna de esas interrogantes o acciones ha sido ponderada al interior de la Asamblea Legislativa de Puerto Rico, que es donde correspondería hacerlo. </w:t>
      </w:r>
      <w:r w:rsidRPr="00E4235A">
        <w:rPr>
          <w:rFonts w:ascii="Book Antiqua" w:hAnsi="Book Antiqua"/>
          <w:lang w:val="es-PR"/>
        </w:rPr>
        <w:t>No es posible ni razonable que una agencia pretenda evadir sus obligaciones estatutarias restando derechos mediante interpretaciones administrativas unilaterales e internas que redirigen sus funciones a otras dependencias del Estado. La protección de los derechos de la niñez es una responsabilidad de todo el Gobierno de Puerto Rico.</w:t>
      </w:r>
      <w:r w:rsidRPr="00E4235A">
        <w:rPr>
          <w:rFonts w:ascii="Book Antiqua" w:hAnsi="Book Antiqua"/>
          <w:lang w:val="es-419"/>
        </w:rPr>
        <w:t xml:space="preserve"> De mantenerse en vigor la orden administrativa, el estudiantado quedará desprovisto de servicios esenciales como e</w:t>
      </w:r>
      <w:r w:rsidRPr="00E4235A">
        <w:rPr>
          <w:rFonts w:ascii="Book Antiqua" w:hAnsi="Book Antiqua"/>
          <w:lang w:val="es-PR"/>
        </w:rPr>
        <w:t>valuaciones neuropsicológicas, terapias conductuales intensivas (ABA), servicios de psicoterapia, terapias ocupacionales y terapias de disfagia, entre otros servicios relacionados que –a juicio de algún burócrata de la agencia– constituyan terapias de naturaleza exclusivamente “clínica o médica”. Ése no es el mandato de nuestro ordenamiento. La Asamblea Legislativa de Puerto Rico no avalará con su silencio que se incumpla</w:t>
      </w:r>
      <w:r w:rsidRPr="00E4235A">
        <w:rPr>
          <w:rFonts w:ascii="Book Antiqua" w:hAnsi="Book Antiqua"/>
          <w:lang w:val="es-419"/>
        </w:rPr>
        <w:t xml:space="preserve"> el mandato expreso de las leyes so color de autoridad administrativa.</w:t>
      </w:r>
    </w:p>
    <w:p w14:paraId="5F587C78" w14:textId="77777777" w:rsidR="00F5463C" w:rsidRDefault="00F5463C" w:rsidP="00F5463C">
      <w:pPr>
        <w:ind w:firstLine="360"/>
        <w:jc w:val="both"/>
        <w:rPr>
          <w:rFonts w:ascii="Book Antiqua" w:hAnsi="Book Antiqua"/>
          <w:lang w:val="es-ES_tradnl"/>
        </w:rPr>
      </w:pPr>
    </w:p>
    <w:p w14:paraId="46584F67" w14:textId="77777777" w:rsidR="00721626" w:rsidRDefault="00721626" w:rsidP="00F5463C">
      <w:pPr>
        <w:rPr>
          <w:rFonts w:ascii="Book Antiqua" w:hAnsi="Book Antiqua"/>
          <w:i/>
          <w:lang w:val="es-ES_tradnl"/>
        </w:rPr>
      </w:pPr>
      <w:r>
        <w:rPr>
          <w:rFonts w:ascii="Book Antiqua" w:hAnsi="Book Antiqua"/>
          <w:i/>
          <w:lang w:val="es-ES_tradnl"/>
        </w:rPr>
        <w:t>RESUÉLVESE POR LA ASAMBLEA LEGISLATIVA DE PUERTO RICO:</w:t>
      </w:r>
    </w:p>
    <w:p w14:paraId="256E8B0B" w14:textId="77777777" w:rsidR="00F5463C" w:rsidRDefault="00F5463C" w:rsidP="00F5463C">
      <w:pPr>
        <w:rPr>
          <w:rFonts w:ascii="Book Antiqua" w:hAnsi="Book Antiqua"/>
          <w:i/>
          <w:lang w:val="es-ES_tradnl"/>
        </w:rPr>
      </w:pPr>
    </w:p>
    <w:p w14:paraId="46584F68" w14:textId="77777777" w:rsidR="00721626" w:rsidRDefault="00721626" w:rsidP="00721626">
      <w:pPr>
        <w:spacing w:line="480" w:lineRule="auto"/>
        <w:jc w:val="both"/>
        <w:rPr>
          <w:rFonts w:ascii="Book Antiqua" w:hAnsi="Book Antiqua"/>
          <w:lang w:val="es-ES_tradnl"/>
        </w:rPr>
        <w:sectPr w:rsidR="00721626">
          <w:headerReference w:type="default" r:id="rId8"/>
          <w:type w:val="continuous"/>
          <w:pgSz w:w="12240" w:h="15840" w:code="1"/>
          <w:pgMar w:top="1440" w:right="1440" w:bottom="1440" w:left="1440" w:header="720" w:footer="720" w:gutter="0"/>
          <w:cols w:space="720"/>
          <w:titlePg/>
        </w:sectPr>
      </w:pPr>
    </w:p>
    <w:p w14:paraId="5153F15E" w14:textId="35FAA897" w:rsidR="00D739EF" w:rsidRPr="00D739EF" w:rsidRDefault="00D739EF" w:rsidP="00F5463C">
      <w:pPr>
        <w:spacing w:line="480" w:lineRule="auto"/>
        <w:ind w:firstLine="360"/>
        <w:jc w:val="both"/>
        <w:rPr>
          <w:rFonts w:ascii="Book Antiqua" w:hAnsi="Book Antiqua"/>
          <w:szCs w:val="24"/>
          <w:lang w:val="es-ES"/>
        </w:rPr>
      </w:pPr>
      <w:r w:rsidRPr="00D739EF">
        <w:rPr>
          <w:rFonts w:ascii="Book Antiqua" w:hAnsi="Book Antiqua"/>
          <w:szCs w:val="24"/>
          <w:lang w:val="es-ES"/>
        </w:rPr>
        <w:t>Sección 1.</w:t>
      </w:r>
      <w:r>
        <w:rPr>
          <w:rFonts w:ascii="Book Antiqua" w:hAnsi="Book Antiqua"/>
          <w:szCs w:val="24"/>
          <w:lang w:val="es-ES"/>
        </w:rPr>
        <w:t xml:space="preserve"> </w:t>
      </w:r>
      <w:r w:rsidRPr="00D739EF">
        <w:rPr>
          <w:rFonts w:ascii="Book Antiqua" w:hAnsi="Book Antiqua"/>
          <w:szCs w:val="24"/>
          <w:lang w:val="es-ES"/>
        </w:rPr>
        <w:t>- Se ordena al Departamento de Educación:</w:t>
      </w:r>
    </w:p>
    <w:p w14:paraId="1C5F7918" w14:textId="77777777" w:rsidR="00D739EF" w:rsidRPr="007010A6" w:rsidRDefault="00D739EF" w:rsidP="00F5463C">
      <w:pPr>
        <w:pStyle w:val="Prrafodelista"/>
        <w:numPr>
          <w:ilvl w:val="0"/>
          <w:numId w:val="4"/>
        </w:numPr>
        <w:spacing w:line="480" w:lineRule="auto"/>
        <w:jc w:val="both"/>
        <w:rPr>
          <w:rFonts w:ascii="Book Antiqua" w:hAnsi="Book Antiqua"/>
          <w:szCs w:val="24"/>
          <w:lang w:val="es-ES_tradnl"/>
        </w:rPr>
      </w:pPr>
      <w:r>
        <w:rPr>
          <w:rFonts w:ascii="Book Antiqua" w:hAnsi="Book Antiqua"/>
          <w:szCs w:val="24"/>
          <w:lang w:val="es-ES"/>
        </w:rPr>
        <w:lastRenderedPageBreak/>
        <w:t xml:space="preserve">dejar sin efecto la </w:t>
      </w:r>
      <w:r w:rsidRPr="00D739EF">
        <w:rPr>
          <w:rFonts w:ascii="Book Antiqua" w:hAnsi="Book Antiqua"/>
          <w:szCs w:val="24"/>
          <w:lang w:val="es-ES"/>
        </w:rPr>
        <w:t xml:space="preserve">Carta Circular Núm. 006-2025-2026, titulada </w:t>
      </w:r>
      <w:r w:rsidRPr="00351625">
        <w:rPr>
          <w:rFonts w:ascii="Book Antiqua" w:hAnsi="Book Antiqua"/>
          <w:szCs w:val="24"/>
          <w:lang w:val="es-419"/>
        </w:rPr>
        <w:t>“</w:t>
      </w:r>
      <w:r>
        <w:rPr>
          <w:rFonts w:ascii="Book Antiqua" w:hAnsi="Book Antiqua"/>
          <w:szCs w:val="24"/>
          <w:lang w:val="es-419"/>
        </w:rPr>
        <w:t>Política</w:t>
      </w:r>
      <w:r w:rsidRPr="00D739EF">
        <w:rPr>
          <w:rFonts w:ascii="Book Antiqua" w:hAnsi="Book Antiqua"/>
          <w:szCs w:val="24"/>
          <w:lang w:val="es-ES"/>
        </w:rPr>
        <w:t xml:space="preserve"> pública y marco práctico para distinguir entre servicios relacionados educativos y terapias o tratamientos clínicos”</w:t>
      </w:r>
      <w:r>
        <w:rPr>
          <w:rFonts w:ascii="Book Antiqua" w:hAnsi="Book Antiqua"/>
          <w:szCs w:val="24"/>
          <w:lang w:val="es-ES"/>
        </w:rPr>
        <w:t xml:space="preserve">; </w:t>
      </w:r>
    </w:p>
    <w:p w14:paraId="15B54E4F" w14:textId="77777777" w:rsidR="00D739EF" w:rsidRPr="007010A6" w:rsidRDefault="00D739EF" w:rsidP="00F5463C">
      <w:pPr>
        <w:pStyle w:val="Prrafodelista"/>
        <w:numPr>
          <w:ilvl w:val="0"/>
          <w:numId w:val="4"/>
        </w:numPr>
        <w:spacing w:line="480" w:lineRule="auto"/>
        <w:jc w:val="both"/>
        <w:rPr>
          <w:rFonts w:ascii="Book Antiqua" w:hAnsi="Book Antiqua"/>
          <w:szCs w:val="24"/>
          <w:lang w:val="es-ES_tradnl"/>
        </w:rPr>
      </w:pPr>
      <w:r w:rsidRPr="00A81139">
        <w:rPr>
          <w:rFonts w:ascii="Book Antiqua" w:hAnsi="Book Antiqua"/>
          <w:szCs w:val="24"/>
          <w:lang w:val="es-ES"/>
        </w:rPr>
        <w:t xml:space="preserve">detener y revertir </w:t>
      </w:r>
      <w:r>
        <w:rPr>
          <w:rFonts w:ascii="Book Antiqua" w:hAnsi="Book Antiqua"/>
          <w:szCs w:val="24"/>
          <w:lang w:val="es-ES"/>
        </w:rPr>
        <w:t>cualquier</w:t>
      </w:r>
      <w:r w:rsidRPr="00A81139">
        <w:rPr>
          <w:rFonts w:ascii="Book Antiqua" w:hAnsi="Book Antiqua"/>
          <w:szCs w:val="24"/>
          <w:lang w:val="es-ES"/>
        </w:rPr>
        <w:t xml:space="preserve"> procedimiento iniciado</w:t>
      </w:r>
      <w:r>
        <w:rPr>
          <w:rFonts w:ascii="Book Antiqua" w:hAnsi="Book Antiqua"/>
          <w:szCs w:val="24"/>
          <w:lang w:val="es-ES"/>
        </w:rPr>
        <w:t xml:space="preserve"> en la agencia con el fin de reclasificar determinados servicios relacionados </w:t>
      </w:r>
      <w:r w:rsidRPr="00D739EF">
        <w:rPr>
          <w:rFonts w:ascii="Book Antiqua" w:hAnsi="Book Antiqua"/>
          <w:szCs w:val="24"/>
          <w:lang w:val="es-ES"/>
        </w:rPr>
        <w:t>a la educación</w:t>
      </w:r>
      <w:r>
        <w:rPr>
          <w:rFonts w:ascii="Book Antiqua" w:hAnsi="Book Antiqua"/>
          <w:szCs w:val="24"/>
          <w:lang w:val="es-ES"/>
        </w:rPr>
        <w:t xml:space="preserve"> previamente ofrecidos al estudiantado del Programa de Educación Especial como servicios de </w:t>
      </w:r>
      <w:r w:rsidRPr="00D739EF">
        <w:rPr>
          <w:rFonts w:ascii="Book Antiqua" w:hAnsi="Book Antiqua"/>
          <w:szCs w:val="24"/>
          <w:lang w:val="es-ES"/>
        </w:rPr>
        <w:t>terapia clínica o médica no cubiertos por el Departamento de Educación o como servicios que son responsabilidad de otra agencia o planes médicos</w:t>
      </w:r>
      <w:r>
        <w:rPr>
          <w:rFonts w:ascii="Book Antiqua" w:hAnsi="Book Antiqua"/>
          <w:szCs w:val="24"/>
          <w:lang w:val="es-ES"/>
        </w:rPr>
        <w:t xml:space="preserve">; y </w:t>
      </w:r>
    </w:p>
    <w:p w14:paraId="6789F634" w14:textId="77777777" w:rsidR="00D739EF" w:rsidRPr="007010A6" w:rsidRDefault="00D739EF" w:rsidP="00F5463C">
      <w:pPr>
        <w:pStyle w:val="Prrafodelista"/>
        <w:numPr>
          <w:ilvl w:val="0"/>
          <w:numId w:val="4"/>
        </w:numPr>
        <w:spacing w:line="480" w:lineRule="auto"/>
        <w:jc w:val="both"/>
        <w:rPr>
          <w:rFonts w:ascii="Book Antiqua" w:hAnsi="Book Antiqua"/>
          <w:szCs w:val="24"/>
          <w:lang w:val="es-ES_tradnl"/>
        </w:rPr>
      </w:pPr>
      <w:r>
        <w:rPr>
          <w:rFonts w:ascii="Book Antiqua" w:hAnsi="Book Antiqua"/>
          <w:szCs w:val="24"/>
          <w:lang w:val="es-ES"/>
        </w:rPr>
        <w:t xml:space="preserve">garantizar la continuidad de los servicios relacionados provistos al estudiantado del Programa de Educación Especial al amparo de </w:t>
      </w:r>
      <w:r w:rsidRPr="00D739EF">
        <w:rPr>
          <w:rFonts w:ascii="Book Antiqua" w:hAnsi="Book Antiqua"/>
          <w:szCs w:val="24"/>
          <w:lang w:val="es-ES"/>
        </w:rPr>
        <w:t xml:space="preserve">la </w:t>
      </w:r>
      <w:proofErr w:type="spellStart"/>
      <w:r w:rsidRPr="00D739EF">
        <w:rPr>
          <w:rFonts w:ascii="Book Antiqua" w:hAnsi="Book Antiqua"/>
          <w:i/>
          <w:iCs/>
          <w:szCs w:val="24"/>
          <w:lang w:val="es-ES"/>
        </w:rPr>
        <w:t>Individuals</w:t>
      </w:r>
      <w:proofErr w:type="spellEnd"/>
      <w:r w:rsidRPr="00D739EF">
        <w:rPr>
          <w:rFonts w:ascii="Book Antiqua" w:hAnsi="Book Antiqua"/>
          <w:i/>
          <w:iCs/>
          <w:szCs w:val="24"/>
          <w:lang w:val="es-ES"/>
        </w:rPr>
        <w:t xml:space="preserve"> </w:t>
      </w:r>
      <w:proofErr w:type="spellStart"/>
      <w:r w:rsidRPr="00D739EF">
        <w:rPr>
          <w:rFonts w:ascii="Book Antiqua" w:hAnsi="Book Antiqua"/>
          <w:i/>
          <w:iCs/>
          <w:szCs w:val="24"/>
          <w:lang w:val="es-ES"/>
        </w:rPr>
        <w:t>with</w:t>
      </w:r>
      <w:proofErr w:type="spellEnd"/>
      <w:r w:rsidRPr="00D739EF">
        <w:rPr>
          <w:rFonts w:ascii="Book Antiqua" w:hAnsi="Book Antiqua"/>
          <w:i/>
          <w:iCs/>
          <w:szCs w:val="24"/>
          <w:lang w:val="es-ES"/>
        </w:rPr>
        <w:t xml:space="preserve"> </w:t>
      </w:r>
      <w:proofErr w:type="spellStart"/>
      <w:r w:rsidRPr="00D739EF">
        <w:rPr>
          <w:rFonts w:ascii="Book Antiqua" w:hAnsi="Book Antiqua"/>
          <w:i/>
          <w:iCs/>
          <w:szCs w:val="24"/>
          <w:lang w:val="es-ES"/>
        </w:rPr>
        <w:t>Disabilities</w:t>
      </w:r>
      <w:proofErr w:type="spellEnd"/>
      <w:r w:rsidRPr="00D739EF">
        <w:rPr>
          <w:rFonts w:ascii="Book Antiqua" w:hAnsi="Book Antiqua"/>
          <w:i/>
          <w:iCs/>
          <w:szCs w:val="24"/>
          <w:lang w:val="es-ES"/>
        </w:rPr>
        <w:t xml:space="preserve"> </w:t>
      </w:r>
      <w:proofErr w:type="spellStart"/>
      <w:r w:rsidRPr="00D739EF">
        <w:rPr>
          <w:rFonts w:ascii="Book Antiqua" w:hAnsi="Book Antiqua"/>
          <w:i/>
          <w:iCs/>
          <w:szCs w:val="24"/>
          <w:lang w:val="es-ES"/>
        </w:rPr>
        <w:t>Education</w:t>
      </w:r>
      <w:proofErr w:type="spellEnd"/>
      <w:r w:rsidRPr="00D739EF">
        <w:rPr>
          <w:rFonts w:ascii="Book Antiqua" w:hAnsi="Book Antiqua"/>
          <w:i/>
          <w:iCs/>
          <w:szCs w:val="24"/>
          <w:lang w:val="es-ES"/>
        </w:rPr>
        <w:t xml:space="preserve"> </w:t>
      </w:r>
      <w:proofErr w:type="spellStart"/>
      <w:r w:rsidRPr="00D739EF">
        <w:rPr>
          <w:rFonts w:ascii="Book Antiqua" w:hAnsi="Book Antiqua"/>
          <w:i/>
          <w:iCs/>
          <w:szCs w:val="24"/>
          <w:lang w:val="es-ES"/>
        </w:rPr>
        <w:t>Act</w:t>
      </w:r>
      <w:proofErr w:type="spellEnd"/>
      <w:r w:rsidRPr="00D739EF">
        <w:rPr>
          <w:rFonts w:ascii="Book Antiqua" w:hAnsi="Book Antiqua"/>
          <w:szCs w:val="24"/>
          <w:lang w:val="es-ES"/>
        </w:rPr>
        <w:t xml:space="preserve">, la Constitución de Puerto Rico, la Ley de Servicios Educativos Integrales para Personas con Impedimentos, </w:t>
      </w:r>
      <w:r w:rsidRPr="00444CF8">
        <w:rPr>
          <w:rFonts w:ascii="Book Antiqua" w:hAnsi="Book Antiqua"/>
          <w:szCs w:val="24"/>
          <w:lang w:val="uz-Cyrl-UZ"/>
        </w:rPr>
        <w:t xml:space="preserve">la </w:t>
      </w:r>
      <w:r w:rsidRPr="008B0F15">
        <w:rPr>
          <w:rFonts w:ascii="Book Antiqua" w:hAnsi="Book Antiqua"/>
          <w:szCs w:val="24"/>
          <w:lang w:val="es-419"/>
        </w:rPr>
        <w:t>Se</w:t>
      </w:r>
      <w:r>
        <w:rPr>
          <w:rFonts w:ascii="Book Antiqua" w:hAnsi="Book Antiqua"/>
          <w:szCs w:val="24"/>
          <w:lang w:val="es-419"/>
        </w:rPr>
        <w:t>ntencia por E</w:t>
      </w:r>
      <w:r w:rsidRPr="00444CF8">
        <w:rPr>
          <w:rFonts w:ascii="Book Antiqua" w:hAnsi="Book Antiqua"/>
          <w:szCs w:val="24"/>
          <w:lang w:val="uz-Cyrl-UZ"/>
        </w:rPr>
        <w:t xml:space="preserve">stipulación del caso </w:t>
      </w:r>
      <w:r w:rsidRPr="00444CF8">
        <w:rPr>
          <w:rFonts w:ascii="Book Antiqua" w:hAnsi="Book Antiqua"/>
          <w:i/>
          <w:iCs/>
          <w:szCs w:val="24"/>
          <w:lang w:val="uz-Cyrl-UZ"/>
        </w:rPr>
        <w:t>Rosa Lydia Vélez y otros v. Awilda Aponte Roque y otros</w:t>
      </w:r>
      <w:r w:rsidRPr="00351625">
        <w:rPr>
          <w:rFonts w:ascii="Book Antiqua" w:hAnsi="Book Antiqua"/>
          <w:szCs w:val="24"/>
          <w:lang w:val="es-419"/>
        </w:rPr>
        <w:t xml:space="preserve"> </w:t>
      </w:r>
      <w:r>
        <w:rPr>
          <w:rFonts w:ascii="Book Antiqua" w:hAnsi="Book Antiqua"/>
          <w:szCs w:val="24"/>
          <w:lang w:val="es-419"/>
        </w:rPr>
        <w:t>y la jurisprudencia interpretativa que acompaña estas (y otras) fuentes jurídicas.</w:t>
      </w:r>
    </w:p>
    <w:p w14:paraId="32B70A00" w14:textId="48DFFF89" w:rsidR="00D739EF" w:rsidRPr="00D739EF" w:rsidRDefault="00D739EF" w:rsidP="00F5463C">
      <w:pPr>
        <w:spacing w:line="480" w:lineRule="auto"/>
        <w:ind w:firstLine="360"/>
        <w:jc w:val="both"/>
        <w:rPr>
          <w:rFonts w:ascii="Book Antiqua" w:hAnsi="Book Antiqua"/>
          <w:szCs w:val="24"/>
          <w:lang w:val="es-ES"/>
        </w:rPr>
      </w:pPr>
      <w:r w:rsidRPr="00D739EF">
        <w:rPr>
          <w:rFonts w:ascii="Book Antiqua" w:hAnsi="Book Antiqua"/>
          <w:szCs w:val="24"/>
          <w:lang w:val="es-ES"/>
        </w:rPr>
        <w:t>Sección 2.</w:t>
      </w:r>
      <w:r>
        <w:rPr>
          <w:rFonts w:ascii="Book Antiqua" w:hAnsi="Book Antiqua"/>
          <w:szCs w:val="24"/>
          <w:lang w:val="es-ES"/>
        </w:rPr>
        <w:t xml:space="preserve"> </w:t>
      </w:r>
      <w:r w:rsidRPr="00D739EF">
        <w:rPr>
          <w:rFonts w:ascii="Book Antiqua" w:hAnsi="Book Antiqua"/>
          <w:szCs w:val="24"/>
          <w:lang w:val="es-ES"/>
        </w:rPr>
        <w:t xml:space="preserve">- Si alguna de las disposiciones de esta Resolución Conjunta o su aplicación fuere declarada inconstitucional o nula, tal dictamen de invalidez o nulidad no afectará la </w:t>
      </w:r>
      <w:proofErr w:type="spellStart"/>
      <w:r w:rsidRPr="00D739EF">
        <w:rPr>
          <w:rFonts w:ascii="Book Antiqua" w:hAnsi="Book Antiqua"/>
          <w:szCs w:val="24"/>
          <w:lang w:val="es-ES"/>
        </w:rPr>
        <w:t>ejecutabilidad</w:t>
      </w:r>
      <w:proofErr w:type="spellEnd"/>
      <w:r w:rsidRPr="00D739EF">
        <w:rPr>
          <w:rFonts w:ascii="Book Antiqua" w:hAnsi="Book Antiqua"/>
          <w:szCs w:val="24"/>
          <w:lang w:val="es-ES"/>
        </w:rPr>
        <w:t xml:space="preserve"> y vigor de las restantes disposiciones que no hayan sido objeto de dictamen adverso.</w:t>
      </w:r>
    </w:p>
    <w:p w14:paraId="46584F6C" w14:textId="3ABC90DD" w:rsidR="00721626" w:rsidRPr="00D739EF" w:rsidRDefault="00D739EF" w:rsidP="00F5463C">
      <w:pPr>
        <w:spacing w:line="480" w:lineRule="auto"/>
        <w:ind w:firstLine="720"/>
        <w:jc w:val="both"/>
        <w:rPr>
          <w:rFonts w:ascii="Book Antiqua" w:hAnsi="Book Antiqua"/>
          <w:lang w:val="es-ES"/>
        </w:rPr>
      </w:pPr>
      <w:r w:rsidRPr="00D739EF">
        <w:rPr>
          <w:rFonts w:ascii="Book Antiqua" w:hAnsi="Book Antiqua"/>
          <w:szCs w:val="24"/>
          <w:lang w:val="es-ES"/>
        </w:rPr>
        <w:t>Sección 3.</w:t>
      </w:r>
      <w:r>
        <w:rPr>
          <w:rFonts w:ascii="Book Antiqua" w:hAnsi="Book Antiqua"/>
          <w:szCs w:val="24"/>
          <w:lang w:val="es-ES"/>
        </w:rPr>
        <w:t xml:space="preserve"> </w:t>
      </w:r>
      <w:r w:rsidRPr="00D739EF">
        <w:rPr>
          <w:rFonts w:ascii="Book Antiqua" w:hAnsi="Book Antiqua"/>
          <w:szCs w:val="24"/>
          <w:lang w:val="es-ES"/>
        </w:rPr>
        <w:t xml:space="preserve">- </w:t>
      </w:r>
      <w:r w:rsidRPr="00D739EF">
        <w:rPr>
          <w:rFonts w:ascii="Book Antiqua" w:hAnsi="Book Antiqua"/>
          <w:lang w:val="es-ES"/>
        </w:rPr>
        <w:t xml:space="preserve">Esta Resolución </w:t>
      </w:r>
      <w:r w:rsidRPr="00D739EF">
        <w:rPr>
          <w:rFonts w:ascii="Book Antiqua" w:hAnsi="Book Antiqua"/>
          <w:szCs w:val="24"/>
          <w:lang w:val="es-ES"/>
        </w:rPr>
        <w:t xml:space="preserve">Conjunta </w:t>
      </w:r>
      <w:r w:rsidRPr="00D739EF">
        <w:rPr>
          <w:rFonts w:ascii="Book Antiqua" w:hAnsi="Book Antiqua"/>
          <w:lang w:val="es-ES"/>
        </w:rPr>
        <w:t>comenzará a regir inmediatamente después de su aprobación.</w:t>
      </w:r>
    </w:p>
    <w:sectPr w:rsidR="00721626" w:rsidRPr="00D739EF" w:rsidSect="00F5463C">
      <w:type w:val="continuous"/>
      <w:pgSz w:w="12240" w:h="15840" w:code="1"/>
      <w:pgMar w:top="1440" w:right="1440" w:bottom="1152"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DD7D0" w14:textId="77777777" w:rsidR="00C0699C" w:rsidRDefault="00C0699C">
      <w:r>
        <w:separator/>
      </w:r>
    </w:p>
  </w:endnote>
  <w:endnote w:type="continuationSeparator" w:id="0">
    <w:p w14:paraId="6FCB2DA6" w14:textId="77777777" w:rsidR="00C0699C" w:rsidRDefault="00C06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E4882" w14:textId="77777777" w:rsidR="00C0699C" w:rsidRDefault="00C0699C">
      <w:r>
        <w:separator/>
      </w:r>
    </w:p>
  </w:footnote>
  <w:footnote w:type="continuationSeparator" w:id="0">
    <w:p w14:paraId="1899309B" w14:textId="77777777" w:rsidR="00C0699C" w:rsidRDefault="00C0699C">
      <w:r>
        <w:continuationSeparator/>
      </w:r>
    </w:p>
  </w:footnote>
  <w:footnote w:id="1">
    <w:p w14:paraId="51166C4F" w14:textId="77777777" w:rsidR="00E4235A" w:rsidRPr="00092D0E" w:rsidRDefault="00E4235A" w:rsidP="00E4235A">
      <w:pPr>
        <w:pStyle w:val="Textonotapie"/>
        <w:rPr>
          <w:rFonts w:ascii="Book Antiqua" w:hAnsi="Book Antiqua"/>
          <w:sz w:val="18"/>
          <w:szCs w:val="18"/>
          <w:lang w:val="en-US"/>
        </w:rPr>
      </w:pPr>
      <w:r w:rsidRPr="00092D0E">
        <w:rPr>
          <w:rFonts w:ascii="Book Antiqua" w:hAnsi="Book Antiqua"/>
          <w:sz w:val="18"/>
          <w:szCs w:val="18"/>
          <w:lang w:val="en-US"/>
        </w:rPr>
        <w:t xml:space="preserve">  </w:t>
      </w:r>
      <w:r w:rsidRPr="00E626FF">
        <w:rPr>
          <w:rStyle w:val="Refdenotaalpie"/>
          <w:rFonts w:ascii="Book Antiqua" w:hAnsi="Book Antiqua"/>
          <w:sz w:val="18"/>
          <w:szCs w:val="18"/>
        </w:rPr>
        <w:footnoteRef/>
      </w:r>
      <w:r w:rsidRPr="00092D0E">
        <w:rPr>
          <w:rFonts w:ascii="Book Antiqua" w:hAnsi="Book Antiqua"/>
          <w:sz w:val="18"/>
          <w:szCs w:val="18"/>
          <w:lang w:val="en-US"/>
        </w:rPr>
        <w:t xml:space="preserve"> </w:t>
      </w:r>
      <w:r w:rsidRPr="00950A8C">
        <w:rPr>
          <w:rFonts w:ascii="Book Antiqua" w:hAnsi="Book Antiqua"/>
          <w:i/>
          <w:iCs/>
          <w:sz w:val="18"/>
          <w:szCs w:val="18"/>
          <w:lang w:val="en-US"/>
        </w:rPr>
        <w:t>Individuals with Disabilities Education Act</w:t>
      </w:r>
      <w:r>
        <w:rPr>
          <w:rFonts w:ascii="Book Antiqua" w:hAnsi="Book Antiqua"/>
          <w:sz w:val="18"/>
          <w:szCs w:val="18"/>
          <w:lang w:val="en-US"/>
        </w:rPr>
        <w:t xml:space="preserve">, </w:t>
      </w:r>
      <w:r w:rsidRPr="00092D0E">
        <w:rPr>
          <w:rFonts w:ascii="Book Antiqua" w:hAnsi="Book Antiqua"/>
          <w:sz w:val="18"/>
          <w:szCs w:val="18"/>
          <w:lang w:val="en-US"/>
        </w:rPr>
        <w:t xml:space="preserve">Ley Pública 101-476, </w:t>
      </w:r>
      <w:proofErr w:type="spellStart"/>
      <w:r w:rsidRPr="00092D0E">
        <w:rPr>
          <w:rFonts w:ascii="Book Antiqua" w:hAnsi="Book Antiqua"/>
          <w:sz w:val="18"/>
          <w:szCs w:val="18"/>
          <w:lang w:val="en-US"/>
        </w:rPr>
        <w:t>según</w:t>
      </w:r>
      <w:proofErr w:type="spellEnd"/>
      <w:r w:rsidRPr="00092D0E">
        <w:rPr>
          <w:rFonts w:ascii="Book Antiqua" w:hAnsi="Book Antiqua"/>
          <w:sz w:val="18"/>
          <w:szCs w:val="18"/>
          <w:lang w:val="en-US"/>
        </w:rPr>
        <w:t xml:space="preserve"> </w:t>
      </w:r>
      <w:proofErr w:type="spellStart"/>
      <w:r w:rsidRPr="00092D0E">
        <w:rPr>
          <w:rFonts w:ascii="Book Antiqua" w:hAnsi="Book Antiqua"/>
          <w:sz w:val="18"/>
          <w:szCs w:val="18"/>
          <w:lang w:val="en-US"/>
        </w:rPr>
        <w:t>enmendada</w:t>
      </w:r>
      <w:proofErr w:type="spellEnd"/>
      <w:r w:rsidRPr="00092D0E">
        <w:rPr>
          <w:rFonts w:ascii="Book Antiqua" w:hAnsi="Book Antiqua"/>
          <w:sz w:val="18"/>
          <w:szCs w:val="18"/>
          <w:lang w:val="en-US"/>
        </w:rPr>
        <w:t>.</w:t>
      </w:r>
    </w:p>
  </w:footnote>
  <w:footnote w:id="2">
    <w:p w14:paraId="6445E771" w14:textId="77777777" w:rsidR="00E4235A" w:rsidRPr="00E626FF" w:rsidRDefault="00E4235A" w:rsidP="00E4235A">
      <w:pPr>
        <w:pStyle w:val="Textonotapie"/>
        <w:rPr>
          <w:rFonts w:ascii="Book Antiqua" w:hAnsi="Book Antiqua"/>
          <w:sz w:val="18"/>
          <w:szCs w:val="18"/>
        </w:rPr>
      </w:pPr>
      <w:r w:rsidRPr="00092D0E">
        <w:rPr>
          <w:rFonts w:ascii="Book Antiqua" w:hAnsi="Book Antiqua"/>
          <w:sz w:val="18"/>
          <w:szCs w:val="18"/>
          <w:lang w:val="en-US"/>
        </w:rPr>
        <w:t xml:space="preserve">  </w:t>
      </w:r>
      <w:r w:rsidRPr="00E626FF">
        <w:rPr>
          <w:rStyle w:val="Refdenotaalpie"/>
          <w:rFonts w:ascii="Book Antiqua" w:hAnsi="Book Antiqua"/>
          <w:sz w:val="18"/>
          <w:szCs w:val="18"/>
        </w:rPr>
        <w:footnoteRef/>
      </w:r>
      <w:r w:rsidRPr="00E626FF">
        <w:rPr>
          <w:rFonts w:ascii="Book Antiqua" w:hAnsi="Book Antiqua"/>
          <w:sz w:val="18"/>
          <w:szCs w:val="18"/>
        </w:rPr>
        <w:t xml:space="preserve"> Ley 51-1996, según enmendada.</w:t>
      </w:r>
    </w:p>
  </w:footnote>
  <w:footnote w:id="3">
    <w:p w14:paraId="68CCC499" w14:textId="77777777" w:rsidR="00E4235A" w:rsidRPr="00E626FF" w:rsidRDefault="00E4235A" w:rsidP="00E4235A">
      <w:pPr>
        <w:pStyle w:val="Textonotapie"/>
        <w:jc w:val="both"/>
        <w:rPr>
          <w:rFonts w:ascii="Book Antiqua" w:hAnsi="Book Antiqua"/>
          <w:sz w:val="18"/>
          <w:szCs w:val="18"/>
          <w:lang w:val="es-419"/>
        </w:rPr>
      </w:pPr>
      <w:r w:rsidRPr="00E626FF">
        <w:rPr>
          <w:rFonts w:ascii="Book Antiqua" w:hAnsi="Book Antiqua"/>
          <w:sz w:val="18"/>
          <w:szCs w:val="18"/>
        </w:rPr>
        <w:t xml:space="preserve">  </w:t>
      </w:r>
      <w:r w:rsidRPr="00E626FF">
        <w:rPr>
          <w:rStyle w:val="Refdenotaalpie"/>
          <w:rFonts w:ascii="Book Antiqua" w:hAnsi="Book Antiqua"/>
          <w:sz w:val="18"/>
          <w:szCs w:val="18"/>
        </w:rPr>
        <w:footnoteRef/>
      </w:r>
      <w:r w:rsidRPr="00E626FF">
        <w:rPr>
          <w:rFonts w:ascii="Book Antiqua" w:hAnsi="Book Antiqua"/>
          <w:sz w:val="18"/>
          <w:szCs w:val="18"/>
        </w:rPr>
        <w:t xml:space="preserve"> </w:t>
      </w:r>
      <w:r w:rsidRPr="00E626FF">
        <w:rPr>
          <w:rFonts w:ascii="Book Antiqua" w:hAnsi="Book Antiqua"/>
          <w:i/>
          <w:iCs/>
          <w:sz w:val="18"/>
          <w:szCs w:val="18"/>
          <w:lang w:val="uz-Cyrl-UZ"/>
        </w:rPr>
        <w:t>Rosa Lydia Vélez y otros v. Awilda Aponte Roque y otros</w:t>
      </w:r>
      <w:r w:rsidRPr="00E626FF">
        <w:rPr>
          <w:rFonts w:ascii="Book Antiqua" w:hAnsi="Book Antiqua"/>
          <w:sz w:val="18"/>
          <w:szCs w:val="18"/>
          <w:lang w:val="uz-Cyrl-UZ"/>
        </w:rPr>
        <w:t>, Caso Núm. K PE 80-1738 (Sentencia por Estipulación del 14 de febrero de 2002).</w:t>
      </w:r>
    </w:p>
  </w:footnote>
  <w:footnote w:id="4">
    <w:p w14:paraId="129F06AA" w14:textId="77777777" w:rsidR="00E4235A" w:rsidRPr="00E626FF" w:rsidRDefault="00E4235A" w:rsidP="00E4235A">
      <w:pPr>
        <w:pStyle w:val="Textonotapie"/>
        <w:rPr>
          <w:rFonts w:ascii="Book Antiqua" w:hAnsi="Book Antiqua"/>
          <w:sz w:val="18"/>
          <w:szCs w:val="18"/>
          <w:lang w:val="es-419"/>
        </w:rPr>
      </w:pPr>
      <w:r w:rsidRPr="00E626FF">
        <w:rPr>
          <w:rFonts w:ascii="Book Antiqua" w:hAnsi="Book Antiqua"/>
          <w:sz w:val="18"/>
          <w:szCs w:val="18"/>
        </w:rPr>
        <w:t xml:space="preserve">  </w:t>
      </w:r>
      <w:r w:rsidRPr="00E626FF">
        <w:rPr>
          <w:rStyle w:val="Refdenotaalpie"/>
          <w:rFonts w:ascii="Book Antiqua" w:hAnsi="Book Antiqua"/>
          <w:sz w:val="18"/>
          <w:szCs w:val="18"/>
        </w:rPr>
        <w:footnoteRef/>
      </w:r>
      <w:r w:rsidRPr="00E626FF">
        <w:rPr>
          <w:rFonts w:ascii="Book Antiqua" w:hAnsi="Book Antiqua"/>
          <w:sz w:val="18"/>
          <w:szCs w:val="18"/>
        </w:rPr>
        <w:t xml:space="preserve"> IDEA, §1400. Traducción provista.</w:t>
      </w:r>
    </w:p>
  </w:footnote>
  <w:footnote w:id="5">
    <w:p w14:paraId="79CF5C81" w14:textId="77777777" w:rsidR="00E4235A" w:rsidRPr="00E675E0" w:rsidRDefault="00E4235A" w:rsidP="00E4235A">
      <w:pPr>
        <w:pStyle w:val="Textonotapie"/>
        <w:rPr>
          <w:lang w:val="es-419"/>
        </w:rPr>
      </w:pPr>
      <w:r>
        <w:t xml:space="preserve">  </w:t>
      </w:r>
      <w:r>
        <w:rPr>
          <w:rStyle w:val="Refdenotaalpie"/>
        </w:rPr>
        <w:footnoteRef/>
      </w:r>
      <w:r>
        <w:t xml:space="preserve"> </w:t>
      </w:r>
      <w:r w:rsidRPr="00E626FF">
        <w:rPr>
          <w:rFonts w:ascii="Book Antiqua" w:hAnsi="Book Antiqua"/>
          <w:sz w:val="18"/>
          <w:szCs w:val="18"/>
        </w:rPr>
        <w:t>Ley 51-1996, según enmendada, Artículo 2(2</w:t>
      </w:r>
      <w:r>
        <w:rPr>
          <w:rFonts w:ascii="Book Antiqua" w:hAnsi="Book Antiqua"/>
          <w:sz w:val="18"/>
          <w:szCs w:val="18"/>
        </w:rPr>
        <w:t>3</w:t>
      </w:r>
      <w:r w:rsidRPr="00E626FF">
        <w:rPr>
          <w:rFonts w:ascii="Book Antiqua" w:hAnsi="Book Antiqua"/>
          <w:sz w:val="18"/>
          <w:szCs w:val="18"/>
        </w:rPr>
        <w:t>).</w:t>
      </w:r>
    </w:p>
  </w:footnote>
  <w:footnote w:id="6">
    <w:p w14:paraId="231CBC46" w14:textId="77777777" w:rsidR="00E4235A" w:rsidRPr="00E626FF" w:rsidRDefault="00E4235A" w:rsidP="00E4235A">
      <w:pPr>
        <w:pStyle w:val="Textonotapie"/>
        <w:rPr>
          <w:rFonts w:ascii="Book Antiqua" w:hAnsi="Book Antiqua"/>
          <w:sz w:val="18"/>
          <w:szCs w:val="18"/>
          <w:lang w:val="es-419"/>
        </w:rPr>
      </w:pPr>
      <w:r w:rsidRPr="00E626FF">
        <w:rPr>
          <w:rFonts w:ascii="Book Antiqua" w:hAnsi="Book Antiqua"/>
          <w:sz w:val="18"/>
          <w:szCs w:val="18"/>
        </w:rPr>
        <w:t xml:space="preserve">  </w:t>
      </w:r>
      <w:r w:rsidRPr="00E626FF">
        <w:rPr>
          <w:rStyle w:val="Refdenotaalpie"/>
          <w:rFonts w:ascii="Book Antiqua" w:hAnsi="Book Antiqua"/>
          <w:sz w:val="18"/>
          <w:szCs w:val="18"/>
        </w:rPr>
        <w:footnoteRef/>
      </w:r>
      <w:r w:rsidRPr="00E626FF">
        <w:rPr>
          <w:rFonts w:ascii="Book Antiqua" w:hAnsi="Book Antiqua"/>
          <w:sz w:val="18"/>
          <w:szCs w:val="18"/>
        </w:rPr>
        <w:t xml:space="preserve"> Carta Circular Número 006-2025-2026, pág. 1.</w:t>
      </w:r>
    </w:p>
  </w:footnote>
  <w:footnote w:id="7">
    <w:p w14:paraId="206F8334" w14:textId="77777777" w:rsidR="00E4235A" w:rsidRPr="00C442F7" w:rsidRDefault="00E4235A" w:rsidP="00E4235A">
      <w:pPr>
        <w:pStyle w:val="Textonotapie"/>
        <w:rPr>
          <w:rFonts w:ascii="Book Antiqua" w:hAnsi="Book Antiqua"/>
          <w:sz w:val="18"/>
          <w:szCs w:val="18"/>
          <w:lang w:val="es-419"/>
        </w:rPr>
      </w:pPr>
      <w:r w:rsidRPr="00C442F7">
        <w:rPr>
          <w:rFonts w:ascii="Book Antiqua" w:hAnsi="Book Antiqua"/>
          <w:sz w:val="18"/>
          <w:szCs w:val="18"/>
          <w:lang w:val="es-419"/>
        </w:rPr>
        <w:t xml:space="preserve">  </w:t>
      </w:r>
      <w:r w:rsidRPr="00E626FF">
        <w:rPr>
          <w:rStyle w:val="Refdenotaalpie"/>
          <w:rFonts w:ascii="Book Antiqua" w:hAnsi="Book Antiqua"/>
          <w:sz w:val="18"/>
          <w:szCs w:val="18"/>
        </w:rPr>
        <w:footnoteRef/>
      </w:r>
      <w:r w:rsidRPr="00C442F7">
        <w:rPr>
          <w:rFonts w:ascii="Book Antiqua" w:hAnsi="Book Antiqua"/>
          <w:sz w:val="18"/>
          <w:szCs w:val="18"/>
          <w:lang w:val="es-419"/>
        </w:rPr>
        <w:t xml:space="preserve"> </w:t>
      </w:r>
      <w:r w:rsidRPr="00C442F7">
        <w:rPr>
          <w:rFonts w:ascii="Book Antiqua" w:hAnsi="Book Antiqua"/>
          <w:i/>
          <w:iCs/>
          <w:sz w:val="18"/>
          <w:szCs w:val="18"/>
          <w:lang w:val="es-419"/>
        </w:rPr>
        <w:t xml:space="preserve">Id., </w:t>
      </w:r>
      <w:r w:rsidRPr="00C442F7">
        <w:rPr>
          <w:rFonts w:ascii="Book Antiqua" w:hAnsi="Book Antiqua"/>
          <w:sz w:val="18"/>
          <w:szCs w:val="18"/>
          <w:lang w:val="es-419"/>
        </w:rPr>
        <w:t>§1401.</w:t>
      </w:r>
    </w:p>
  </w:footnote>
  <w:footnote w:id="8">
    <w:p w14:paraId="71091716" w14:textId="77777777" w:rsidR="00E4235A" w:rsidRPr="00B926CE" w:rsidRDefault="00E4235A" w:rsidP="00E4235A">
      <w:pPr>
        <w:pStyle w:val="Textonotapie"/>
        <w:rPr>
          <w:rFonts w:ascii="Book Antiqua" w:hAnsi="Book Antiqua"/>
          <w:sz w:val="18"/>
          <w:szCs w:val="18"/>
          <w:lang w:val="es-419"/>
        </w:rPr>
      </w:pPr>
      <w:r w:rsidRPr="00C442F7">
        <w:rPr>
          <w:rFonts w:ascii="Book Antiqua" w:hAnsi="Book Antiqua"/>
          <w:sz w:val="18"/>
          <w:szCs w:val="18"/>
          <w:lang w:val="es-419"/>
        </w:rPr>
        <w:t xml:space="preserve">  </w:t>
      </w:r>
      <w:r w:rsidRPr="00E626FF">
        <w:rPr>
          <w:rStyle w:val="Refdenotaalpie"/>
          <w:rFonts w:ascii="Book Antiqua" w:hAnsi="Book Antiqua"/>
          <w:sz w:val="18"/>
          <w:szCs w:val="18"/>
        </w:rPr>
        <w:footnoteRef/>
      </w:r>
      <w:r w:rsidRPr="00AE5CAE">
        <w:rPr>
          <w:rFonts w:ascii="Book Antiqua" w:hAnsi="Book Antiqua"/>
          <w:sz w:val="18"/>
          <w:szCs w:val="18"/>
          <w:lang w:val="en-US"/>
        </w:rPr>
        <w:t xml:space="preserve"> </w:t>
      </w:r>
      <w:r>
        <w:rPr>
          <w:rFonts w:ascii="Book Antiqua" w:hAnsi="Book Antiqua"/>
          <w:sz w:val="18"/>
          <w:szCs w:val="18"/>
          <w:lang w:val="en-US"/>
        </w:rPr>
        <w:t>“</w:t>
      </w:r>
      <w:r w:rsidRPr="00AE5CAE">
        <w:rPr>
          <w:rFonts w:ascii="Book Antiqua" w:hAnsi="Book Antiqua"/>
          <w:sz w:val="18"/>
          <w:szCs w:val="18"/>
          <w:lang w:val="en-US"/>
        </w:rPr>
        <w:t>Exception</w:t>
      </w:r>
      <w:r>
        <w:rPr>
          <w:rFonts w:ascii="Book Antiqua" w:hAnsi="Book Antiqua"/>
          <w:sz w:val="18"/>
          <w:szCs w:val="18"/>
          <w:lang w:val="en-US"/>
        </w:rPr>
        <w:t xml:space="preserve">: </w:t>
      </w:r>
      <w:r w:rsidRPr="00AE5CAE">
        <w:rPr>
          <w:rFonts w:ascii="Book Antiqua" w:hAnsi="Book Antiqua"/>
          <w:sz w:val="18"/>
          <w:szCs w:val="18"/>
          <w:lang w:val="en-US"/>
        </w:rPr>
        <w:t>The term does not include a medical device that is surgically implanted, or the replacement of such device.</w:t>
      </w:r>
      <w:r>
        <w:rPr>
          <w:rFonts w:ascii="Book Antiqua" w:hAnsi="Book Antiqua"/>
          <w:sz w:val="18"/>
          <w:szCs w:val="18"/>
          <w:lang w:val="en-US"/>
        </w:rPr>
        <w:t>”</w:t>
      </w:r>
      <w:r w:rsidRPr="00AE5CAE">
        <w:rPr>
          <w:rFonts w:ascii="Book Antiqua" w:hAnsi="Book Antiqua"/>
          <w:i/>
          <w:iCs/>
          <w:sz w:val="18"/>
          <w:szCs w:val="18"/>
          <w:lang w:val="en-US"/>
        </w:rPr>
        <w:t xml:space="preserve"> </w:t>
      </w:r>
      <w:r w:rsidRPr="00B926CE">
        <w:rPr>
          <w:rFonts w:ascii="Book Antiqua" w:hAnsi="Book Antiqua"/>
          <w:i/>
          <w:iCs/>
          <w:sz w:val="18"/>
          <w:szCs w:val="18"/>
          <w:lang w:val="es-419"/>
        </w:rPr>
        <w:t>Id.</w:t>
      </w:r>
    </w:p>
  </w:footnote>
  <w:footnote w:id="9">
    <w:p w14:paraId="04C7A5DA" w14:textId="77777777" w:rsidR="00E4235A" w:rsidRPr="00A851C4" w:rsidRDefault="00E4235A" w:rsidP="00E4235A">
      <w:pPr>
        <w:pStyle w:val="Textonotapie"/>
        <w:rPr>
          <w:lang w:val="es-419"/>
        </w:rPr>
      </w:pPr>
      <w:r>
        <w:t xml:space="preserve">  </w:t>
      </w:r>
      <w:r>
        <w:rPr>
          <w:rStyle w:val="Refdenotaalpie"/>
        </w:rPr>
        <w:footnoteRef/>
      </w:r>
      <w:r>
        <w:t xml:space="preserve"> </w:t>
      </w:r>
      <w:r w:rsidRPr="00E626FF">
        <w:rPr>
          <w:rFonts w:ascii="Book Antiqua" w:hAnsi="Book Antiqua"/>
          <w:sz w:val="18"/>
          <w:szCs w:val="18"/>
        </w:rPr>
        <w:t>Ley 51-1996, según enmendada,</w:t>
      </w:r>
      <w:r>
        <w:rPr>
          <w:rFonts w:ascii="Book Antiqua" w:hAnsi="Book Antiqua"/>
          <w:sz w:val="18"/>
          <w:szCs w:val="18"/>
        </w:rPr>
        <w:t xml:space="preserve"> Artículo 5.</w:t>
      </w:r>
    </w:p>
  </w:footnote>
  <w:footnote w:id="10">
    <w:p w14:paraId="7A323D3C" w14:textId="77777777" w:rsidR="00E4235A" w:rsidRPr="00E626FF" w:rsidRDefault="00E4235A" w:rsidP="00E4235A">
      <w:pPr>
        <w:pStyle w:val="Textonotapie"/>
        <w:rPr>
          <w:rFonts w:ascii="Book Antiqua" w:hAnsi="Book Antiqua"/>
          <w:sz w:val="18"/>
          <w:szCs w:val="18"/>
        </w:rPr>
      </w:pPr>
      <w:r w:rsidRPr="00A851C4">
        <w:rPr>
          <w:rFonts w:ascii="Book Antiqua" w:hAnsi="Book Antiqua"/>
          <w:sz w:val="18"/>
          <w:szCs w:val="18"/>
          <w:lang w:val="es-419"/>
        </w:rPr>
        <w:t xml:space="preserve">  </w:t>
      </w:r>
      <w:r w:rsidRPr="00E626FF">
        <w:rPr>
          <w:rStyle w:val="Refdenotaalpie"/>
          <w:rFonts w:ascii="Book Antiqua" w:hAnsi="Book Antiqua"/>
          <w:sz w:val="18"/>
          <w:szCs w:val="18"/>
        </w:rPr>
        <w:footnoteRef/>
      </w:r>
      <w:r w:rsidRPr="00E626FF">
        <w:rPr>
          <w:rFonts w:ascii="Book Antiqua" w:hAnsi="Book Antiqua"/>
          <w:sz w:val="18"/>
          <w:szCs w:val="18"/>
        </w:rPr>
        <w:t xml:space="preserve"> </w:t>
      </w:r>
      <w:r>
        <w:rPr>
          <w:rFonts w:ascii="Book Antiqua" w:hAnsi="Book Antiqua"/>
          <w:i/>
          <w:iCs/>
          <w:sz w:val="18"/>
          <w:szCs w:val="18"/>
        </w:rPr>
        <w:t>Id.</w:t>
      </w:r>
      <w:r w:rsidRPr="00E626FF">
        <w:rPr>
          <w:rFonts w:ascii="Book Antiqua" w:hAnsi="Book Antiqua"/>
          <w:sz w:val="18"/>
          <w:szCs w:val="18"/>
        </w:rPr>
        <w:t>, Artículo 2(22).</w:t>
      </w:r>
    </w:p>
  </w:footnote>
  <w:footnote w:id="11">
    <w:p w14:paraId="74642AF8" w14:textId="77777777" w:rsidR="00E4235A" w:rsidRPr="00E626FF" w:rsidRDefault="00E4235A" w:rsidP="00E4235A">
      <w:pPr>
        <w:pStyle w:val="Textonotapie"/>
        <w:rPr>
          <w:rFonts w:ascii="Book Antiqua" w:hAnsi="Book Antiqua"/>
          <w:sz w:val="18"/>
          <w:szCs w:val="18"/>
          <w:lang w:val="es-419"/>
        </w:rPr>
      </w:pPr>
      <w:r w:rsidRPr="00E626FF">
        <w:rPr>
          <w:rFonts w:ascii="Book Antiqua" w:hAnsi="Book Antiqua"/>
          <w:sz w:val="18"/>
          <w:szCs w:val="18"/>
        </w:rPr>
        <w:t xml:space="preserve">  </w:t>
      </w:r>
      <w:r w:rsidRPr="00E626FF">
        <w:rPr>
          <w:rStyle w:val="Refdenotaalpie"/>
          <w:rFonts w:ascii="Book Antiqua" w:hAnsi="Book Antiqua"/>
          <w:sz w:val="18"/>
          <w:szCs w:val="18"/>
        </w:rPr>
        <w:footnoteRef/>
      </w:r>
      <w:r w:rsidRPr="00E626FF">
        <w:rPr>
          <w:rFonts w:ascii="Book Antiqua" w:hAnsi="Book Antiqua"/>
          <w:sz w:val="18"/>
          <w:szCs w:val="18"/>
        </w:rPr>
        <w:t xml:space="preserve"> Constitución de Puerto Rico, Artículo II,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4F71"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D66F5">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D1287"/>
    <w:multiLevelType w:val="hybridMultilevel"/>
    <w:tmpl w:val="C02A8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BA0FB6"/>
    <w:multiLevelType w:val="hybridMultilevel"/>
    <w:tmpl w:val="1C1821D6"/>
    <w:lvl w:ilvl="0" w:tplc="0FA8F2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97C53"/>
    <w:multiLevelType w:val="hybridMultilevel"/>
    <w:tmpl w:val="103044AA"/>
    <w:lvl w:ilvl="0" w:tplc="5FB042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9591E14"/>
    <w:multiLevelType w:val="hybridMultilevel"/>
    <w:tmpl w:val="0BD08270"/>
    <w:lvl w:ilvl="0" w:tplc="6414C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3048945">
    <w:abstractNumId w:val="3"/>
  </w:num>
  <w:num w:numId="2" w16cid:durableId="1248224247">
    <w:abstractNumId w:val="0"/>
  </w:num>
  <w:num w:numId="3" w16cid:durableId="1160119246">
    <w:abstractNumId w:val="2"/>
  </w:num>
  <w:num w:numId="4" w16cid:durableId="1234511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1626"/>
    <w:rsid w:val="00020BBB"/>
    <w:rsid w:val="00056024"/>
    <w:rsid w:val="00095AE1"/>
    <w:rsid w:val="000A31D0"/>
    <w:rsid w:val="000A6B6C"/>
    <w:rsid w:val="000B0DBB"/>
    <w:rsid w:val="000C570A"/>
    <w:rsid w:val="00111E71"/>
    <w:rsid w:val="00127C6A"/>
    <w:rsid w:val="001363FE"/>
    <w:rsid w:val="0013690C"/>
    <w:rsid w:val="00154A2C"/>
    <w:rsid w:val="00157C82"/>
    <w:rsid w:val="0017132B"/>
    <w:rsid w:val="001F4CA3"/>
    <w:rsid w:val="001F612A"/>
    <w:rsid w:val="001F63BD"/>
    <w:rsid w:val="00205E3A"/>
    <w:rsid w:val="00211396"/>
    <w:rsid w:val="00226AE6"/>
    <w:rsid w:val="00245B34"/>
    <w:rsid w:val="00263355"/>
    <w:rsid w:val="00273792"/>
    <w:rsid w:val="002D1566"/>
    <w:rsid w:val="002D4AC8"/>
    <w:rsid w:val="00320D78"/>
    <w:rsid w:val="0033085C"/>
    <w:rsid w:val="003800CB"/>
    <w:rsid w:val="00380FE5"/>
    <w:rsid w:val="003924DD"/>
    <w:rsid w:val="00394FCB"/>
    <w:rsid w:val="003963F4"/>
    <w:rsid w:val="003B2885"/>
    <w:rsid w:val="003B5254"/>
    <w:rsid w:val="003B75A6"/>
    <w:rsid w:val="004061CA"/>
    <w:rsid w:val="00415689"/>
    <w:rsid w:val="00417FED"/>
    <w:rsid w:val="004219B9"/>
    <w:rsid w:val="004440CB"/>
    <w:rsid w:val="004713D2"/>
    <w:rsid w:val="00521639"/>
    <w:rsid w:val="005219EE"/>
    <w:rsid w:val="00532BB7"/>
    <w:rsid w:val="005332E4"/>
    <w:rsid w:val="0053550C"/>
    <w:rsid w:val="00555018"/>
    <w:rsid w:val="005723DC"/>
    <w:rsid w:val="00597003"/>
    <w:rsid w:val="006210DC"/>
    <w:rsid w:val="0064349D"/>
    <w:rsid w:val="00685549"/>
    <w:rsid w:val="006B7365"/>
    <w:rsid w:val="006C2D81"/>
    <w:rsid w:val="006C7DF8"/>
    <w:rsid w:val="006F2296"/>
    <w:rsid w:val="00703136"/>
    <w:rsid w:val="00721626"/>
    <w:rsid w:val="00725872"/>
    <w:rsid w:val="00750FC8"/>
    <w:rsid w:val="007533D0"/>
    <w:rsid w:val="00755069"/>
    <w:rsid w:val="00775DF5"/>
    <w:rsid w:val="007B0660"/>
    <w:rsid w:val="007E3868"/>
    <w:rsid w:val="00820C41"/>
    <w:rsid w:val="00850256"/>
    <w:rsid w:val="0093686F"/>
    <w:rsid w:val="00942FD4"/>
    <w:rsid w:val="00951997"/>
    <w:rsid w:val="00990352"/>
    <w:rsid w:val="00A03405"/>
    <w:rsid w:val="00A1528A"/>
    <w:rsid w:val="00A266BD"/>
    <w:rsid w:val="00A32D0F"/>
    <w:rsid w:val="00A33918"/>
    <w:rsid w:val="00A7629F"/>
    <w:rsid w:val="00A85526"/>
    <w:rsid w:val="00AD66F5"/>
    <w:rsid w:val="00AF0CEE"/>
    <w:rsid w:val="00B667AD"/>
    <w:rsid w:val="00B725C6"/>
    <w:rsid w:val="00B84C38"/>
    <w:rsid w:val="00B86C00"/>
    <w:rsid w:val="00B947F6"/>
    <w:rsid w:val="00BF16AA"/>
    <w:rsid w:val="00BF3496"/>
    <w:rsid w:val="00C0699C"/>
    <w:rsid w:val="00C354B8"/>
    <w:rsid w:val="00C52517"/>
    <w:rsid w:val="00C60921"/>
    <w:rsid w:val="00C62936"/>
    <w:rsid w:val="00C653F2"/>
    <w:rsid w:val="00C679E6"/>
    <w:rsid w:val="00C908F9"/>
    <w:rsid w:val="00CA0917"/>
    <w:rsid w:val="00CA1099"/>
    <w:rsid w:val="00CF47BF"/>
    <w:rsid w:val="00D417C2"/>
    <w:rsid w:val="00D60936"/>
    <w:rsid w:val="00D620C5"/>
    <w:rsid w:val="00D709EB"/>
    <w:rsid w:val="00D739EF"/>
    <w:rsid w:val="00D74714"/>
    <w:rsid w:val="00D77115"/>
    <w:rsid w:val="00D82F3F"/>
    <w:rsid w:val="00D921C6"/>
    <w:rsid w:val="00D958C2"/>
    <w:rsid w:val="00E04AB5"/>
    <w:rsid w:val="00E4235A"/>
    <w:rsid w:val="00E47628"/>
    <w:rsid w:val="00E50EEA"/>
    <w:rsid w:val="00E52F58"/>
    <w:rsid w:val="00E675C3"/>
    <w:rsid w:val="00E81959"/>
    <w:rsid w:val="00E85AC9"/>
    <w:rsid w:val="00EC26AA"/>
    <w:rsid w:val="00EC5D3B"/>
    <w:rsid w:val="00ED7A53"/>
    <w:rsid w:val="00EE4273"/>
    <w:rsid w:val="00EF6CD7"/>
    <w:rsid w:val="00F02004"/>
    <w:rsid w:val="00F042CB"/>
    <w:rsid w:val="00F11984"/>
    <w:rsid w:val="00F5463C"/>
    <w:rsid w:val="00F60A20"/>
    <w:rsid w:val="00F60F15"/>
    <w:rsid w:val="00FC0A95"/>
    <w:rsid w:val="00FC3D9C"/>
    <w:rsid w:val="00FF0153"/>
    <w:rsid w:val="00FF4DD7"/>
    <w:rsid w:val="00FF6424"/>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84F51"/>
  <w15:chartTrackingRefBased/>
  <w15:docId w15:val="{D2261BAF-1988-4F3E-B15A-6655CE53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205E3A"/>
    <w:pPr>
      <w:ind w:left="720"/>
      <w:contextualSpacing/>
    </w:pPr>
  </w:style>
  <w:style w:type="paragraph" w:customStyle="1" w:styleId="sectext">
    <w:name w:val="sectext"/>
    <w:rsid w:val="00205E3A"/>
    <w:pPr>
      <w:widowControl w:val="0"/>
      <w:autoSpaceDE w:val="0"/>
      <w:autoSpaceDN w:val="0"/>
      <w:adjustRightInd w:val="0"/>
    </w:pPr>
    <w:rPr>
      <w:sz w:val="24"/>
      <w:szCs w:val="24"/>
      <w:lang w:val="en-US" w:eastAsia="en-US"/>
    </w:rPr>
  </w:style>
  <w:style w:type="paragraph" w:styleId="Textonotapie">
    <w:name w:val="footnote text"/>
    <w:basedOn w:val="Normal"/>
    <w:link w:val="TextonotapieCar"/>
    <w:uiPriority w:val="99"/>
    <w:semiHidden/>
    <w:unhideWhenUsed/>
    <w:rsid w:val="00E4235A"/>
    <w:rPr>
      <w:sz w:val="20"/>
      <w:lang w:val="es-PR"/>
    </w:rPr>
  </w:style>
  <w:style w:type="character" w:customStyle="1" w:styleId="TextonotapieCar">
    <w:name w:val="Texto nota pie Car"/>
    <w:basedOn w:val="Fuentedeprrafopredeter"/>
    <w:link w:val="Textonotapie"/>
    <w:uiPriority w:val="99"/>
    <w:semiHidden/>
    <w:rsid w:val="00E4235A"/>
    <w:rPr>
      <w:lang w:eastAsia="en-US"/>
    </w:rPr>
  </w:style>
  <w:style w:type="character" w:styleId="Refdenotaalpie">
    <w:name w:val="footnote reference"/>
    <w:basedOn w:val="Fuentedeprrafopredeter"/>
    <w:uiPriority w:val="99"/>
    <w:semiHidden/>
    <w:unhideWhenUsed/>
    <w:rsid w:val="00E423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1765</Words>
  <Characters>10244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3</cp:revision>
  <cp:lastPrinted>2025-09-22T13:59:00Z</cp:lastPrinted>
  <dcterms:created xsi:type="dcterms:W3CDTF">2025-12-03T18:51:00Z</dcterms:created>
  <dcterms:modified xsi:type="dcterms:W3CDTF">2025-12-04T15:45:00Z</dcterms:modified>
</cp:coreProperties>
</file>