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DA039" w14:textId="65758674" w:rsidR="00FF6BD2" w:rsidRPr="00D507D2" w:rsidRDefault="00D2410E" w:rsidP="001F67D9">
      <w:pPr>
        <w:jc w:val="center"/>
        <w:outlineLvl w:val="0"/>
        <w:rPr>
          <w:rFonts w:ascii="Book Antiqua" w:hAnsi="Book Antiqua"/>
          <w:sz w:val="28"/>
          <w:lang w:val="es-ES_tradnl"/>
        </w:rPr>
      </w:pPr>
      <w:r>
        <w:rPr>
          <w:rFonts w:ascii="Book Antiqua" w:hAnsi="Book Antiqua"/>
          <w:sz w:val="28"/>
          <w:lang w:val="es-ES_tradnl"/>
        </w:rPr>
        <w:t>GOBIERNO</w:t>
      </w:r>
      <w:r w:rsidR="00065C31" w:rsidRPr="00D507D2">
        <w:rPr>
          <w:rFonts w:ascii="Book Antiqua" w:hAnsi="Book Antiqua"/>
          <w:sz w:val="28"/>
          <w:lang w:val="es-ES_tradnl"/>
        </w:rPr>
        <w:t xml:space="preserve"> DE PUERTO RICO</w:t>
      </w:r>
    </w:p>
    <w:p w14:paraId="0948733E" w14:textId="77777777" w:rsidR="00065C31" w:rsidRPr="00D507D2" w:rsidRDefault="00065C31" w:rsidP="00F12391">
      <w:pPr>
        <w:jc w:val="center"/>
        <w:rPr>
          <w:rFonts w:ascii="Book Antiqua" w:hAnsi="Book Antiqua"/>
          <w:sz w:val="28"/>
          <w:lang w:val="es-ES_tradnl"/>
        </w:rPr>
      </w:pPr>
    </w:p>
    <w:p w14:paraId="3B79BE68" w14:textId="70C89BBC" w:rsidR="00065C31" w:rsidRPr="00D507D2" w:rsidRDefault="006C441E" w:rsidP="00F12391">
      <w:pPr>
        <w:pStyle w:val="Title2"/>
        <w:tabs>
          <w:tab w:val="clear" w:pos="7776"/>
        </w:tabs>
        <w:rPr>
          <w:rFonts w:ascii="Book Antiqua" w:hAnsi="Book Antiqua"/>
          <w:lang w:val="es-ES_tradnl"/>
        </w:rPr>
      </w:pPr>
      <w:r w:rsidRPr="00D507D2">
        <w:rPr>
          <w:rFonts w:ascii="Book Antiqua" w:hAnsi="Book Antiqua"/>
          <w:lang w:val="es-ES_tradnl"/>
        </w:rPr>
        <w:t>20m</w:t>
      </w:r>
      <w:r w:rsidR="00F12391" w:rsidRPr="00D507D2">
        <w:rPr>
          <w:rFonts w:ascii="Book Antiqua" w:hAnsi="Book Antiqua"/>
          <w:lang w:val="es-ES_tradnl"/>
        </w:rPr>
        <w:t xml:space="preserve">a. </w:t>
      </w:r>
      <w:r w:rsidR="00065C31" w:rsidRPr="00D507D2">
        <w:rPr>
          <w:rFonts w:ascii="Book Antiqua" w:hAnsi="Book Antiqua"/>
          <w:lang w:val="es-ES_tradnl"/>
        </w:rPr>
        <w:t>Asamblea</w:t>
      </w:r>
      <w:r w:rsidR="00F12391" w:rsidRPr="00D507D2">
        <w:rPr>
          <w:rFonts w:ascii="Book Antiqua" w:hAnsi="Book Antiqua"/>
          <w:lang w:val="es-ES_tradnl"/>
        </w:rPr>
        <w:tab/>
        <w:t>3</w:t>
      </w:r>
      <w:r w:rsidR="00D64229" w:rsidRPr="00D507D2">
        <w:rPr>
          <w:rFonts w:ascii="Book Antiqua" w:hAnsi="Book Antiqua"/>
          <w:lang w:val="es-ES_tradnl"/>
        </w:rPr>
        <w:t>ra</w:t>
      </w:r>
      <w:r w:rsidR="00F12391" w:rsidRPr="00D507D2">
        <w:rPr>
          <w:rFonts w:ascii="Book Antiqua" w:hAnsi="Book Antiqua"/>
          <w:lang w:val="es-ES_tradnl"/>
        </w:rPr>
        <w:t>.</w:t>
      </w:r>
      <w:r w:rsidR="004F62AF" w:rsidRPr="00D507D2">
        <w:rPr>
          <w:rFonts w:ascii="Book Antiqua" w:hAnsi="Book Antiqua"/>
          <w:lang w:val="es-ES_tradnl"/>
        </w:rPr>
        <w:t xml:space="preserve"> Sesión</w:t>
      </w:r>
    </w:p>
    <w:p w14:paraId="488A6E0D" w14:textId="1754D163" w:rsidR="00065C31" w:rsidRPr="00D507D2" w:rsidRDefault="00065C31" w:rsidP="00F12391">
      <w:pPr>
        <w:pStyle w:val="Title2"/>
        <w:rPr>
          <w:rFonts w:ascii="Book Antiqua" w:hAnsi="Book Antiqua"/>
          <w:lang w:val="es-ES_tradnl"/>
        </w:rPr>
      </w:pPr>
      <w:r w:rsidRPr="00D507D2">
        <w:rPr>
          <w:rFonts w:ascii="Book Antiqua" w:hAnsi="Book Antiqua"/>
          <w:lang w:val="es-ES_tradnl"/>
        </w:rPr>
        <w:tab/>
        <w:t>Legislativa</w:t>
      </w:r>
      <w:r w:rsidRPr="00D507D2">
        <w:rPr>
          <w:rFonts w:ascii="Book Antiqua" w:hAnsi="Book Antiqua"/>
          <w:lang w:val="es-ES_tradnl"/>
        </w:rPr>
        <w:tab/>
      </w:r>
      <w:r w:rsidRPr="00D507D2">
        <w:rPr>
          <w:rFonts w:ascii="Book Antiqua" w:hAnsi="Book Antiqua"/>
          <w:lang w:val="es-ES_tradnl"/>
        </w:rPr>
        <w:tab/>
      </w:r>
      <w:r w:rsidR="00F12391" w:rsidRPr="00D507D2">
        <w:rPr>
          <w:rFonts w:ascii="Book Antiqua" w:hAnsi="Book Antiqua"/>
          <w:lang w:val="es-ES_tradnl"/>
        </w:rPr>
        <w:t xml:space="preserve">       </w:t>
      </w:r>
      <w:r w:rsidRPr="00D507D2">
        <w:rPr>
          <w:rFonts w:ascii="Book Antiqua" w:hAnsi="Book Antiqua"/>
          <w:lang w:val="es-ES_tradnl"/>
        </w:rPr>
        <w:t>Ordinaria</w:t>
      </w:r>
    </w:p>
    <w:p w14:paraId="01ACD380" w14:textId="77777777" w:rsidR="00065C31" w:rsidRPr="00D507D2" w:rsidRDefault="00065C31" w:rsidP="00F12391">
      <w:pPr>
        <w:rPr>
          <w:lang w:val="es-ES_tradnl"/>
        </w:rPr>
      </w:pPr>
    </w:p>
    <w:p w14:paraId="5E3A82C1" w14:textId="77777777" w:rsidR="00065C31" w:rsidRPr="00D507D2" w:rsidRDefault="00065C31" w:rsidP="001F67D9">
      <w:pPr>
        <w:jc w:val="center"/>
        <w:outlineLvl w:val="0"/>
        <w:rPr>
          <w:rFonts w:ascii="Book Antiqua" w:hAnsi="Book Antiqua"/>
          <w:b/>
          <w:sz w:val="36"/>
          <w:lang w:val="es-ES_tradnl"/>
        </w:rPr>
      </w:pPr>
      <w:r w:rsidRPr="00D507D2">
        <w:rPr>
          <w:rFonts w:ascii="Book Antiqua" w:hAnsi="Book Antiqua"/>
          <w:b/>
          <w:sz w:val="36"/>
          <w:lang w:val="es-ES_tradnl"/>
        </w:rPr>
        <w:t>CÁMARA DE REPRESENTANTES</w:t>
      </w:r>
    </w:p>
    <w:p w14:paraId="20903D46" w14:textId="77777777" w:rsidR="00F12391" w:rsidRPr="00D507D2" w:rsidRDefault="00F12391" w:rsidP="00F12391">
      <w:pPr>
        <w:jc w:val="center"/>
        <w:rPr>
          <w:rFonts w:ascii="Book Antiqua" w:hAnsi="Book Antiqua"/>
          <w:b/>
          <w:szCs w:val="24"/>
          <w:lang w:val="es-ES_tradnl"/>
        </w:rPr>
      </w:pPr>
    </w:p>
    <w:p w14:paraId="5C9C6D3D" w14:textId="76660CCC" w:rsidR="00065C31" w:rsidRPr="00D507D2" w:rsidRDefault="00212E38" w:rsidP="001F67D9">
      <w:pPr>
        <w:jc w:val="center"/>
        <w:outlineLvl w:val="0"/>
        <w:rPr>
          <w:rFonts w:ascii="Book Antiqua" w:hAnsi="Book Antiqua"/>
          <w:b/>
          <w:sz w:val="52"/>
          <w:lang w:val="es-ES_tradnl"/>
        </w:rPr>
      </w:pPr>
      <w:r w:rsidRPr="00D507D2">
        <w:rPr>
          <w:rFonts w:ascii="Book Antiqua" w:hAnsi="Book Antiqua"/>
          <w:b/>
          <w:sz w:val="52"/>
          <w:lang w:val="es-ES_tradnl"/>
        </w:rPr>
        <w:t>R.</w:t>
      </w:r>
      <w:r w:rsidR="00F12391" w:rsidRPr="00D507D2">
        <w:rPr>
          <w:rFonts w:ascii="Book Antiqua" w:hAnsi="Book Antiqua"/>
          <w:b/>
          <w:sz w:val="52"/>
          <w:lang w:val="es-ES_tradnl"/>
        </w:rPr>
        <w:t xml:space="preserve"> </w:t>
      </w:r>
      <w:r w:rsidRPr="00D507D2">
        <w:rPr>
          <w:rFonts w:ascii="Book Antiqua" w:hAnsi="Book Antiqua"/>
          <w:b/>
          <w:sz w:val="52"/>
          <w:lang w:val="es-ES_tradnl"/>
        </w:rPr>
        <w:t>C.</w:t>
      </w:r>
      <w:r w:rsidR="00065C31" w:rsidRPr="00D507D2">
        <w:rPr>
          <w:rFonts w:ascii="Book Antiqua" w:hAnsi="Book Antiqua"/>
          <w:b/>
          <w:sz w:val="52"/>
          <w:lang w:val="es-ES_tradnl"/>
        </w:rPr>
        <w:t xml:space="preserve"> de la C. </w:t>
      </w:r>
      <w:r w:rsidR="009A2568">
        <w:rPr>
          <w:rFonts w:ascii="Book Antiqua" w:hAnsi="Book Antiqua"/>
          <w:b/>
          <w:sz w:val="52"/>
          <w:lang w:val="es-ES_tradnl"/>
        </w:rPr>
        <w:t>251</w:t>
      </w:r>
    </w:p>
    <w:p w14:paraId="3E11A613" w14:textId="77777777" w:rsidR="00F12391" w:rsidRPr="00D507D2" w:rsidRDefault="00F12391" w:rsidP="00F12391">
      <w:pPr>
        <w:jc w:val="center"/>
        <w:rPr>
          <w:rFonts w:ascii="Book Antiqua" w:hAnsi="Book Antiqua"/>
          <w:b/>
          <w:szCs w:val="24"/>
          <w:lang w:val="es-ES_tradnl"/>
        </w:rPr>
      </w:pPr>
    </w:p>
    <w:p w14:paraId="7817AFF2" w14:textId="5E1BC269" w:rsidR="00065C31" w:rsidRPr="00D507D2" w:rsidRDefault="00F81A3B" w:rsidP="00F12391">
      <w:pPr>
        <w:jc w:val="center"/>
        <w:rPr>
          <w:rFonts w:ascii="Book Antiqua" w:hAnsi="Book Antiqua"/>
          <w:lang w:val="es-ES_tradnl"/>
        </w:rPr>
      </w:pPr>
      <w:r w:rsidRPr="00D507D2">
        <w:rPr>
          <w:rFonts w:ascii="Book Antiqua" w:hAnsi="Book Antiqua"/>
          <w:lang w:val="es-ES_tradnl"/>
        </w:rPr>
        <w:t xml:space="preserve">  </w:t>
      </w:r>
      <w:r>
        <w:rPr>
          <w:rFonts w:ascii="Book Antiqua" w:hAnsi="Book Antiqua"/>
          <w:lang w:val="es-ES_tradnl"/>
        </w:rPr>
        <w:t xml:space="preserve">8 </w:t>
      </w:r>
      <w:r w:rsidRPr="00D507D2">
        <w:rPr>
          <w:rFonts w:ascii="Book Antiqua" w:hAnsi="Book Antiqua"/>
          <w:lang w:val="es-ES_tradnl"/>
        </w:rPr>
        <w:t>DE DICIEMBRE DE 2025</w:t>
      </w:r>
    </w:p>
    <w:p w14:paraId="2DFCC12E" w14:textId="77777777" w:rsidR="00F12391" w:rsidRPr="00D507D2" w:rsidRDefault="00F12391" w:rsidP="00F12391">
      <w:pPr>
        <w:jc w:val="center"/>
        <w:rPr>
          <w:rFonts w:ascii="Book Antiqua" w:hAnsi="Book Antiqua"/>
          <w:lang w:val="es-ES_tradnl"/>
        </w:rPr>
      </w:pPr>
    </w:p>
    <w:p w14:paraId="3FC5E19B" w14:textId="20E3E246" w:rsidR="00065C31" w:rsidRPr="00D507D2" w:rsidRDefault="00065C31" w:rsidP="001F67D9">
      <w:pPr>
        <w:jc w:val="center"/>
        <w:outlineLvl w:val="0"/>
        <w:rPr>
          <w:rFonts w:ascii="Book Antiqua" w:hAnsi="Book Antiqua"/>
          <w:i/>
          <w:lang w:val="es-ES_tradnl"/>
        </w:rPr>
      </w:pPr>
      <w:r w:rsidRPr="00D507D2">
        <w:rPr>
          <w:rFonts w:ascii="Book Antiqua" w:hAnsi="Book Antiqua"/>
          <w:lang w:val="es-ES_tradnl"/>
        </w:rPr>
        <w:t>Presentad</w:t>
      </w:r>
      <w:r w:rsidR="00F12391" w:rsidRPr="00D507D2">
        <w:rPr>
          <w:rFonts w:ascii="Book Antiqua" w:hAnsi="Book Antiqua"/>
          <w:lang w:val="es-ES_tradnl"/>
        </w:rPr>
        <w:t>a</w:t>
      </w:r>
      <w:r w:rsidRPr="00D507D2">
        <w:rPr>
          <w:rFonts w:ascii="Book Antiqua" w:hAnsi="Book Antiqua"/>
          <w:lang w:val="es-ES_tradnl"/>
        </w:rPr>
        <w:t xml:space="preserve"> por el representante </w:t>
      </w:r>
      <w:r w:rsidR="006C441E" w:rsidRPr="00D507D2">
        <w:rPr>
          <w:rFonts w:ascii="Book Antiqua" w:hAnsi="Book Antiqua"/>
          <w:i/>
          <w:lang w:val="es-ES_tradnl"/>
        </w:rPr>
        <w:t>Santiago Guzmán</w:t>
      </w:r>
    </w:p>
    <w:p w14:paraId="5B1D1A2B" w14:textId="77777777" w:rsidR="00F12391" w:rsidRPr="00D507D2" w:rsidRDefault="00F12391" w:rsidP="00F12391">
      <w:pPr>
        <w:jc w:val="center"/>
        <w:rPr>
          <w:rFonts w:ascii="Book Antiqua" w:hAnsi="Book Antiqua"/>
          <w:i/>
          <w:lang w:val="es-ES_tradnl"/>
        </w:rPr>
      </w:pPr>
    </w:p>
    <w:p w14:paraId="256CD98B" w14:textId="5817C5B8" w:rsidR="00065C31" w:rsidRPr="00D507D2" w:rsidRDefault="00065C31" w:rsidP="001F67D9">
      <w:pPr>
        <w:jc w:val="center"/>
        <w:outlineLvl w:val="0"/>
        <w:rPr>
          <w:rFonts w:ascii="Book Antiqua" w:hAnsi="Book Antiqua"/>
          <w:szCs w:val="24"/>
          <w:lang w:val="es-ES_tradnl"/>
        </w:rPr>
      </w:pPr>
      <w:r w:rsidRPr="00D507D2">
        <w:rPr>
          <w:rFonts w:ascii="Book Antiqua" w:hAnsi="Book Antiqua"/>
          <w:szCs w:val="24"/>
          <w:lang w:val="es-ES_tradnl"/>
        </w:rPr>
        <w:t>Referid</w:t>
      </w:r>
      <w:r w:rsidR="00F12391" w:rsidRPr="00D507D2">
        <w:rPr>
          <w:rFonts w:ascii="Book Antiqua" w:hAnsi="Book Antiqua"/>
          <w:szCs w:val="24"/>
          <w:lang w:val="es-ES_tradnl"/>
        </w:rPr>
        <w:t>a</w:t>
      </w:r>
      <w:r w:rsidRPr="00D507D2">
        <w:rPr>
          <w:rFonts w:ascii="Book Antiqua" w:hAnsi="Book Antiqua"/>
          <w:szCs w:val="24"/>
          <w:lang w:val="es-ES_tradnl"/>
        </w:rPr>
        <w:t xml:space="preserve"> a </w:t>
      </w:r>
      <w:r w:rsidR="00D216E9" w:rsidRPr="00D507D2">
        <w:rPr>
          <w:rFonts w:ascii="Book Antiqua" w:hAnsi="Book Antiqua"/>
          <w:szCs w:val="24"/>
          <w:lang w:val="es-ES_tradnl"/>
        </w:rPr>
        <w:t xml:space="preserve">la Comisión de </w:t>
      </w:r>
      <w:r w:rsidR="00D216E9" w:rsidRPr="00D507D2">
        <w:rPr>
          <w:rFonts w:ascii="Book Antiqua" w:hAnsi="Book Antiqua"/>
          <w:color w:val="000000"/>
          <w:szCs w:val="24"/>
          <w:lang w:val="es-ES_tradnl"/>
        </w:rPr>
        <w:t>Transportación</w:t>
      </w:r>
      <w:r w:rsidR="000503AD">
        <w:rPr>
          <w:rFonts w:ascii="Book Antiqua" w:hAnsi="Book Antiqua"/>
          <w:color w:val="000000"/>
          <w:szCs w:val="24"/>
          <w:lang w:val="es-ES_tradnl"/>
        </w:rPr>
        <w:t xml:space="preserve"> e</w:t>
      </w:r>
      <w:r w:rsidR="00D216E9" w:rsidRPr="00D507D2">
        <w:rPr>
          <w:rFonts w:ascii="Book Antiqua" w:hAnsi="Book Antiqua"/>
          <w:color w:val="000000"/>
          <w:szCs w:val="24"/>
          <w:lang w:val="es-ES_tradnl"/>
        </w:rPr>
        <w:t xml:space="preserve"> Infraestructura</w:t>
      </w:r>
    </w:p>
    <w:p w14:paraId="5BE261FE" w14:textId="77777777" w:rsidR="00065C31" w:rsidRPr="00D507D2" w:rsidRDefault="00065C31" w:rsidP="00F12391">
      <w:pPr>
        <w:jc w:val="both"/>
        <w:rPr>
          <w:rFonts w:ascii="Book Antiqua" w:hAnsi="Book Antiqua"/>
          <w:lang w:val="es-ES_tradnl"/>
        </w:rPr>
      </w:pPr>
    </w:p>
    <w:p w14:paraId="644BA283" w14:textId="77777777" w:rsidR="00212E38" w:rsidRPr="00D507D2" w:rsidRDefault="00212E38" w:rsidP="001F67D9">
      <w:pPr>
        <w:jc w:val="center"/>
        <w:outlineLvl w:val="0"/>
        <w:rPr>
          <w:rFonts w:ascii="Book Antiqua" w:hAnsi="Book Antiqua"/>
          <w:b/>
          <w:sz w:val="28"/>
          <w:szCs w:val="24"/>
          <w:lang w:val="es-ES_tradnl"/>
        </w:rPr>
      </w:pPr>
      <w:r w:rsidRPr="00D507D2">
        <w:rPr>
          <w:rFonts w:ascii="Book Antiqua" w:hAnsi="Book Antiqua"/>
          <w:b/>
          <w:sz w:val="28"/>
          <w:szCs w:val="24"/>
          <w:lang w:val="es-ES_tradnl"/>
        </w:rPr>
        <w:t>RESOLUCIÓN CONJUNTA</w:t>
      </w:r>
    </w:p>
    <w:p w14:paraId="4BBBAB7A" w14:textId="77777777" w:rsidR="00B234AB" w:rsidRPr="00D507D2" w:rsidRDefault="00B234AB" w:rsidP="00773723">
      <w:pPr>
        <w:jc w:val="both"/>
        <w:rPr>
          <w:rFonts w:ascii="Book Antiqua" w:hAnsi="Book Antiqua"/>
          <w:lang w:val="es-ES_tradnl"/>
        </w:rPr>
      </w:pPr>
    </w:p>
    <w:p w14:paraId="26E56242" w14:textId="30BD33FE" w:rsidR="00773723" w:rsidRPr="00D507D2" w:rsidRDefault="005C7897" w:rsidP="00B57FC7">
      <w:pPr>
        <w:ind w:left="720" w:hanging="720"/>
        <w:jc w:val="both"/>
        <w:rPr>
          <w:rFonts w:ascii="Book Antiqua" w:hAnsi="Book Antiqua"/>
          <w:lang w:val="es-ES_tradnl"/>
        </w:rPr>
      </w:pPr>
      <w:r w:rsidRPr="00D507D2">
        <w:rPr>
          <w:rFonts w:ascii="Book Antiqua" w:hAnsi="Book Antiqua"/>
          <w:lang w:val="es-ES_tradnl"/>
        </w:rPr>
        <w:t>Para ordenar a la Autoridad de Carreteras y Transportación (ACT) abstenerse de ejecutar el aumento automático de peajes programado para el mes de enero de 2026; esta</w:t>
      </w:r>
      <w:r w:rsidR="00CD02A3">
        <w:rPr>
          <w:rFonts w:ascii="Book Antiqua" w:hAnsi="Book Antiqua"/>
          <w:lang w:val="es-ES_tradnl"/>
        </w:rPr>
        <w:t xml:space="preserve">blecer una moratoria por </w:t>
      </w:r>
      <w:r w:rsidR="001F67D9">
        <w:rPr>
          <w:rFonts w:ascii="Book Antiqua" w:hAnsi="Book Antiqua"/>
          <w:lang w:val="es-ES_tradnl"/>
        </w:rPr>
        <w:t>doce (12) meses</w:t>
      </w:r>
      <w:r w:rsidRPr="00D507D2">
        <w:rPr>
          <w:rFonts w:ascii="Book Antiqua" w:hAnsi="Book Antiqua"/>
          <w:lang w:val="es-ES_tradnl"/>
        </w:rPr>
        <w:t xml:space="preserve"> con el propósito de realizar un análisis técnico exhaustivo de la fórmula de ajuste automático actualmente vinculada al costo de vida; evaluar si dicho aumento cumple con las protecciones y límites aplicables para la protección de los usuarios; examinar su impacto económico sobre la población; y </w:t>
      </w:r>
      <w:r w:rsidR="00773723" w:rsidRPr="00D507D2">
        <w:rPr>
          <w:rFonts w:ascii="Book Antiqua" w:hAnsi="Book Antiqua"/>
          <w:lang w:val="es-ES_tradnl"/>
        </w:rPr>
        <w:t>ordenar a la Autoridad de Carreteras y Transportación iniciar procesos de negociación dirigidos a la revisión de dicha fórmula, a fin de identificar alternativas que sean equitativas, transparentes y sostenibles; y</w:t>
      </w:r>
      <w:r w:rsidR="00291903">
        <w:rPr>
          <w:rFonts w:ascii="Book Antiqua" w:hAnsi="Book Antiqua"/>
          <w:lang w:val="es-ES_tradnl"/>
        </w:rPr>
        <w:t xml:space="preserve"> para otros fines relacionados.</w:t>
      </w:r>
    </w:p>
    <w:p w14:paraId="4AF452FE" w14:textId="77777777" w:rsidR="00F12391" w:rsidRPr="00D507D2" w:rsidRDefault="00F12391" w:rsidP="00096F84">
      <w:pPr>
        <w:jc w:val="both"/>
        <w:rPr>
          <w:rFonts w:ascii="Book Antiqua" w:hAnsi="Book Antiqua"/>
          <w:lang w:val="es-ES_tradnl"/>
        </w:rPr>
      </w:pPr>
    </w:p>
    <w:p w14:paraId="6742C2B4" w14:textId="417F2977" w:rsidR="00065C31" w:rsidRPr="00D507D2" w:rsidRDefault="00065C31" w:rsidP="00F81A3B">
      <w:pPr>
        <w:jc w:val="center"/>
        <w:outlineLvl w:val="0"/>
        <w:rPr>
          <w:rFonts w:ascii="Book Antiqua" w:hAnsi="Book Antiqua"/>
          <w:lang w:val="es-ES_tradnl"/>
        </w:rPr>
      </w:pPr>
      <w:r w:rsidRPr="00D507D2">
        <w:rPr>
          <w:rFonts w:ascii="Book Antiqua" w:hAnsi="Book Antiqua"/>
          <w:lang w:val="es-ES_tradnl"/>
        </w:rPr>
        <w:t>EXPOSICIÓN DE MOTIVOS</w:t>
      </w:r>
    </w:p>
    <w:p w14:paraId="0055AE1A" w14:textId="77777777" w:rsidR="00B57FC7" w:rsidRPr="00D507D2" w:rsidRDefault="00B57FC7" w:rsidP="00F12391">
      <w:pPr>
        <w:ind w:firstLine="360"/>
        <w:jc w:val="center"/>
        <w:rPr>
          <w:rFonts w:ascii="Book Antiqua" w:hAnsi="Book Antiqua"/>
          <w:lang w:val="es-ES_tradnl"/>
        </w:rPr>
      </w:pPr>
    </w:p>
    <w:p w14:paraId="0380EE9D" w14:textId="496AF2F5" w:rsidR="00D21827" w:rsidRPr="00D507D2" w:rsidRDefault="00DA77F1" w:rsidP="00D21827">
      <w:pPr>
        <w:ind w:firstLine="360"/>
        <w:jc w:val="both"/>
        <w:rPr>
          <w:rFonts w:ascii="Book Antiqua" w:hAnsi="Book Antiqua"/>
          <w:lang w:val="es-ES_tradnl"/>
        </w:rPr>
      </w:pPr>
      <w:r w:rsidRPr="00D507D2">
        <w:rPr>
          <w:rFonts w:ascii="Book Antiqua" w:hAnsi="Book Antiqua"/>
          <w:lang w:val="es-ES_tradnl"/>
        </w:rPr>
        <w:t xml:space="preserve">Autopistas Metropolitanas de Puerto Rico, LLC </w:t>
      </w:r>
      <w:proofErr w:type="spellStart"/>
      <w:r w:rsidRPr="00D507D2">
        <w:rPr>
          <w:rFonts w:ascii="Book Antiqua" w:hAnsi="Book Antiqua"/>
          <w:lang w:val="es-ES_tradnl"/>
        </w:rPr>
        <w:t>tcc</w:t>
      </w:r>
      <w:proofErr w:type="spellEnd"/>
      <w:r w:rsidRPr="00D507D2">
        <w:rPr>
          <w:rFonts w:ascii="Book Antiqua" w:hAnsi="Book Antiqua"/>
          <w:lang w:val="es-ES_tradnl"/>
        </w:rPr>
        <w:t xml:space="preserve"> (</w:t>
      </w:r>
      <w:proofErr w:type="spellStart"/>
      <w:r w:rsidRPr="00D507D2">
        <w:rPr>
          <w:rFonts w:ascii="Book Antiqua" w:hAnsi="Book Antiqua"/>
          <w:lang w:val="es-ES_tradnl"/>
        </w:rPr>
        <w:t>Metropistas</w:t>
      </w:r>
      <w:proofErr w:type="spellEnd"/>
      <w:r w:rsidRPr="00D507D2">
        <w:rPr>
          <w:rFonts w:ascii="Book Antiqua" w:hAnsi="Book Antiqua"/>
          <w:lang w:val="es-ES_tradnl"/>
        </w:rPr>
        <w:t xml:space="preserve">) y </w:t>
      </w:r>
      <w:r w:rsidR="00BF6AE9">
        <w:rPr>
          <w:rFonts w:ascii="Book Antiqua" w:hAnsi="Book Antiqua"/>
          <w:szCs w:val="24"/>
          <w:lang w:val="es-ES_tradnl"/>
        </w:rPr>
        <w:t xml:space="preserve">el operador </w:t>
      </w:r>
      <w:r w:rsidRPr="00D507D2">
        <w:rPr>
          <w:rFonts w:ascii="Book Antiqua" w:hAnsi="Book Antiqua"/>
          <w:szCs w:val="24"/>
          <w:lang w:val="es-ES_tradnl"/>
        </w:rPr>
        <w:t xml:space="preserve">del sistema </w:t>
      </w:r>
      <w:proofErr w:type="spellStart"/>
      <w:r w:rsidRPr="00D507D2">
        <w:rPr>
          <w:rFonts w:ascii="Book Antiqua" w:hAnsi="Book Antiqua"/>
          <w:szCs w:val="24"/>
          <w:lang w:val="es-ES_tradnl"/>
        </w:rPr>
        <w:t>AutoExpreso</w:t>
      </w:r>
      <w:proofErr w:type="spellEnd"/>
      <w:r w:rsidRPr="00D507D2">
        <w:rPr>
          <w:rFonts w:ascii="Book Antiqua" w:hAnsi="Book Antiqua"/>
          <w:szCs w:val="24"/>
          <w:lang w:val="es-ES_tradnl"/>
        </w:rPr>
        <w:t xml:space="preserve"> en Puerto Rico</w:t>
      </w:r>
      <w:r w:rsidR="00D507D2" w:rsidRPr="00D507D2">
        <w:rPr>
          <w:rFonts w:ascii="Book Antiqua" w:hAnsi="Book Antiqua"/>
          <w:szCs w:val="24"/>
          <w:lang w:val="es-ES_tradnl"/>
        </w:rPr>
        <w:t>,</w:t>
      </w:r>
      <w:r w:rsidRPr="00D507D2">
        <w:rPr>
          <w:rFonts w:ascii="Book Antiqua" w:hAnsi="Book Antiqua"/>
          <w:szCs w:val="24"/>
          <w:lang w:val="es-ES_tradnl"/>
        </w:rPr>
        <w:t xml:space="preserve"> </w:t>
      </w:r>
      <w:r w:rsidRPr="00D507D2">
        <w:rPr>
          <w:rFonts w:ascii="Book Antiqua" w:hAnsi="Book Antiqua" w:cs="Arial"/>
          <w:bCs/>
          <w:color w:val="0A0A0A"/>
          <w:szCs w:val="24"/>
          <w:shd w:val="clear" w:color="auto" w:fill="FFFFFF"/>
          <w:lang w:val="es-ES_tradnl"/>
        </w:rPr>
        <w:t xml:space="preserve">Professional </w:t>
      </w:r>
      <w:proofErr w:type="spellStart"/>
      <w:r w:rsidRPr="00D507D2">
        <w:rPr>
          <w:rFonts w:ascii="Book Antiqua" w:hAnsi="Book Antiqua" w:cs="Arial"/>
          <w:bCs/>
          <w:color w:val="0A0A0A"/>
          <w:szCs w:val="24"/>
          <w:shd w:val="clear" w:color="auto" w:fill="FFFFFF"/>
          <w:lang w:val="es-ES_tradnl"/>
        </w:rPr>
        <w:t>Account</w:t>
      </w:r>
      <w:proofErr w:type="spellEnd"/>
      <w:r w:rsidRPr="00D507D2">
        <w:rPr>
          <w:rFonts w:ascii="Book Antiqua" w:hAnsi="Book Antiqua" w:cs="Arial"/>
          <w:bCs/>
          <w:color w:val="0A0A0A"/>
          <w:szCs w:val="24"/>
          <w:shd w:val="clear" w:color="auto" w:fill="FFFFFF"/>
          <w:lang w:val="es-ES_tradnl"/>
        </w:rPr>
        <w:t xml:space="preserve"> Management (PAM)</w:t>
      </w:r>
      <w:r w:rsidR="00BF6AE9">
        <w:rPr>
          <w:rFonts w:ascii="Book Antiqua" w:hAnsi="Book Antiqua" w:cs="Arial"/>
          <w:bCs/>
          <w:color w:val="0A0A0A"/>
          <w:szCs w:val="24"/>
          <w:shd w:val="clear" w:color="auto" w:fill="FFFFFF"/>
          <w:lang w:val="es-ES_tradnl"/>
        </w:rPr>
        <w:t>,</w:t>
      </w:r>
      <w:r w:rsidRPr="00D507D2">
        <w:rPr>
          <w:rFonts w:ascii="Book Antiqua" w:hAnsi="Book Antiqua"/>
          <w:lang w:val="es-ES_tradnl"/>
        </w:rPr>
        <w:t xml:space="preserve"> tienen programado </w:t>
      </w:r>
      <w:r w:rsidR="00BF6AE9">
        <w:rPr>
          <w:rFonts w:ascii="Book Antiqua" w:hAnsi="Book Antiqua"/>
          <w:lang w:val="es-ES_tradnl"/>
        </w:rPr>
        <w:t>implementar</w:t>
      </w:r>
      <w:r w:rsidR="00B57FC7" w:rsidRPr="00D507D2">
        <w:rPr>
          <w:rFonts w:ascii="Book Antiqua" w:hAnsi="Book Antiqua"/>
          <w:lang w:val="es-ES_tradnl"/>
        </w:rPr>
        <w:t xml:space="preserve"> un aumento automático en los peajes de las autopistas durante el mes de enero de 2026. </w:t>
      </w:r>
      <w:r w:rsidR="00096F84" w:rsidRPr="00D507D2">
        <w:rPr>
          <w:rFonts w:ascii="Book Antiqua" w:hAnsi="Book Antiqua"/>
          <w:lang w:val="es-ES_tradnl"/>
        </w:rPr>
        <w:t>Este aumento resulta particularmente preocupante, en la medida en que responde a una fórmula de ajuste automático vinculada al costo de vida que, sin una evaluación técnica detallada de su metodología y cómputo, ha tenido el efecto de generar impactos económicos adversos de carácter general sobre la población.</w:t>
      </w:r>
    </w:p>
    <w:p w14:paraId="549360AD" w14:textId="77777777" w:rsidR="00911F6F" w:rsidRPr="00D507D2" w:rsidRDefault="00911F6F" w:rsidP="00911F6F">
      <w:pPr>
        <w:ind w:firstLine="360"/>
        <w:jc w:val="both"/>
        <w:rPr>
          <w:rFonts w:ascii="Book Antiqua" w:hAnsi="Book Antiqua"/>
          <w:lang w:val="es-ES_tradnl"/>
        </w:rPr>
      </w:pPr>
    </w:p>
    <w:p w14:paraId="078543A4" w14:textId="4428E42F" w:rsidR="00BF6AE9" w:rsidRPr="006F060C" w:rsidRDefault="00BF6AE9" w:rsidP="00BF6AE9">
      <w:pPr>
        <w:jc w:val="both"/>
        <w:rPr>
          <w:rFonts w:ascii="Book Antiqua" w:hAnsi="Book Antiqua"/>
          <w:lang w:val="es-ES_tradnl"/>
        </w:rPr>
      </w:pPr>
      <w:r>
        <w:rPr>
          <w:rFonts w:ascii="Book Antiqua" w:hAnsi="Book Antiqua"/>
          <w:lang w:val="es-ES_tradnl"/>
        </w:rPr>
        <w:t xml:space="preserve">     </w:t>
      </w:r>
      <w:r w:rsidRPr="006F060C">
        <w:rPr>
          <w:rFonts w:ascii="Book Antiqua" w:hAnsi="Book Antiqua"/>
          <w:lang w:val="es-ES_tradnl"/>
        </w:rPr>
        <w:t xml:space="preserve">Los incrementos automáticos en las tarifas de peaje tienen el potencial de afectar no solo el presupuesto de la ciudadanía, sino también los costos de operación de los </w:t>
      </w:r>
      <w:r w:rsidRPr="006F060C">
        <w:rPr>
          <w:rFonts w:ascii="Book Antiqua" w:hAnsi="Book Antiqua"/>
          <w:lang w:val="es-ES_tradnl"/>
        </w:rPr>
        <w:lastRenderedPageBreak/>
        <w:t>pequeños y medianos negocios, lo que a su vez puede reflejarse en aumentos en los precios que enfrentan los consumidores</w:t>
      </w:r>
      <w:r w:rsidR="00CD02A3">
        <w:rPr>
          <w:rFonts w:ascii="Book Antiqua" w:hAnsi="Book Antiqua"/>
          <w:lang w:val="es-ES_tradnl"/>
        </w:rPr>
        <w:t>. Esta dinámica contribuye</w:t>
      </w:r>
      <w:r w:rsidRPr="006F060C">
        <w:rPr>
          <w:rFonts w:ascii="Book Antiqua" w:hAnsi="Book Antiqua"/>
          <w:lang w:val="es-ES_tradnl"/>
        </w:rPr>
        <w:t xml:space="preserve"> a un efecto acumulativo sobre la economía. En ese contexto, resulta pertinente examinar la razonabilidad de incrementos basados en indicadores inflacionarios, particularmente cuando los ingresos de amplios sectores de la población no se ajustan de manera proporcional a dichos indicadores.</w:t>
      </w:r>
    </w:p>
    <w:p w14:paraId="2D520BF0" w14:textId="77777777" w:rsidR="006F060C" w:rsidRDefault="006F060C" w:rsidP="00B74EB0">
      <w:pPr>
        <w:jc w:val="both"/>
        <w:rPr>
          <w:rFonts w:ascii="Book Antiqua" w:hAnsi="Book Antiqua"/>
          <w:lang w:val="es-ES_tradnl"/>
        </w:rPr>
      </w:pPr>
    </w:p>
    <w:p w14:paraId="00C4BF83" w14:textId="4D39AFEF" w:rsidR="00B74EB0" w:rsidRPr="00B74EB0" w:rsidRDefault="006F060C" w:rsidP="00B74EB0">
      <w:pPr>
        <w:ind w:firstLine="360"/>
        <w:jc w:val="both"/>
        <w:rPr>
          <w:rFonts w:ascii="Book Antiqua" w:hAnsi="Book Antiqua"/>
          <w:lang w:val="es-ES_tradnl"/>
        </w:rPr>
      </w:pPr>
      <w:r w:rsidRPr="00B74EB0">
        <w:rPr>
          <w:rFonts w:ascii="Book Antiqua" w:hAnsi="Book Antiqua"/>
          <w:lang w:val="es-ES_tradnl"/>
        </w:rPr>
        <w:t xml:space="preserve">Recientemente, la Gobernadora de Puerto Rico, </w:t>
      </w:r>
      <w:proofErr w:type="spellStart"/>
      <w:r w:rsidRPr="00B74EB0">
        <w:rPr>
          <w:rFonts w:ascii="Book Antiqua" w:hAnsi="Book Antiqua"/>
          <w:lang w:val="es-ES_tradnl"/>
        </w:rPr>
        <w:t>Hon</w:t>
      </w:r>
      <w:proofErr w:type="spellEnd"/>
      <w:r w:rsidRPr="00B74EB0">
        <w:rPr>
          <w:rFonts w:ascii="Book Antiqua" w:hAnsi="Book Antiqua"/>
          <w:lang w:val="es-ES_tradnl"/>
        </w:rPr>
        <w:t xml:space="preserve">. </w:t>
      </w:r>
      <w:proofErr w:type="spellStart"/>
      <w:r w:rsidRPr="00B74EB0">
        <w:rPr>
          <w:rFonts w:ascii="Book Antiqua" w:hAnsi="Book Antiqua"/>
          <w:lang w:val="es-ES_tradnl"/>
        </w:rPr>
        <w:t>Jenniffer</w:t>
      </w:r>
      <w:proofErr w:type="spellEnd"/>
      <w:r w:rsidRPr="00B74EB0">
        <w:rPr>
          <w:rFonts w:ascii="Book Antiqua" w:hAnsi="Book Antiqua"/>
          <w:lang w:val="es-ES_tradnl"/>
        </w:rPr>
        <w:t xml:space="preserve"> González Colón</w:t>
      </w:r>
      <w:r w:rsidR="00795CE1" w:rsidRPr="00B74EB0">
        <w:rPr>
          <w:rFonts w:ascii="Book Antiqua" w:hAnsi="Book Antiqua"/>
          <w:lang w:val="es-ES_tradnl"/>
        </w:rPr>
        <w:t xml:space="preserve"> expresó</w:t>
      </w:r>
      <w:r w:rsidRPr="00B74EB0">
        <w:rPr>
          <w:rFonts w:ascii="Book Antiqua" w:hAnsi="Book Antiqua"/>
          <w:lang w:val="es-ES_tradnl"/>
        </w:rPr>
        <w:t xml:space="preserve"> públicamente su interés en revisar los aumentos automáticos en las tarifas de peaje. En declaraciones ofrecidas a la prensa, la Mandataria señaló la necesidad de examinar los elementos que componen la fórmula utilizada para dichos ajustes y solicitó a la Autoridad para las Alianzas Público-Privadas (AAPP) la realización de un análisis técnico de los criterios que permiten la aplicación de incrementos automáticos. De forma particular, la Gobernadora destacó la importancia de contar con un desglose claro y verificable de la manera en que dicha fórmula es identificada y aplicada, así como de los mecanismos que aseguran procesos adecuados de transparencia y evaluación. Estas expresiones de la Rama Ejecutiva refuerzan la pertinencia de la intervención legislativa propuesta y coinciden con la necesidad de establecer una moratoria que permita llevar a cabo un examen exhaustivo de estos procesos antes de autorizar nuevos incrementos en los peajes.</w:t>
      </w:r>
    </w:p>
    <w:p w14:paraId="16F3AC4E" w14:textId="77777777" w:rsidR="00B74EB0" w:rsidRPr="00B74EB0" w:rsidRDefault="00B74EB0" w:rsidP="0029196C">
      <w:pPr>
        <w:ind w:firstLine="360"/>
        <w:jc w:val="both"/>
        <w:rPr>
          <w:rFonts w:ascii="Book Antiqua" w:hAnsi="Book Antiqua"/>
          <w:lang w:val="es-ES_tradnl"/>
        </w:rPr>
      </w:pPr>
    </w:p>
    <w:p w14:paraId="734B3DE6" w14:textId="2933D5FA" w:rsidR="00B74EB0" w:rsidRPr="00CD02A3" w:rsidRDefault="00B74EB0" w:rsidP="00B74EB0">
      <w:pPr>
        <w:ind w:firstLine="360"/>
        <w:jc w:val="both"/>
        <w:rPr>
          <w:rFonts w:ascii="Book Antiqua" w:hAnsi="Book Antiqua"/>
          <w:lang w:val="es-ES_tradnl"/>
        </w:rPr>
      </w:pPr>
      <w:r w:rsidRPr="00CD02A3">
        <w:rPr>
          <w:rFonts w:ascii="Book Antiqua" w:hAnsi="Book Antiqua"/>
          <w:lang w:val="es-ES_tradnl"/>
        </w:rPr>
        <w:t xml:space="preserve">El aumento automático en las tarifas de peaje programado para enero de 2026 se fundamenta en una “formula” de ajuste vinculada al costo de vida, incorporada en el Contrato de Concesión suscrito entre la Autoridad de Carreteras y Transportación (ACT) y </w:t>
      </w:r>
      <w:proofErr w:type="spellStart"/>
      <w:r w:rsidRPr="00CD02A3">
        <w:rPr>
          <w:rFonts w:ascii="Book Antiqua" w:hAnsi="Book Antiqua"/>
          <w:lang w:val="es-ES_tradnl"/>
        </w:rPr>
        <w:t>Metropistas</w:t>
      </w:r>
      <w:proofErr w:type="spellEnd"/>
      <w:r w:rsidRPr="00CD02A3">
        <w:rPr>
          <w:rFonts w:ascii="Book Antiqua" w:hAnsi="Book Antiqua"/>
          <w:lang w:val="es-ES_tradnl"/>
        </w:rPr>
        <w:t>. No obstante, dicha fórmula no ha sido acompañada de un análisis técnico exhaustivo que permita explicar de manera clara su metodología y alcance.</w:t>
      </w:r>
    </w:p>
    <w:p w14:paraId="4E6D8C26" w14:textId="77777777" w:rsidR="00A479E6" w:rsidRPr="00CD02A3" w:rsidRDefault="00A479E6" w:rsidP="00B74EB0">
      <w:pPr>
        <w:ind w:firstLine="360"/>
        <w:jc w:val="both"/>
        <w:rPr>
          <w:rFonts w:ascii="Book Antiqua" w:hAnsi="Book Antiqua"/>
          <w:lang w:val="es-ES_tradnl"/>
        </w:rPr>
      </w:pPr>
    </w:p>
    <w:p w14:paraId="2892A6D4" w14:textId="7A66F1C9" w:rsidR="00B74EB0" w:rsidRPr="00CD02A3" w:rsidRDefault="00A479E6" w:rsidP="00A479E6">
      <w:pPr>
        <w:jc w:val="both"/>
        <w:rPr>
          <w:rFonts w:ascii="Book Antiqua" w:hAnsi="Book Antiqua"/>
          <w:lang w:val="es-ES_tradnl"/>
        </w:rPr>
      </w:pPr>
      <w:r w:rsidRPr="00CD02A3">
        <w:rPr>
          <w:rFonts w:ascii="Book Antiqua" w:hAnsi="Book Antiqua"/>
          <w:lang w:val="es-ES_tradnl"/>
        </w:rPr>
        <w:t xml:space="preserve">     </w:t>
      </w:r>
      <w:r w:rsidR="00B74EB0" w:rsidRPr="00CD02A3">
        <w:rPr>
          <w:rFonts w:ascii="Book Antiqua" w:hAnsi="Book Antiqua"/>
          <w:lang w:val="es-ES_tradnl"/>
        </w:rPr>
        <w:t>Asimismo, el Plan de Aju</w:t>
      </w:r>
      <w:r w:rsidR="005D5ADC" w:rsidRPr="00CD02A3">
        <w:rPr>
          <w:rFonts w:ascii="Book Antiqua" w:hAnsi="Book Antiqua"/>
          <w:lang w:val="es-ES_tradnl"/>
        </w:rPr>
        <w:t xml:space="preserve">ste de la Deuda (PAD) de la ACT del año 2022, </w:t>
      </w:r>
      <w:r w:rsidR="00B74EB0" w:rsidRPr="00CD02A3">
        <w:rPr>
          <w:rFonts w:ascii="Book Antiqua" w:hAnsi="Book Antiqua"/>
          <w:lang w:val="es-ES_tradnl"/>
        </w:rPr>
        <w:t xml:space="preserve">dispuso un esquema de aumentos escalonados a lo largo de los próximos treinta (30) años, incluyendo un aumento inicial de 8.3 por ciento anual y un ajuste adicional de 1.5 por ciento a partir del Año Fiscal 2025. Estos incrementos automáticos, cuya metodología no ha sido objeto de divulgación amplia han suscitado preocupaciones legítimas respecto a su efecto acumulativo sobre el presupuesto </w:t>
      </w:r>
      <w:r w:rsidR="008C76E8" w:rsidRPr="00CD02A3">
        <w:rPr>
          <w:rFonts w:ascii="Book Antiqua" w:hAnsi="Book Antiqua"/>
          <w:lang w:val="es-ES_tradnl"/>
        </w:rPr>
        <w:t>de las familias puertorriqueñas.</w:t>
      </w:r>
    </w:p>
    <w:p w14:paraId="1E9CE4CD" w14:textId="77777777" w:rsidR="00096F84" w:rsidRPr="00CD02A3" w:rsidRDefault="00096F84" w:rsidP="00A479E6">
      <w:pPr>
        <w:jc w:val="both"/>
        <w:rPr>
          <w:rFonts w:ascii="Book Antiqua" w:hAnsi="Book Antiqua"/>
          <w:lang w:val="es-ES_tradnl"/>
        </w:rPr>
      </w:pPr>
    </w:p>
    <w:p w14:paraId="44F93C08" w14:textId="7CC8111F" w:rsidR="0029196C" w:rsidRPr="00CD02A3" w:rsidRDefault="0029196C" w:rsidP="0029196C">
      <w:pPr>
        <w:ind w:firstLine="360"/>
        <w:jc w:val="both"/>
        <w:rPr>
          <w:rFonts w:ascii="Book Antiqua" w:hAnsi="Book Antiqua"/>
          <w:lang w:val="es-ES_tradnl"/>
        </w:rPr>
      </w:pPr>
      <w:r w:rsidRPr="00CD02A3">
        <w:rPr>
          <w:rFonts w:ascii="Book Antiqua" w:hAnsi="Book Antiqua"/>
          <w:lang w:val="es-ES_tradnl"/>
        </w:rPr>
        <w:t>Hasta la fecha, no se ha publicado un análisis técnico de esta fórmula que explique a la ciudada</w:t>
      </w:r>
      <w:r w:rsidR="00DA55BD" w:rsidRPr="00CD02A3">
        <w:rPr>
          <w:rFonts w:ascii="Book Antiqua" w:hAnsi="Book Antiqua"/>
          <w:lang w:val="es-ES_tradnl"/>
        </w:rPr>
        <w:t xml:space="preserve">nía cómo se calcula el </w:t>
      </w:r>
      <w:r w:rsidR="008C76E8" w:rsidRPr="00CD02A3">
        <w:rPr>
          <w:rFonts w:ascii="Book Antiqua" w:hAnsi="Book Antiqua"/>
          <w:lang w:val="es-ES_tradnl"/>
        </w:rPr>
        <w:t xml:space="preserve">proyectado </w:t>
      </w:r>
      <w:r w:rsidR="00DA55BD" w:rsidRPr="00CD02A3">
        <w:rPr>
          <w:rFonts w:ascii="Book Antiqua" w:hAnsi="Book Antiqua"/>
          <w:lang w:val="es-ES_tradnl"/>
        </w:rPr>
        <w:t xml:space="preserve">aumento </w:t>
      </w:r>
      <w:r w:rsidRPr="00CD02A3">
        <w:rPr>
          <w:rFonts w:ascii="Book Antiqua" w:hAnsi="Book Antiqua"/>
          <w:lang w:val="es-ES_tradnl"/>
        </w:rPr>
        <w:t>para enero de 2026, si existen lí</w:t>
      </w:r>
      <w:r w:rsidR="008C76E8" w:rsidRPr="00CD02A3">
        <w:rPr>
          <w:rFonts w:ascii="Book Antiqua" w:hAnsi="Book Antiqua"/>
          <w:lang w:val="es-ES_tradnl"/>
        </w:rPr>
        <w:t>mites contractuales que se estén</w:t>
      </w:r>
      <w:r w:rsidRPr="00CD02A3">
        <w:rPr>
          <w:rFonts w:ascii="Book Antiqua" w:hAnsi="Book Antiqua"/>
          <w:lang w:val="es-ES_tradnl"/>
        </w:rPr>
        <w:t xml:space="preserve"> respetando, cuál sería el impacto acumulativo de múltiples aumentos automáticos, o cuáles son las alternativas viables a esta fórmula. La falta de transparencia genera desconfianza en los ciudadanos y debilita la legitimidad de las decisiones sobre tarifas de servicios esenciales que impactan directamente la vida diaria de cada puertorriqueño.</w:t>
      </w:r>
    </w:p>
    <w:p w14:paraId="0931A00F" w14:textId="77777777" w:rsidR="00CD02A3" w:rsidRDefault="00CD02A3" w:rsidP="00D507D2">
      <w:pPr>
        <w:ind w:firstLine="360"/>
        <w:jc w:val="both"/>
        <w:rPr>
          <w:rFonts w:ascii="Book Antiqua" w:hAnsi="Book Antiqua"/>
          <w:lang w:val="es-ES_tradnl"/>
        </w:rPr>
      </w:pPr>
    </w:p>
    <w:p w14:paraId="2880D5FA" w14:textId="7260C737" w:rsidR="0029196C" w:rsidRPr="00CD02A3" w:rsidRDefault="00CD02A3" w:rsidP="00D507D2">
      <w:pPr>
        <w:ind w:firstLine="360"/>
        <w:jc w:val="both"/>
        <w:rPr>
          <w:rFonts w:ascii="Book Antiqua" w:hAnsi="Book Antiqua"/>
          <w:lang w:val="es-ES_tradnl"/>
        </w:rPr>
      </w:pPr>
      <w:r>
        <w:rPr>
          <w:rFonts w:ascii="Book Antiqua" w:hAnsi="Book Antiqua"/>
          <w:lang w:val="es-ES_tradnl"/>
        </w:rPr>
        <w:lastRenderedPageBreak/>
        <w:t>R</w:t>
      </w:r>
      <w:r w:rsidR="00D507D2" w:rsidRPr="00CD02A3">
        <w:rPr>
          <w:rFonts w:ascii="Book Antiqua" w:hAnsi="Book Antiqua"/>
          <w:lang w:val="es-ES_tradnl"/>
        </w:rPr>
        <w:t xml:space="preserve">esulta pertinente que la </w:t>
      </w:r>
      <w:r w:rsidR="0029196C" w:rsidRPr="00CD02A3">
        <w:rPr>
          <w:rFonts w:ascii="Book Antiqua" w:hAnsi="Book Antiqua"/>
          <w:lang w:val="es-ES_tradnl"/>
        </w:rPr>
        <w:t xml:space="preserve">Autoridad de Carreteras y Transportación </w:t>
      </w:r>
      <w:r w:rsidR="00D507D2" w:rsidRPr="00CD02A3">
        <w:rPr>
          <w:rFonts w:ascii="Book Antiqua" w:hAnsi="Book Antiqua"/>
          <w:lang w:val="es-ES_tradnl"/>
        </w:rPr>
        <w:t xml:space="preserve">no solamente </w:t>
      </w:r>
      <w:r w:rsidR="0029196C" w:rsidRPr="00CD02A3">
        <w:rPr>
          <w:rFonts w:ascii="Book Antiqua" w:hAnsi="Book Antiqua"/>
          <w:lang w:val="es-ES_tradnl"/>
        </w:rPr>
        <w:t>verifique que la fórmula de ajuste automático respeta lo</w:t>
      </w:r>
      <w:r w:rsidR="00D507D2" w:rsidRPr="00CD02A3">
        <w:rPr>
          <w:rFonts w:ascii="Book Antiqua" w:hAnsi="Book Antiqua"/>
          <w:lang w:val="es-ES_tradnl"/>
        </w:rPr>
        <w:t xml:space="preserve">s límites máximos </w:t>
      </w:r>
      <w:proofErr w:type="gramStart"/>
      <w:r w:rsidR="00D507D2" w:rsidRPr="00CD02A3">
        <w:rPr>
          <w:rFonts w:ascii="Book Antiqua" w:hAnsi="Book Antiqua"/>
          <w:lang w:val="es-ES_tradnl"/>
        </w:rPr>
        <w:t>contractuales</w:t>
      </w:r>
      <w:proofErr w:type="gramEnd"/>
      <w:r w:rsidR="00D507D2" w:rsidRPr="00CD02A3">
        <w:rPr>
          <w:rFonts w:ascii="Book Antiqua" w:hAnsi="Book Antiqua"/>
          <w:lang w:val="es-ES_tradnl"/>
        </w:rPr>
        <w:t xml:space="preserve"> sino que los</w:t>
      </w:r>
      <w:r w:rsidR="0029196C" w:rsidRPr="00CD02A3">
        <w:rPr>
          <w:rFonts w:ascii="Book Antiqua" w:hAnsi="Book Antiqua"/>
          <w:lang w:val="es-ES_tradnl"/>
        </w:rPr>
        <w:t xml:space="preserve"> cálculos han sido realizados correctamente, y que se ha cumplido con todos los procedimientos requeridos. </w:t>
      </w:r>
    </w:p>
    <w:p w14:paraId="04025E60" w14:textId="77777777" w:rsidR="00096F84" w:rsidRPr="00CD02A3" w:rsidRDefault="00096F84" w:rsidP="00DA77F1">
      <w:pPr>
        <w:ind w:firstLine="360"/>
        <w:jc w:val="both"/>
        <w:rPr>
          <w:rFonts w:ascii="Book Antiqua" w:hAnsi="Book Antiqua"/>
          <w:lang w:val="es-ES_tradnl"/>
        </w:rPr>
      </w:pPr>
    </w:p>
    <w:p w14:paraId="03859CDD" w14:textId="4D4C7C60" w:rsidR="00D507D2" w:rsidRPr="00CD02A3" w:rsidRDefault="00D507D2" w:rsidP="008C76E8">
      <w:pPr>
        <w:ind w:firstLine="360"/>
        <w:jc w:val="both"/>
        <w:rPr>
          <w:rFonts w:ascii="Book Antiqua" w:hAnsi="Book Antiqua"/>
          <w:lang w:val="es-ES_tradnl"/>
        </w:rPr>
      </w:pPr>
      <w:r w:rsidRPr="00CD02A3">
        <w:rPr>
          <w:rFonts w:ascii="Book Antiqua" w:hAnsi="Book Antiqua"/>
          <w:lang w:val="es-ES_tradnl"/>
        </w:rPr>
        <w:t>Una morato</w:t>
      </w:r>
      <w:r w:rsidR="00CD02A3">
        <w:rPr>
          <w:rFonts w:ascii="Book Antiqua" w:hAnsi="Book Antiqua"/>
          <w:lang w:val="es-ES_tradnl"/>
        </w:rPr>
        <w:t xml:space="preserve">ria de </w:t>
      </w:r>
      <w:r w:rsidR="001F67D9">
        <w:rPr>
          <w:rFonts w:ascii="Book Antiqua" w:hAnsi="Book Antiqua"/>
          <w:lang w:val="es-ES_tradnl"/>
        </w:rPr>
        <w:t>doce (12) meses</w:t>
      </w:r>
      <w:r w:rsidR="008C76E8" w:rsidRPr="00CD02A3">
        <w:rPr>
          <w:rFonts w:ascii="Book Antiqua" w:hAnsi="Book Antiqua"/>
          <w:lang w:val="es-ES_tradnl"/>
        </w:rPr>
        <w:t xml:space="preserve"> permitiría</w:t>
      </w:r>
      <w:r w:rsidRPr="00CD02A3">
        <w:rPr>
          <w:rFonts w:ascii="Book Antiqua" w:hAnsi="Book Antiqua"/>
          <w:lang w:val="es-ES_tradnl"/>
        </w:rPr>
        <w:t xml:space="preserve"> a la Autoridad de Carreteras y Transportación conducir un análisis técnico exhaustivo, iniciar procesos de negociación con </w:t>
      </w:r>
      <w:proofErr w:type="spellStart"/>
      <w:r w:rsidRPr="00CD02A3">
        <w:rPr>
          <w:rFonts w:ascii="Book Antiqua" w:hAnsi="Book Antiqua"/>
          <w:lang w:val="es-ES_tradnl"/>
        </w:rPr>
        <w:t>Metropistas</w:t>
      </w:r>
      <w:proofErr w:type="spellEnd"/>
      <w:r w:rsidRPr="00CD02A3">
        <w:rPr>
          <w:rFonts w:ascii="Book Antiqua" w:hAnsi="Book Antiqua"/>
          <w:lang w:val="es-ES_tradnl"/>
        </w:rPr>
        <w:t xml:space="preserve">, identificar fórmulas alternativas que sean equitativas, desarrollar mecanismos que sean transparentes, y crear soluciones que sean sostenibles a largo plazo. Puerto Rico tiene antecedentes de reformas importantes en el sistema de peajes, tales como ajustes al sistema de </w:t>
      </w:r>
      <w:proofErr w:type="spellStart"/>
      <w:r w:rsidRPr="00CD02A3">
        <w:rPr>
          <w:rFonts w:ascii="Book Antiqua" w:hAnsi="Book Antiqua"/>
          <w:lang w:val="es-ES_tradnl"/>
        </w:rPr>
        <w:t>Aut</w:t>
      </w:r>
      <w:r w:rsidR="00CD02A3">
        <w:rPr>
          <w:rFonts w:ascii="Book Antiqua" w:hAnsi="Book Antiqua"/>
          <w:lang w:val="es-ES_tradnl"/>
        </w:rPr>
        <w:t>oExpreso</w:t>
      </w:r>
      <w:proofErr w:type="spellEnd"/>
      <w:r w:rsidR="00CD02A3">
        <w:rPr>
          <w:rFonts w:ascii="Book Antiqua" w:hAnsi="Book Antiqua"/>
          <w:lang w:val="es-ES_tradnl"/>
        </w:rPr>
        <w:t xml:space="preserve"> y moratorias de carácter temporero</w:t>
      </w:r>
      <w:r w:rsidRPr="00CD02A3">
        <w:rPr>
          <w:rFonts w:ascii="Book Antiqua" w:hAnsi="Book Antiqua"/>
          <w:lang w:val="es-ES_tradnl"/>
        </w:rPr>
        <w:t xml:space="preserve"> cuando emergencias lo han requerido, demostra</w:t>
      </w:r>
      <w:r w:rsidR="00CD02A3">
        <w:rPr>
          <w:rFonts w:ascii="Book Antiqua" w:hAnsi="Book Antiqua"/>
          <w:lang w:val="es-ES_tradnl"/>
        </w:rPr>
        <w:t xml:space="preserve">ndo que una moratoria de </w:t>
      </w:r>
      <w:r w:rsidR="001F67D9">
        <w:rPr>
          <w:rFonts w:ascii="Book Antiqua" w:hAnsi="Book Antiqua"/>
          <w:lang w:val="es-ES_tradnl"/>
        </w:rPr>
        <w:t>doce (12) meses</w:t>
      </w:r>
      <w:r w:rsidRPr="00CD02A3">
        <w:rPr>
          <w:rFonts w:ascii="Book Antiqua" w:hAnsi="Book Antiqua"/>
          <w:lang w:val="es-ES_tradnl"/>
        </w:rPr>
        <w:t xml:space="preserve"> es un período razonable para realizar análisis y negociación.</w:t>
      </w:r>
      <w:r w:rsidR="008C76E8" w:rsidRPr="00CD02A3">
        <w:rPr>
          <w:rFonts w:ascii="Book Antiqua" w:hAnsi="Book Antiqua"/>
          <w:lang w:val="es-ES_tradnl"/>
        </w:rPr>
        <w:t xml:space="preserve"> </w:t>
      </w:r>
      <w:r w:rsidR="008D0BB1">
        <w:rPr>
          <w:rFonts w:ascii="Book Antiqua" w:hAnsi="Book Antiqua"/>
          <w:lang w:val="es-ES_tradnl"/>
        </w:rPr>
        <w:t xml:space="preserve">Estos doce (12) meses </w:t>
      </w:r>
      <w:r w:rsidRPr="00CD02A3">
        <w:rPr>
          <w:rFonts w:ascii="Book Antiqua" w:hAnsi="Book Antiqua"/>
          <w:lang w:val="es-ES_tradnl"/>
        </w:rPr>
        <w:t>también permitirían que el análisis que la Gobernadora ha solicitado a la Autoridad para las Alianzas Público-Privadas pueda ser completado y considerado antes de que cualquier aumento sea ejecutado.</w:t>
      </w:r>
    </w:p>
    <w:p w14:paraId="7204CF71" w14:textId="77777777" w:rsidR="00B57FC7" w:rsidRPr="00CD02A3" w:rsidRDefault="00B57FC7" w:rsidP="00D507D2">
      <w:pPr>
        <w:ind w:firstLine="360"/>
        <w:jc w:val="both"/>
        <w:rPr>
          <w:rFonts w:ascii="Book Antiqua" w:hAnsi="Book Antiqua"/>
          <w:lang w:val="es-ES_tradnl"/>
        </w:rPr>
      </w:pPr>
    </w:p>
    <w:p w14:paraId="506FCC29" w14:textId="216FDA36" w:rsidR="00D21827" w:rsidRPr="00CD02A3" w:rsidRDefault="00D21827" w:rsidP="00D21827">
      <w:pPr>
        <w:ind w:firstLine="360"/>
        <w:jc w:val="both"/>
        <w:rPr>
          <w:rFonts w:ascii="Book Antiqua" w:hAnsi="Book Antiqua"/>
          <w:lang w:val="es-ES_tradnl"/>
        </w:rPr>
      </w:pPr>
      <w:r w:rsidRPr="00CD02A3">
        <w:rPr>
          <w:rFonts w:ascii="Book Antiqua" w:hAnsi="Book Antiqua"/>
          <w:lang w:val="es-ES_tradnl"/>
        </w:rPr>
        <w:t>La Asamblea Legislativa de Puerto Rico tiene la responsabilidad constitucional de fiscalizar asuntos que afecten directamente a la ciudadanía. Los peajes de autopistas son servicios esenciales de utilidad pública que impactan la economía y el bienestar de todos los puertorriqueños. Es obligación de la Legislatura proteger los intereses de la ciudadanía, especialmente cuando enfrentan crisis económicas y cuando existen dudas razonables sobre si un aumento propuesto cumple con todas las protecciones contractuales y es verdaderamente equitativo.</w:t>
      </w:r>
    </w:p>
    <w:p w14:paraId="3D972481" w14:textId="77777777" w:rsidR="00B57FC7" w:rsidRPr="00CD02A3" w:rsidRDefault="00B57FC7" w:rsidP="00D21827">
      <w:pPr>
        <w:ind w:firstLine="360"/>
        <w:jc w:val="both"/>
        <w:rPr>
          <w:rFonts w:ascii="Book Antiqua" w:hAnsi="Book Antiqua"/>
          <w:lang w:val="es-ES_tradnl"/>
        </w:rPr>
      </w:pPr>
    </w:p>
    <w:p w14:paraId="51AB4F15" w14:textId="2D865654" w:rsidR="00291903" w:rsidRPr="00CD02A3" w:rsidRDefault="00CD02A3" w:rsidP="00291903">
      <w:pPr>
        <w:ind w:firstLine="360"/>
        <w:jc w:val="both"/>
        <w:rPr>
          <w:rFonts w:ascii="Book Antiqua" w:hAnsi="Book Antiqua"/>
          <w:lang w:val="es-ES_tradnl"/>
        </w:rPr>
      </w:pPr>
      <w:r>
        <w:rPr>
          <w:rFonts w:ascii="Book Antiqua" w:hAnsi="Book Antiqua"/>
          <w:lang w:val="es-ES_tradnl"/>
        </w:rPr>
        <w:t xml:space="preserve">La moratoria de </w:t>
      </w:r>
      <w:r w:rsidR="001F67D9">
        <w:rPr>
          <w:rFonts w:ascii="Book Antiqua" w:hAnsi="Book Antiqua"/>
          <w:lang w:val="es-ES_tradnl"/>
        </w:rPr>
        <w:t>doce (12) meses</w:t>
      </w:r>
      <w:r w:rsidR="00291903" w:rsidRPr="00CD02A3">
        <w:rPr>
          <w:rFonts w:ascii="Book Antiqua" w:hAnsi="Book Antiqua"/>
          <w:lang w:val="es-ES_tradnl"/>
        </w:rPr>
        <w:t xml:space="preserve"> aquí propuesta representa una medida razonable, proporcionada y justa dirigida a proteger el interés público, al tiempo que permite a la Autoridad de Carreteras y Transportación evaluar con detenimiento alternativas y procurar soluciones que armonicen la protección de la ciudadanía con la operación adecuada de la infraestructura vial. Asimismo, esta acción legislativa es consistente con los intereses expresados por la Rama Ejecutiva en torno a la revisión y análisis de los aumentos automáticos en los peajes. Por las consideraciones antes expuestas, se somete la presente Resolución para la evaluación y aprobación de la Asamblea Legislativa.</w:t>
      </w:r>
    </w:p>
    <w:p w14:paraId="64977348" w14:textId="77777777" w:rsidR="003B1B35" w:rsidRPr="00D507D2" w:rsidRDefault="003B1B35" w:rsidP="00F12391">
      <w:pPr>
        <w:jc w:val="both"/>
        <w:rPr>
          <w:rFonts w:ascii="Book Antiqua" w:hAnsi="Book Antiqua"/>
          <w:i/>
          <w:lang w:val="es-ES_tradnl"/>
        </w:rPr>
      </w:pPr>
    </w:p>
    <w:p w14:paraId="0043B6EA" w14:textId="6E902068" w:rsidR="00065C31" w:rsidRPr="00D507D2" w:rsidRDefault="00291903" w:rsidP="001F67D9">
      <w:pPr>
        <w:spacing w:line="480" w:lineRule="auto"/>
        <w:jc w:val="both"/>
        <w:outlineLvl w:val="0"/>
        <w:rPr>
          <w:rFonts w:ascii="Book Antiqua" w:hAnsi="Book Antiqua"/>
          <w:i/>
          <w:lang w:val="es-ES_tradnl"/>
        </w:rPr>
      </w:pPr>
      <w:r>
        <w:rPr>
          <w:rFonts w:ascii="Book Antiqua" w:hAnsi="Book Antiqua"/>
          <w:i/>
          <w:lang w:val="es-ES_tradnl"/>
        </w:rPr>
        <w:t>RESUÉLVASE</w:t>
      </w:r>
      <w:r w:rsidR="00065C31" w:rsidRPr="00D507D2">
        <w:rPr>
          <w:rFonts w:ascii="Book Antiqua" w:hAnsi="Book Antiqua"/>
          <w:i/>
          <w:lang w:val="es-ES_tradnl"/>
        </w:rPr>
        <w:t xml:space="preserve"> POR LA ASAMBLEA LEGISLATIVA DE PUERTO RICO:</w:t>
      </w:r>
    </w:p>
    <w:p w14:paraId="40CCE6AE" w14:textId="77777777" w:rsidR="00065C31" w:rsidRPr="00D507D2" w:rsidRDefault="00065C31" w:rsidP="00065C31">
      <w:pPr>
        <w:spacing w:line="480" w:lineRule="auto"/>
        <w:jc w:val="both"/>
        <w:rPr>
          <w:rFonts w:ascii="Book Antiqua" w:hAnsi="Book Antiqua"/>
          <w:lang w:val="es-ES_tradnl"/>
        </w:rPr>
        <w:sectPr w:rsidR="00065C31" w:rsidRPr="00D507D2">
          <w:headerReference w:type="default" r:id="rId8"/>
          <w:type w:val="continuous"/>
          <w:pgSz w:w="12240" w:h="15840" w:code="1"/>
          <w:pgMar w:top="1440" w:right="1440" w:bottom="1440" w:left="1440" w:header="720" w:footer="720" w:gutter="0"/>
          <w:cols w:space="720"/>
          <w:titlePg/>
        </w:sectPr>
      </w:pPr>
    </w:p>
    <w:p w14:paraId="2A1220DE" w14:textId="45161CC6" w:rsidR="00291903" w:rsidRDefault="00291903" w:rsidP="000517D4">
      <w:pPr>
        <w:spacing w:line="480" w:lineRule="auto"/>
        <w:ind w:firstLine="720"/>
        <w:jc w:val="both"/>
        <w:rPr>
          <w:rFonts w:ascii="Book Antiqua" w:hAnsi="Book Antiqua"/>
          <w:lang w:val="es-ES_tradnl"/>
        </w:rPr>
      </w:pPr>
      <w:r>
        <w:rPr>
          <w:rFonts w:ascii="Book Antiqua" w:hAnsi="Book Antiqua"/>
          <w:lang w:val="es-ES_tradnl"/>
        </w:rPr>
        <w:t xml:space="preserve"> </w:t>
      </w:r>
      <w:r w:rsidR="00EF49F1" w:rsidRPr="00D507D2">
        <w:rPr>
          <w:rFonts w:ascii="Book Antiqua" w:hAnsi="Book Antiqua"/>
          <w:lang w:val="es-ES_tradnl"/>
        </w:rPr>
        <w:t>Sección</w:t>
      </w:r>
      <w:r w:rsidR="002B6400" w:rsidRPr="00D507D2">
        <w:rPr>
          <w:rFonts w:ascii="Book Antiqua" w:hAnsi="Book Antiqua"/>
          <w:lang w:val="es-ES_tradnl"/>
        </w:rPr>
        <w:t xml:space="preserve"> </w:t>
      </w:r>
      <w:r>
        <w:rPr>
          <w:rFonts w:ascii="Book Antiqua" w:hAnsi="Book Antiqua"/>
          <w:lang w:val="es-ES_tradnl"/>
        </w:rPr>
        <w:t>1.- Se ordena</w:t>
      </w:r>
      <w:r w:rsidRPr="00D507D2">
        <w:rPr>
          <w:rFonts w:ascii="Book Antiqua" w:hAnsi="Book Antiqua"/>
          <w:lang w:val="es-ES_tradnl"/>
        </w:rPr>
        <w:t xml:space="preserve"> a la Autoridad de Carreteras y Transportación (ACT) abstenerse de ejecutar el aumento automático de peajes programado para el mes de enero de 2026; esta</w:t>
      </w:r>
      <w:r w:rsidR="00CD02A3">
        <w:rPr>
          <w:rFonts w:ascii="Book Antiqua" w:hAnsi="Book Antiqua"/>
          <w:lang w:val="es-ES_tradnl"/>
        </w:rPr>
        <w:t xml:space="preserve">blecer una moratoria por </w:t>
      </w:r>
      <w:r w:rsidR="001F67D9">
        <w:rPr>
          <w:rFonts w:ascii="Book Antiqua" w:hAnsi="Book Antiqua"/>
          <w:lang w:val="es-ES_tradnl"/>
        </w:rPr>
        <w:t>doce (12) meses</w:t>
      </w:r>
      <w:r w:rsidRPr="00D507D2">
        <w:rPr>
          <w:rFonts w:ascii="Book Antiqua" w:hAnsi="Book Antiqua"/>
          <w:lang w:val="es-ES_tradnl"/>
        </w:rPr>
        <w:t xml:space="preserve"> con el propósito de realizar un análisis técnico exhaustivo de la fórmula de ajuste automático actualmente </w:t>
      </w:r>
      <w:r w:rsidRPr="00D507D2">
        <w:rPr>
          <w:rFonts w:ascii="Book Antiqua" w:hAnsi="Book Antiqua"/>
          <w:lang w:val="es-ES_tradnl"/>
        </w:rPr>
        <w:lastRenderedPageBreak/>
        <w:t>vinculada al costo de vida; evaluar si dicho aumento cumple con las protecciones y límites aplicables para la protección de los usuarios; examinar su impacto económico sobre la población; y ordenar a la Autoridad de Carreteras y Transportación iniciar procesos de negociación dirigidos a la revisión de dicha fórmula, a fin de identificar alternativas que sean equitativas, transparentes y sostenibles</w:t>
      </w:r>
      <w:r>
        <w:rPr>
          <w:rFonts w:ascii="Book Antiqua" w:hAnsi="Book Antiqua"/>
          <w:lang w:val="es-ES_tradnl"/>
        </w:rPr>
        <w:t>.</w:t>
      </w:r>
    </w:p>
    <w:p w14:paraId="6E5C2977" w14:textId="410625D9" w:rsidR="000517D4" w:rsidRPr="00CD02A3" w:rsidRDefault="000517D4" w:rsidP="000517D4">
      <w:pPr>
        <w:spacing w:line="480" w:lineRule="auto"/>
        <w:ind w:firstLine="720"/>
        <w:jc w:val="both"/>
        <w:rPr>
          <w:rFonts w:ascii="Book Antiqua" w:hAnsi="Book Antiqua"/>
          <w:lang w:val="es-ES_tradnl"/>
        </w:rPr>
      </w:pPr>
      <w:r w:rsidRPr="00D507D2">
        <w:rPr>
          <w:rFonts w:ascii="Book Antiqua" w:hAnsi="Book Antiqua"/>
          <w:lang w:val="es-ES_tradnl"/>
        </w:rPr>
        <w:t xml:space="preserve"> </w:t>
      </w:r>
      <w:r w:rsidR="002B6400" w:rsidRPr="00CD02A3">
        <w:rPr>
          <w:rFonts w:ascii="Book Antiqua" w:hAnsi="Book Antiqua"/>
          <w:lang w:val="es-ES_tradnl"/>
        </w:rPr>
        <w:t xml:space="preserve">Sección 2. </w:t>
      </w:r>
      <w:r w:rsidRPr="00CD02A3">
        <w:rPr>
          <w:rFonts w:ascii="Book Antiqua" w:hAnsi="Book Antiqua"/>
          <w:lang w:val="es-ES_tradnl"/>
        </w:rPr>
        <w:t>Se es</w:t>
      </w:r>
      <w:r w:rsidR="00CD02A3" w:rsidRPr="00CD02A3">
        <w:rPr>
          <w:rFonts w:ascii="Book Antiqua" w:hAnsi="Book Antiqua"/>
          <w:lang w:val="es-ES_tradnl"/>
        </w:rPr>
        <w:t xml:space="preserve">tablece una moratoria de </w:t>
      </w:r>
      <w:r w:rsidR="001F67D9">
        <w:rPr>
          <w:rFonts w:ascii="Book Antiqua" w:hAnsi="Book Antiqua"/>
          <w:lang w:val="es-ES_tradnl"/>
        </w:rPr>
        <w:t>doce (12) meses</w:t>
      </w:r>
      <w:r w:rsidRPr="00CD02A3">
        <w:rPr>
          <w:rFonts w:ascii="Book Antiqua" w:hAnsi="Book Antiqua"/>
          <w:lang w:val="es-ES_tradnl"/>
        </w:rPr>
        <w:t>, contados a partir de la vigencia de esta Resolución Conjunta, durante la cual la Autoridad de Carreteras y Transportación llevará a cabo un análisis técnico exhaustivo de la fórmula de ajuste automático vinculada al costo de vida utilizada para calcular los aumentos de peajes, incluyendo, sin limitarse a:</w:t>
      </w:r>
    </w:p>
    <w:p w14:paraId="43D3237A" w14:textId="54F47594" w:rsidR="000517D4" w:rsidRPr="00CD02A3" w:rsidRDefault="000517D4" w:rsidP="000517D4">
      <w:pPr>
        <w:pStyle w:val="ListParagraph"/>
        <w:numPr>
          <w:ilvl w:val="0"/>
          <w:numId w:val="1"/>
        </w:numPr>
        <w:spacing w:line="480" w:lineRule="auto"/>
        <w:jc w:val="both"/>
        <w:rPr>
          <w:rFonts w:ascii="Book Antiqua" w:hAnsi="Book Antiqua"/>
          <w:lang w:val="es-ES_tradnl"/>
        </w:rPr>
      </w:pPr>
      <w:r w:rsidRPr="00CD02A3">
        <w:rPr>
          <w:rFonts w:ascii="Book Antiqua" w:hAnsi="Book Antiqua"/>
          <w:lang w:val="es-ES_tradnl"/>
        </w:rPr>
        <w:t>la revisión detallada de la metodología y los criterios utilizados para el cómputo de la fórmula;</w:t>
      </w:r>
    </w:p>
    <w:p w14:paraId="041DA673" w14:textId="77777777" w:rsidR="000517D4" w:rsidRPr="00CD02A3" w:rsidRDefault="000517D4" w:rsidP="000517D4">
      <w:pPr>
        <w:pStyle w:val="ListParagraph"/>
        <w:numPr>
          <w:ilvl w:val="0"/>
          <w:numId w:val="1"/>
        </w:numPr>
        <w:spacing w:line="480" w:lineRule="auto"/>
        <w:jc w:val="both"/>
        <w:rPr>
          <w:rFonts w:ascii="Book Antiqua" w:hAnsi="Book Antiqua"/>
          <w:lang w:val="es-ES_tradnl"/>
        </w:rPr>
      </w:pPr>
      <w:r w:rsidRPr="00CD02A3">
        <w:rPr>
          <w:rFonts w:ascii="Book Antiqua" w:hAnsi="Book Antiqua"/>
          <w:lang w:val="es-ES_tradnl"/>
        </w:rPr>
        <w:t>la verificación de que dicha fórmula y sus resultados cumplen con las protecciones y límites máximos establecidos en el Contrato de Concesión aplicable;</w:t>
      </w:r>
    </w:p>
    <w:p w14:paraId="6FFFD90A" w14:textId="77777777" w:rsidR="000517D4" w:rsidRPr="00CD02A3" w:rsidRDefault="000517D4" w:rsidP="000517D4">
      <w:pPr>
        <w:pStyle w:val="ListParagraph"/>
        <w:numPr>
          <w:ilvl w:val="0"/>
          <w:numId w:val="1"/>
        </w:numPr>
        <w:spacing w:line="480" w:lineRule="auto"/>
        <w:jc w:val="both"/>
        <w:rPr>
          <w:rFonts w:ascii="Book Antiqua" w:hAnsi="Book Antiqua"/>
          <w:lang w:val="es-ES_tradnl"/>
        </w:rPr>
      </w:pPr>
      <w:r w:rsidRPr="00CD02A3">
        <w:rPr>
          <w:rFonts w:ascii="Book Antiqua" w:hAnsi="Book Antiqua"/>
          <w:lang w:val="es-ES_tradnl"/>
        </w:rPr>
        <w:t>la evaluación de la corrección y razonabilidad de los cálculos utilizados para el aumento proyectado para enero de 2026; y</w:t>
      </w:r>
    </w:p>
    <w:p w14:paraId="65122E07" w14:textId="77A12937" w:rsidR="002B6400" w:rsidRPr="00CD02A3" w:rsidRDefault="000517D4" w:rsidP="000517D4">
      <w:pPr>
        <w:pStyle w:val="ListParagraph"/>
        <w:numPr>
          <w:ilvl w:val="0"/>
          <w:numId w:val="1"/>
        </w:numPr>
        <w:spacing w:line="480" w:lineRule="auto"/>
        <w:jc w:val="both"/>
        <w:rPr>
          <w:rFonts w:ascii="Book Antiqua" w:hAnsi="Book Antiqua"/>
          <w:lang w:val="es-ES_tradnl"/>
        </w:rPr>
      </w:pPr>
      <w:r w:rsidRPr="00CD02A3">
        <w:rPr>
          <w:rFonts w:ascii="Book Antiqua" w:hAnsi="Book Antiqua"/>
          <w:lang w:val="es-ES_tradnl"/>
        </w:rPr>
        <w:t>el análisis del impacto económico que dichos aumentos puedan tener sobre la población y la actividad económica de Puerto Rico.</w:t>
      </w:r>
    </w:p>
    <w:p w14:paraId="503F8BEA" w14:textId="21EE74D8" w:rsidR="00724A68" w:rsidRPr="00CD02A3" w:rsidRDefault="002B6400" w:rsidP="00724A68">
      <w:pPr>
        <w:spacing w:line="480" w:lineRule="auto"/>
        <w:ind w:firstLine="720"/>
        <w:jc w:val="both"/>
        <w:rPr>
          <w:rFonts w:ascii="Book Antiqua" w:hAnsi="Book Antiqua"/>
          <w:lang w:val="es-ES_tradnl"/>
        </w:rPr>
      </w:pPr>
      <w:r w:rsidRPr="00CD02A3">
        <w:rPr>
          <w:rFonts w:ascii="Book Antiqua" w:hAnsi="Book Antiqua"/>
          <w:bCs/>
          <w:lang w:val="es-ES_tradnl"/>
        </w:rPr>
        <w:t>Sección 3</w:t>
      </w:r>
      <w:r w:rsidR="000F2C99" w:rsidRPr="00CD02A3">
        <w:rPr>
          <w:rFonts w:ascii="Book Antiqua" w:hAnsi="Book Antiqua"/>
          <w:lang w:val="es-ES_tradnl"/>
        </w:rPr>
        <w:t xml:space="preserve">. </w:t>
      </w:r>
      <w:r w:rsidR="00724A68" w:rsidRPr="00CD02A3">
        <w:rPr>
          <w:rFonts w:ascii="Book Antiqua" w:hAnsi="Book Antiqua"/>
          <w:lang w:val="es-ES_tradnl"/>
        </w:rPr>
        <w:t xml:space="preserve">Durante el período de la moratoria, se ordena a la Autoridad de Carreteras y Transportación iniciar y conducir procesos de negociación con el concesionario correspondiente, dirigidos a la revisión de la fórmula de ajuste </w:t>
      </w:r>
      <w:r w:rsidR="00724A68" w:rsidRPr="00CD02A3">
        <w:rPr>
          <w:rFonts w:ascii="Book Antiqua" w:hAnsi="Book Antiqua"/>
          <w:lang w:val="es-ES_tradnl"/>
        </w:rPr>
        <w:lastRenderedPageBreak/>
        <w:t>automático actualmente utilizada, con el fin de identificar y evaluar alternativas que resulten equitativas, transparentes y sostenibles a largo plazo, en armonía con las protecciones contractuales y el interés público.</w:t>
      </w:r>
    </w:p>
    <w:p w14:paraId="0A9D83F8" w14:textId="2A7C7F87" w:rsidR="00724A68" w:rsidRPr="00CD02A3" w:rsidRDefault="00724A68" w:rsidP="00724A68">
      <w:pPr>
        <w:spacing w:line="480" w:lineRule="auto"/>
        <w:ind w:firstLine="720"/>
        <w:jc w:val="both"/>
        <w:rPr>
          <w:rFonts w:ascii="Book Antiqua" w:hAnsi="Book Antiqua"/>
          <w:lang w:val="es-ES_tradnl"/>
        </w:rPr>
      </w:pPr>
      <w:r w:rsidRPr="00CD02A3">
        <w:rPr>
          <w:rFonts w:ascii="Book Antiqua" w:hAnsi="Book Antiqua"/>
          <w:bCs/>
          <w:lang w:val="es-ES_tradnl"/>
        </w:rPr>
        <w:t>Sección 4</w:t>
      </w:r>
      <w:r w:rsidRPr="00CD02A3">
        <w:rPr>
          <w:rFonts w:ascii="Book Antiqua" w:hAnsi="Book Antiqua"/>
          <w:lang w:val="es-ES_tradnl"/>
        </w:rPr>
        <w:t>. La Autoridad de Carreteras y Transportación someterá un informe a la Cámara de Representantes y al Senado de P</w:t>
      </w:r>
      <w:r w:rsidR="008D0BB1">
        <w:rPr>
          <w:rFonts w:ascii="Book Antiqua" w:hAnsi="Book Antiqua"/>
          <w:lang w:val="es-ES_tradnl"/>
        </w:rPr>
        <w:t xml:space="preserve">uerto Rico, no más tarde de diez (10) </w:t>
      </w:r>
      <w:proofErr w:type="gramStart"/>
      <w:r w:rsidR="008D0BB1">
        <w:rPr>
          <w:rFonts w:ascii="Book Antiqua" w:hAnsi="Book Antiqua"/>
          <w:lang w:val="es-ES_tradnl"/>
        </w:rPr>
        <w:t>meses</w:t>
      </w:r>
      <w:r w:rsidRPr="00CD02A3">
        <w:rPr>
          <w:rFonts w:ascii="Book Antiqua" w:hAnsi="Book Antiqua"/>
          <w:lang w:val="es-ES_tradnl"/>
        </w:rPr>
        <w:t xml:space="preserve"> </w:t>
      </w:r>
      <w:r w:rsidR="008D0BB1">
        <w:rPr>
          <w:rFonts w:ascii="Book Antiqua" w:hAnsi="Book Antiqua"/>
          <w:lang w:val="es-ES_tradnl"/>
        </w:rPr>
        <w:t>previo</w:t>
      </w:r>
      <w:proofErr w:type="gramEnd"/>
      <w:r w:rsidR="008D0BB1">
        <w:rPr>
          <w:rFonts w:ascii="Book Antiqua" w:hAnsi="Book Antiqua"/>
          <w:lang w:val="es-ES_tradnl"/>
        </w:rPr>
        <w:t xml:space="preserve"> a concluir</w:t>
      </w:r>
      <w:r w:rsidRPr="00CD02A3">
        <w:rPr>
          <w:rFonts w:ascii="Book Antiqua" w:hAnsi="Book Antiqua"/>
          <w:lang w:val="es-ES_tradnl"/>
        </w:rPr>
        <w:t xml:space="preserve"> el término de la moratoria, en el que se detallen los hallazgos del análisis técnico realizado, el cumplimiento de los límites contractuales aplicables, el impacto económico evaluado y el estado de las negociaciones iniciadas, incluyendo recomendaciones de política pública, de ser necesarias.</w:t>
      </w:r>
    </w:p>
    <w:p w14:paraId="6B968933" w14:textId="25382EC3" w:rsidR="00724A68" w:rsidRPr="00CD02A3" w:rsidRDefault="00724A68" w:rsidP="00724A68">
      <w:pPr>
        <w:spacing w:line="480" w:lineRule="auto"/>
        <w:ind w:firstLine="720"/>
        <w:jc w:val="both"/>
        <w:rPr>
          <w:rFonts w:ascii="Book Antiqua" w:hAnsi="Book Antiqua"/>
          <w:lang w:val="es-ES_tradnl"/>
        </w:rPr>
      </w:pPr>
      <w:r w:rsidRPr="00CD02A3">
        <w:rPr>
          <w:rFonts w:ascii="Book Antiqua" w:hAnsi="Book Antiqua"/>
          <w:bCs/>
          <w:lang w:val="es-ES_tradnl"/>
        </w:rPr>
        <w:t>Sección 5</w:t>
      </w:r>
      <w:r w:rsidRPr="00CD02A3">
        <w:rPr>
          <w:rFonts w:ascii="Book Antiqua" w:hAnsi="Book Antiqua"/>
          <w:lang w:val="es-ES_tradnl"/>
        </w:rPr>
        <w:t>. Nada de lo dispuesto en esta Resolución Conjunta se interpretará como una limitación a la facultad de la Autoridad de Carreteras y Transportación para realizar ajustes, revisiones o determinaciones que resulten en beneficios o reducciones a favor de los usuarios, conforme a la ley, los contratos vigentes y el interés público.</w:t>
      </w:r>
    </w:p>
    <w:p w14:paraId="4C713FB9" w14:textId="6613AAF3" w:rsidR="00724A68" w:rsidRPr="00CD02A3" w:rsidRDefault="00724A68" w:rsidP="00F81A3B">
      <w:pPr>
        <w:spacing w:line="480" w:lineRule="auto"/>
        <w:ind w:firstLine="720"/>
        <w:jc w:val="both"/>
        <w:rPr>
          <w:rFonts w:ascii="Book Antiqua" w:hAnsi="Book Antiqua"/>
          <w:lang w:val="es-ES_tradnl"/>
        </w:rPr>
      </w:pPr>
      <w:r w:rsidRPr="00CD02A3">
        <w:rPr>
          <w:rFonts w:ascii="Book Antiqua" w:hAnsi="Book Antiqua"/>
          <w:bCs/>
          <w:lang w:val="es-ES_tradnl"/>
        </w:rPr>
        <w:t>Sección 6</w:t>
      </w:r>
      <w:r w:rsidRPr="00CD02A3">
        <w:rPr>
          <w:rFonts w:ascii="Book Antiqua" w:hAnsi="Book Antiqua"/>
          <w:lang w:val="es-ES_tradnl"/>
        </w:rPr>
        <w:t>. Esta Resolución Conjunta comenzará a regir inmediatamente después de su aprobación.</w:t>
      </w:r>
    </w:p>
    <w:sectPr w:rsidR="00724A68" w:rsidRPr="00CD02A3" w:rsidSect="0068719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58586" w14:textId="77777777" w:rsidR="00CD02A3" w:rsidRDefault="00CD02A3">
      <w:r>
        <w:separator/>
      </w:r>
    </w:p>
  </w:endnote>
  <w:endnote w:type="continuationSeparator" w:id="0">
    <w:p w14:paraId="0459C013" w14:textId="77777777" w:rsidR="00CD02A3" w:rsidRDefault="00CD0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3B409" w14:textId="77777777" w:rsidR="00CD02A3" w:rsidRDefault="00CD02A3">
      <w:r>
        <w:separator/>
      </w:r>
    </w:p>
  </w:footnote>
  <w:footnote w:type="continuationSeparator" w:id="0">
    <w:p w14:paraId="15E067C1" w14:textId="77777777" w:rsidR="00CD02A3" w:rsidRDefault="00CD02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EE656" w14:textId="4B0D83B1" w:rsidR="00CD02A3" w:rsidRDefault="00CD02A3">
    <w:pPr>
      <w:pStyle w:val="Header"/>
      <w:jc w:val="center"/>
    </w:pPr>
    <w:r>
      <w:rPr>
        <w:rStyle w:val="PageNumber"/>
      </w:rPr>
      <w:fldChar w:fldCharType="begin"/>
    </w:r>
    <w:r>
      <w:rPr>
        <w:rStyle w:val="PageNumber"/>
      </w:rPr>
      <w:instrText xml:space="preserve"> PAGE </w:instrText>
    </w:r>
    <w:r>
      <w:rPr>
        <w:rStyle w:val="PageNumber"/>
      </w:rPr>
      <w:fldChar w:fldCharType="separate"/>
    </w:r>
    <w:r w:rsidR="008D0BB1">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4F2765"/>
    <w:multiLevelType w:val="hybridMultilevel"/>
    <w:tmpl w:val="0486E7D4"/>
    <w:lvl w:ilvl="0" w:tplc="F9A24A84">
      <w:start w:val="1"/>
      <w:numFmt w:val="lowerLetter"/>
      <w:lvlText w:val="%1)"/>
      <w:lvlJc w:val="left"/>
      <w:pPr>
        <w:ind w:left="1780" w:hanging="10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617887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65C31"/>
    <w:rsid w:val="0001555B"/>
    <w:rsid w:val="00020BBB"/>
    <w:rsid w:val="000303B8"/>
    <w:rsid w:val="00043ACC"/>
    <w:rsid w:val="00044710"/>
    <w:rsid w:val="000503AD"/>
    <w:rsid w:val="000517D4"/>
    <w:rsid w:val="00056024"/>
    <w:rsid w:val="000652B0"/>
    <w:rsid w:val="00065C31"/>
    <w:rsid w:val="0007300A"/>
    <w:rsid w:val="00094ABF"/>
    <w:rsid w:val="00095AE1"/>
    <w:rsid w:val="00096821"/>
    <w:rsid w:val="00096F84"/>
    <w:rsid w:val="000A5A19"/>
    <w:rsid w:val="000A6B6C"/>
    <w:rsid w:val="000B06E0"/>
    <w:rsid w:val="000B0DBB"/>
    <w:rsid w:val="000B22C3"/>
    <w:rsid w:val="000B3A37"/>
    <w:rsid w:val="000C09DC"/>
    <w:rsid w:val="000C0BEB"/>
    <w:rsid w:val="000C5A9C"/>
    <w:rsid w:val="000D5172"/>
    <w:rsid w:val="000D547E"/>
    <w:rsid w:val="000D5896"/>
    <w:rsid w:val="000E422E"/>
    <w:rsid w:val="000E79F0"/>
    <w:rsid w:val="000F2C99"/>
    <w:rsid w:val="00105E03"/>
    <w:rsid w:val="001076E6"/>
    <w:rsid w:val="00110E54"/>
    <w:rsid w:val="00111E71"/>
    <w:rsid w:val="00126DA9"/>
    <w:rsid w:val="00127C6A"/>
    <w:rsid w:val="001363FE"/>
    <w:rsid w:val="0014151D"/>
    <w:rsid w:val="001441DF"/>
    <w:rsid w:val="00150E16"/>
    <w:rsid w:val="0016117E"/>
    <w:rsid w:val="00167CD5"/>
    <w:rsid w:val="0017132B"/>
    <w:rsid w:val="00175D66"/>
    <w:rsid w:val="00192B3B"/>
    <w:rsid w:val="001A4F6C"/>
    <w:rsid w:val="001A71E8"/>
    <w:rsid w:val="001B7C9C"/>
    <w:rsid w:val="001C2171"/>
    <w:rsid w:val="001C3E0E"/>
    <w:rsid w:val="001D3BCF"/>
    <w:rsid w:val="001D76E5"/>
    <w:rsid w:val="001D7D3C"/>
    <w:rsid w:val="001E2C09"/>
    <w:rsid w:val="001F02F8"/>
    <w:rsid w:val="001F4CA3"/>
    <w:rsid w:val="001F6103"/>
    <w:rsid w:val="001F612A"/>
    <w:rsid w:val="001F65A5"/>
    <w:rsid w:val="001F67D9"/>
    <w:rsid w:val="00206529"/>
    <w:rsid w:val="00211396"/>
    <w:rsid w:val="00212E38"/>
    <w:rsid w:val="00213D34"/>
    <w:rsid w:val="00224B36"/>
    <w:rsid w:val="00226AE6"/>
    <w:rsid w:val="00240645"/>
    <w:rsid w:val="00241BF8"/>
    <w:rsid w:val="00245B34"/>
    <w:rsid w:val="00247290"/>
    <w:rsid w:val="002500F2"/>
    <w:rsid w:val="00263355"/>
    <w:rsid w:val="00273175"/>
    <w:rsid w:val="00273792"/>
    <w:rsid w:val="002820A6"/>
    <w:rsid w:val="00282DB8"/>
    <w:rsid w:val="002874B1"/>
    <w:rsid w:val="00291903"/>
    <w:rsid w:val="0029196C"/>
    <w:rsid w:val="002A14EF"/>
    <w:rsid w:val="002A1DD2"/>
    <w:rsid w:val="002A4AFF"/>
    <w:rsid w:val="002A4E88"/>
    <w:rsid w:val="002B33FB"/>
    <w:rsid w:val="002B4E0B"/>
    <w:rsid w:val="002B621E"/>
    <w:rsid w:val="002B6400"/>
    <w:rsid w:val="002B6933"/>
    <w:rsid w:val="002B7F23"/>
    <w:rsid w:val="002D4AC8"/>
    <w:rsid w:val="002E08D2"/>
    <w:rsid w:val="002F0179"/>
    <w:rsid w:val="002F6434"/>
    <w:rsid w:val="00301FB6"/>
    <w:rsid w:val="003110D6"/>
    <w:rsid w:val="0031387A"/>
    <w:rsid w:val="00320D78"/>
    <w:rsid w:val="00322D5C"/>
    <w:rsid w:val="0032524E"/>
    <w:rsid w:val="0033576A"/>
    <w:rsid w:val="0034097B"/>
    <w:rsid w:val="003619E8"/>
    <w:rsid w:val="00367694"/>
    <w:rsid w:val="00380FE5"/>
    <w:rsid w:val="00391A2C"/>
    <w:rsid w:val="00391BA3"/>
    <w:rsid w:val="00392171"/>
    <w:rsid w:val="003924DD"/>
    <w:rsid w:val="00394FCB"/>
    <w:rsid w:val="003963F4"/>
    <w:rsid w:val="003A46F1"/>
    <w:rsid w:val="003A4B7B"/>
    <w:rsid w:val="003A658A"/>
    <w:rsid w:val="003B1B35"/>
    <w:rsid w:val="003B5254"/>
    <w:rsid w:val="003B6AB6"/>
    <w:rsid w:val="003B75A6"/>
    <w:rsid w:val="003C7F27"/>
    <w:rsid w:val="003D1B8F"/>
    <w:rsid w:val="003D4579"/>
    <w:rsid w:val="003E6D20"/>
    <w:rsid w:val="004046A2"/>
    <w:rsid w:val="004049B1"/>
    <w:rsid w:val="0040522D"/>
    <w:rsid w:val="004061CA"/>
    <w:rsid w:val="0040648D"/>
    <w:rsid w:val="00415689"/>
    <w:rsid w:val="00417E82"/>
    <w:rsid w:val="0042323E"/>
    <w:rsid w:val="004440CB"/>
    <w:rsid w:val="00452FF5"/>
    <w:rsid w:val="00454C8D"/>
    <w:rsid w:val="00455554"/>
    <w:rsid w:val="00464FBE"/>
    <w:rsid w:val="004713D2"/>
    <w:rsid w:val="004777FE"/>
    <w:rsid w:val="004851F6"/>
    <w:rsid w:val="004861A8"/>
    <w:rsid w:val="00486674"/>
    <w:rsid w:val="004904FD"/>
    <w:rsid w:val="00495329"/>
    <w:rsid w:val="004B665B"/>
    <w:rsid w:val="004D2B5D"/>
    <w:rsid w:val="004D3427"/>
    <w:rsid w:val="004E0302"/>
    <w:rsid w:val="004E0CC4"/>
    <w:rsid w:val="004E137A"/>
    <w:rsid w:val="004E3D06"/>
    <w:rsid w:val="004F45C7"/>
    <w:rsid w:val="004F4B54"/>
    <w:rsid w:val="004F62AF"/>
    <w:rsid w:val="004F77D6"/>
    <w:rsid w:val="00521639"/>
    <w:rsid w:val="00523847"/>
    <w:rsid w:val="00532BB7"/>
    <w:rsid w:val="005332E4"/>
    <w:rsid w:val="0053550C"/>
    <w:rsid w:val="005363F3"/>
    <w:rsid w:val="00551016"/>
    <w:rsid w:val="00555018"/>
    <w:rsid w:val="00555260"/>
    <w:rsid w:val="00561A14"/>
    <w:rsid w:val="005647C4"/>
    <w:rsid w:val="005723DC"/>
    <w:rsid w:val="00574765"/>
    <w:rsid w:val="00576D21"/>
    <w:rsid w:val="0058238A"/>
    <w:rsid w:val="00584B53"/>
    <w:rsid w:val="00584C18"/>
    <w:rsid w:val="005A1C31"/>
    <w:rsid w:val="005A5BF4"/>
    <w:rsid w:val="005C1445"/>
    <w:rsid w:val="005C16C0"/>
    <w:rsid w:val="005C48CB"/>
    <w:rsid w:val="005C740C"/>
    <w:rsid w:val="005C7897"/>
    <w:rsid w:val="005D5ADC"/>
    <w:rsid w:val="005E0BE0"/>
    <w:rsid w:val="005F399D"/>
    <w:rsid w:val="00600F79"/>
    <w:rsid w:val="00603058"/>
    <w:rsid w:val="00612EFA"/>
    <w:rsid w:val="00613AE5"/>
    <w:rsid w:val="006210DC"/>
    <w:rsid w:val="00623514"/>
    <w:rsid w:val="006248C6"/>
    <w:rsid w:val="006248CC"/>
    <w:rsid w:val="00624D60"/>
    <w:rsid w:val="00624EF3"/>
    <w:rsid w:val="0064349D"/>
    <w:rsid w:val="006444C5"/>
    <w:rsid w:val="006479B3"/>
    <w:rsid w:val="00653EED"/>
    <w:rsid w:val="0065431D"/>
    <w:rsid w:val="00663555"/>
    <w:rsid w:val="006761C6"/>
    <w:rsid w:val="00676D9D"/>
    <w:rsid w:val="00685445"/>
    <w:rsid w:val="00685549"/>
    <w:rsid w:val="006857C5"/>
    <w:rsid w:val="00687196"/>
    <w:rsid w:val="00694250"/>
    <w:rsid w:val="006966D1"/>
    <w:rsid w:val="00696F81"/>
    <w:rsid w:val="006B0587"/>
    <w:rsid w:val="006B317E"/>
    <w:rsid w:val="006B7365"/>
    <w:rsid w:val="006C2D81"/>
    <w:rsid w:val="006C441E"/>
    <w:rsid w:val="006C4C11"/>
    <w:rsid w:val="006C7DF8"/>
    <w:rsid w:val="006D4146"/>
    <w:rsid w:val="006D5605"/>
    <w:rsid w:val="006F060C"/>
    <w:rsid w:val="006F6BD9"/>
    <w:rsid w:val="00706789"/>
    <w:rsid w:val="00713D0D"/>
    <w:rsid w:val="00714D74"/>
    <w:rsid w:val="007159F3"/>
    <w:rsid w:val="00724A68"/>
    <w:rsid w:val="0073555A"/>
    <w:rsid w:val="00750FC8"/>
    <w:rsid w:val="007533D0"/>
    <w:rsid w:val="00755069"/>
    <w:rsid w:val="007570B3"/>
    <w:rsid w:val="00773723"/>
    <w:rsid w:val="00773C21"/>
    <w:rsid w:val="00774B77"/>
    <w:rsid w:val="0077602C"/>
    <w:rsid w:val="0078449D"/>
    <w:rsid w:val="00795CE1"/>
    <w:rsid w:val="007B0660"/>
    <w:rsid w:val="007B1DF7"/>
    <w:rsid w:val="007B5158"/>
    <w:rsid w:val="007C1416"/>
    <w:rsid w:val="007D6586"/>
    <w:rsid w:val="007D6BD2"/>
    <w:rsid w:val="007E2A7C"/>
    <w:rsid w:val="007E3868"/>
    <w:rsid w:val="00801258"/>
    <w:rsid w:val="0081087C"/>
    <w:rsid w:val="00812688"/>
    <w:rsid w:val="0081782A"/>
    <w:rsid w:val="00820C41"/>
    <w:rsid w:val="00826137"/>
    <w:rsid w:val="00833113"/>
    <w:rsid w:val="008371DE"/>
    <w:rsid w:val="0084159F"/>
    <w:rsid w:val="00845C2C"/>
    <w:rsid w:val="00850256"/>
    <w:rsid w:val="00850F49"/>
    <w:rsid w:val="00851AEC"/>
    <w:rsid w:val="008521FC"/>
    <w:rsid w:val="0085274E"/>
    <w:rsid w:val="00862754"/>
    <w:rsid w:val="00880DE3"/>
    <w:rsid w:val="00894472"/>
    <w:rsid w:val="008A1619"/>
    <w:rsid w:val="008B223D"/>
    <w:rsid w:val="008C49DC"/>
    <w:rsid w:val="008C76E8"/>
    <w:rsid w:val="008D0BB1"/>
    <w:rsid w:val="008D2897"/>
    <w:rsid w:val="00903B30"/>
    <w:rsid w:val="00905599"/>
    <w:rsid w:val="00907FC1"/>
    <w:rsid w:val="00911F6F"/>
    <w:rsid w:val="0091438D"/>
    <w:rsid w:val="009147A5"/>
    <w:rsid w:val="009176F8"/>
    <w:rsid w:val="009227C6"/>
    <w:rsid w:val="00935E19"/>
    <w:rsid w:val="0093686F"/>
    <w:rsid w:val="00942FD4"/>
    <w:rsid w:val="0095156F"/>
    <w:rsid w:val="00951997"/>
    <w:rsid w:val="00954861"/>
    <w:rsid w:val="009551EC"/>
    <w:rsid w:val="0096248F"/>
    <w:rsid w:val="009751E5"/>
    <w:rsid w:val="00986F21"/>
    <w:rsid w:val="00990352"/>
    <w:rsid w:val="009905F6"/>
    <w:rsid w:val="00995E2B"/>
    <w:rsid w:val="00997589"/>
    <w:rsid w:val="009A2568"/>
    <w:rsid w:val="009B692F"/>
    <w:rsid w:val="009B718D"/>
    <w:rsid w:val="009D1A9C"/>
    <w:rsid w:val="009D6B56"/>
    <w:rsid w:val="009D795B"/>
    <w:rsid w:val="009E7BDE"/>
    <w:rsid w:val="009F02E0"/>
    <w:rsid w:val="009F7891"/>
    <w:rsid w:val="00A03405"/>
    <w:rsid w:val="00A06133"/>
    <w:rsid w:val="00A1528A"/>
    <w:rsid w:val="00A254DE"/>
    <w:rsid w:val="00A33918"/>
    <w:rsid w:val="00A36C54"/>
    <w:rsid w:val="00A479E6"/>
    <w:rsid w:val="00A55285"/>
    <w:rsid w:val="00A64427"/>
    <w:rsid w:val="00A67F63"/>
    <w:rsid w:val="00A714C5"/>
    <w:rsid w:val="00A74F9F"/>
    <w:rsid w:val="00A7629F"/>
    <w:rsid w:val="00A85A94"/>
    <w:rsid w:val="00A867C2"/>
    <w:rsid w:val="00A942DA"/>
    <w:rsid w:val="00AB5652"/>
    <w:rsid w:val="00AC0B00"/>
    <w:rsid w:val="00AC2D66"/>
    <w:rsid w:val="00AD0AFD"/>
    <w:rsid w:val="00AD2C88"/>
    <w:rsid w:val="00AE1FB9"/>
    <w:rsid w:val="00AF0CEE"/>
    <w:rsid w:val="00AF46E3"/>
    <w:rsid w:val="00AF7F3C"/>
    <w:rsid w:val="00B070A5"/>
    <w:rsid w:val="00B1672B"/>
    <w:rsid w:val="00B234AB"/>
    <w:rsid w:val="00B357A3"/>
    <w:rsid w:val="00B55192"/>
    <w:rsid w:val="00B561A6"/>
    <w:rsid w:val="00B57FC7"/>
    <w:rsid w:val="00B6251C"/>
    <w:rsid w:val="00B636CC"/>
    <w:rsid w:val="00B667AD"/>
    <w:rsid w:val="00B74EB0"/>
    <w:rsid w:val="00B84C38"/>
    <w:rsid w:val="00B86C00"/>
    <w:rsid w:val="00B947F6"/>
    <w:rsid w:val="00BA35D1"/>
    <w:rsid w:val="00BB5C6A"/>
    <w:rsid w:val="00BD2FBA"/>
    <w:rsid w:val="00BF16AA"/>
    <w:rsid w:val="00BF6AE9"/>
    <w:rsid w:val="00BF71DF"/>
    <w:rsid w:val="00C016E5"/>
    <w:rsid w:val="00C02631"/>
    <w:rsid w:val="00C077C4"/>
    <w:rsid w:val="00C354B8"/>
    <w:rsid w:val="00C362A1"/>
    <w:rsid w:val="00C44A9C"/>
    <w:rsid w:val="00C47818"/>
    <w:rsid w:val="00C52517"/>
    <w:rsid w:val="00C60921"/>
    <w:rsid w:val="00C60E53"/>
    <w:rsid w:val="00C62936"/>
    <w:rsid w:val="00C653F2"/>
    <w:rsid w:val="00C65B60"/>
    <w:rsid w:val="00C679E6"/>
    <w:rsid w:val="00C85945"/>
    <w:rsid w:val="00C875F2"/>
    <w:rsid w:val="00C90013"/>
    <w:rsid w:val="00C908F9"/>
    <w:rsid w:val="00C93121"/>
    <w:rsid w:val="00C96C45"/>
    <w:rsid w:val="00CA0917"/>
    <w:rsid w:val="00CA1099"/>
    <w:rsid w:val="00CA5334"/>
    <w:rsid w:val="00CA7433"/>
    <w:rsid w:val="00CB2E31"/>
    <w:rsid w:val="00CB6EDF"/>
    <w:rsid w:val="00CC74AD"/>
    <w:rsid w:val="00CD02A3"/>
    <w:rsid w:val="00CE76C7"/>
    <w:rsid w:val="00CF77E0"/>
    <w:rsid w:val="00CF7F4F"/>
    <w:rsid w:val="00D02EB2"/>
    <w:rsid w:val="00D04261"/>
    <w:rsid w:val="00D07D08"/>
    <w:rsid w:val="00D11F83"/>
    <w:rsid w:val="00D13BA3"/>
    <w:rsid w:val="00D156C1"/>
    <w:rsid w:val="00D170A9"/>
    <w:rsid w:val="00D216E9"/>
    <w:rsid w:val="00D21827"/>
    <w:rsid w:val="00D2256E"/>
    <w:rsid w:val="00D2410E"/>
    <w:rsid w:val="00D246C8"/>
    <w:rsid w:val="00D33DE3"/>
    <w:rsid w:val="00D417C2"/>
    <w:rsid w:val="00D457CE"/>
    <w:rsid w:val="00D507D2"/>
    <w:rsid w:val="00D527FC"/>
    <w:rsid w:val="00D60936"/>
    <w:rsid w:val="00D64229"/>
    <w:rsid w:val="00D65EF3"/>
    <w:rsid w:val="00D6661F"/>
    <w:rsid w:val="00D709EB"/>
    <w:rsid w:val="00D740AD"/>
    <w:rsid w:val="00D74714"/>
    <w:rsid w:val="00D80832"/>
    <w:rsid w:val="00D82F3F"/>
    <w:rsid w:val="00D921C6"/>
    <w:rsid w:val="00D958C2"/>
    <w:rsid w:val="00D95E2A"/>
    <w:rsid w:val="00DA55BD"/>
    <w:rsid w:val="00DA77F1"/>
    <w:rsid w:val="00DC305E"/>
    <w:rsid w:val="00DC33AD"/>
    <w:rsid w:val="00DC5E55"/>
    <w:rsid w:val="00DC6083"/>
    <w:rsid w:val="00DD43A7"/>
    <w:rsid w:val="00DE331A"/>
    <w:rsid w:val="00DF2C69"/>
    <w:rsid w:val="00E00E8F"/>
    <w:rsid w:val="00E03FA1"/>
    <w:rsid w:val="00E03FBF"/>
    <w:rsid w:val="00E04AB5"/>
    <w:rsid w:val="00E12F15"/>
    <w:rsid w:val="00E13196"/>
    <w:rsid w:val="00E328E5"/>
    <w:rsid w:val="00E50EEA"/>
    <w:rsid w:val="00E51135"/>
    <w:rsid w:val="00E51865"/>
    <w:rsid w:val="00E52F58"/>
    <w:rsid w:val="00E54F17"/>
    <w:rsid w:val="00E550AA"/>
    <w:rsid w:val="00E84E5C"/>
    <w:rsid w:val="00E865ED"/>
    <w:rsid w:val="00E9174E"/>
    <w:rsid w:val="00E95321"/>
    <w:rsid w:val="00EA017B"/>
    <w:rsid w:val="00EA2A6B"/>
    <w:rsid w:val="00EA352C"/>
    <w:rsid w:val="00EB0CC1"/>
    <w:rsid w:val="00EB33ED"/>
    <w:rsid w:val="00EB7276"/>
    <w:rsid w:val="00EC26AA"/>
    <w:rsid w:val="00ED6561"/>
    <w:rsid w:val="00ED7A53"/>
    <w:rsid w:val="00EE1D4F"/>
    <w:rsid w:val="00EE4273"/>
    <w:rsid w:val="00EF49F1"/>
    <w:rsid w:val="00F0145F"/>
    <w:rsid w:val="00F02004"/>
    <w:rsid w:val="00F042CB"/>
    <w:rsid w:val="00F04D40"/>
    <w:rsid w:val="00F1055A"/>
    <w:rsid w:val="00F12391"/>
    <w:rsid w:val="00F1289F"/>
    <w:rsid w:val="00F25696"/>
    <w:rsid w:val="00F337D2"/>
    <w:rsid w:val="00F4372A"/>
    <w:rsid w:val="00F466D1"/>
    <w:rsid w:val="00F60A20"/>
    <w:rsid w:val="00F746A7"/>
    <w:rsid w:val="00F81A3B"/>
    <w:rsid w:val="00F841ED"/>
    <w:rsid w:val="00F842FD"/>
    <w:rsid w:val="00F94024"/>
    <w:rsid w:val="00F9774F"/>
    <w:rsid w:val="00FA0A52"/>
    <w:rsid w:val="00FA7B21"/>
    <w:rsid w:val="00FC0A95"/>
    <w:rsid w:val="00FC100C"/>
    <w:rsid w:val="00FC2E19"/>
    <w:rsid w:val="00FC2E84"/>
    <w:rsid w:val="00FC3D9C"/>
    <w:rsid w:val="00FC53D1"/>
    <w:rsid w:val="00FC5B84"/>
    <w:rsid w:val="00FF0153"/>
    <w:rsid w:val="00FF2916"/>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03EA5A"/>
  <w15:docId w15:val="{7127F0BC-10B4-468D-8B2C-31781138B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07300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300A"/>
    <w:rPr>
      <w:rFonts w:ascii="Segoe UI" w:hAnsi="Segoe UI" w:cs="Segoe UI"/>
      <w:sz w:val="18"/>
      <w:szCs w:val="18"/>
    </w:rPr>
  </w:style>
  <w:style w:type="character" w:styleId="Hyperlink">
    <w:name w:val="Hyperlink"/>
    <w:basedOn w:val="DefaultParagraphFont"/>
    <w:uiPriority w:val="99"/>
    <w:unhideWhenUsed/>
    <w:rsid w:val="00DA77F1"/>
    <w:rPr>
      <w:color w:val="0563C1" w:themeColor="hyperlink"/>
      <w:u w:val="single"/>
    </w:rPr>
  </w:style>
  <w:style w:type="character" w:styleId="FollowedHyperlink">
    <w:name w:val="FollowedHyperlink"/>
    <w:basedOn w:val="DefaultParagraphFont"/>
    <w:uiPriority w:val="99"/>
    <w:semiHidden/>
    <w:unhideWhenUsed/>
    <w:rsid w:val="00DA77F1"/>
    <w:rPr>
      <w:color w:val="954F72" w:themeColor="followedHyperlink"/>
      <w:u w:val="single"/>
    </w:rPr>
  </w:style>
  <w:style w:type="character" w:styleId="Strong">
    <w:name w:val="Strong"/>
    <w:basedOn w:val="DefaultParagraphFont"/>
    <w:uiPriority w:val="22"/>
    <w:qFormat/>
    <w:rsid w:val="00DA77F1"/>
    <w:rPr>
      <w:b/>
      <w:bCs/>
    </w:rPr>
  </w:style>
  <w:style w:type="paragraph" w:styleId="ListParagraph">
    <w:name w:val="List Paragraph"/>
    <w:basedOn w:val="Normal"/>
    <w:uiPriority w:val="34"/>
    <w:qFormat/>
    <w:rsid w:val="000517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1851">
      <w:bodyDiv w:val="1"/>
      <w:marLeft w:val="0"/>
      <w:marRight w:val="0"/>
      <w:marTop w:val="0"/>
      <w:marBottom w:val="0"/>
      <w:divBdr>
        <w:top w:val="none" w:sz="0" w:space="0" w:color="auto"/>
        <w:left w:val="none" w:sz="0" w:space="0" w:color="auto"/>
        <w:bottom w:val="none" w:sz="0" w:space="0" w:color="auto"/>
        <w:right w:val="none" w:sz="0" w:space="0" w:color="auto"/>
      </w:divBdr>
    </w:div>
    <w:div w:id="19356273">
      <w:bodyDiv w:val="1"/>
      <w:marLeft w:val="0"/>
      <w:marRight w:val="0"/>
      <w:marTop w:val="0"/>
      <w:marBottom w:val="0"/>
      <w:divBdr>
        <w:top w:val="none" w:sz="0" w:space="0" w:color="auto"/>
        <w:left w:val="none" w:sz="0" w:space="0" w:color="auto"/>
        <w:bottom w:val="none" w:sz="0" w:space="0" w:color="auto"/>
        <w:right w:val="none" w:sz="0" w:space="0" w:color="auto"/>
      </w:divBdr>
    </w:div>
    <w:div w:id="45298757">
      <w:bodyDiv w:val="1"/>
      <w:marLeft w:val="0"/>
      <w:marRight w:val="0"/>
      <w:marTop w:val="0"/>
      <w:marBottom w:val="0"/>
      <w:divBdr>
        <w:top w:val="none" w:sz="0" w:space="0" w:color="auto"/>
        <w:left w:val="none" w:sz="0" w:space="0" w:color="auto"/>
        <w:bottom w:val="none" w:sz="0" w:space="0" w:color="auto"/>
        <w:right w:val="none" w:sz="0" w:space="0" w:color="auto"/>
      </w:divBdr>
    </w:div>
    <w:div w:id="49110695">
      <w:bodyDiv w:val="1"/>
      <w:marLeft w:val="0"/>
      <w:marRight w:val="0"/>
      <w:marTop w:val="0"/>
      <w:marBottom w:val="0"/>
      <w:divBdr>
        <w:top w:val="none" w:sz="0" w:space="0" w:color="auto"/>
        <w:left w:val="none" w:sz="0" w:space="0" w:color="auto"/>
        <w:bottom w:val="none" w:sz="0" w:space="0" w:color="auto"/>
        <w:right w:val="none" w:sz="0" w:space="0" w:color="auto"/>
      </w:divBdr>
    </w:div>
    <w:div w:id="58065073">
      <w:bodyDiv w:val="1"/>
      <w:marLeft w:val="0"/>
      <w:marRight w:val="0"/>
      <w:marTop w:val="0"/>
      <w:marBottom w:val="0"/>
      <w:divBdr>
        <w:top w:val="none" w:sz="0" w:space="0" w:color="auto"/>
        <w:left w:val="none" w:sz="0" w:space="0" w:color="auto"/>
        <w:bottom w:val="none" w:sz="0" w:space="0" w:color="auto"/>
        <w:right w:val="none" w:sz="0" w:space="0" w:color="auto"/>
      </w:divBdr>
    </w:div>
    <w:div w:id="106434263">
      <w:bodyDiv w:val="1"/>
      <w:marLeft w:val="0"/>
      <w:marRight w:val="0"/>
      <w:marTop w:val="0"/>
      <w:marBottom w:val="0"/>
      <w:divBdr>
        <w:top w:val="none" w:sz="0" w:space="0" w:color="auto"/>
        <w:left w:val="none" w:sz="0" w:space="0" w:color="auto"/>
        <w:bottom w:val="none" w:sz="0" w:space="0" w:color="auto"/>
        <w:right w:val="none" w:sz="0" w:space="0" w:color="auto"/>
      </w:divBdr>
    </w:div>
    <w:div w:id="108016408">
      <w:bodyDiv w:val="1"/>
      <w:marLeft w:val="0"/>
      <w:marRight w:val="0"/>
      <w:marTop w:val="0"/>
      <w:marBottom w:val="0"/>
      <w:divBdr>
        <w:top w:val="none" w:sz="0" w:space="0" w:color="auto"/>
        <w:left w:val="none" w:sz="0" w:space="0" w:color="auto"/>
        <w:bottom w:val="none" w:sz="0" w:space="0" w:color="auto"/>
        <w:right w:val="none" w:sz="0" w:space="0" w:color="auto"/>
      </w:divBdr>
    </w:div>
    <w:div w:id="141117393">
      <w:bodyDiv w:val="1"/>
      <w:marLeft w:val="0"/>
      <w:marRight w:val="0"/>
      <w:marTop w:val="0"/>
      <w:marBottom w:val="0"/>
      <w:divBdr>
        <w:top w:val="none" w:sz="0" w:space="0" w:color="auto"/>
        <w:left w:val="none" w:sz="0" w:space="0" w:color="auto"/>
        <w:bottom w:val="none" w:sz="0" w:space="0" w:color="auto"/>
        <w:right w:val="none" w:sz="0" w:space="0" w:color="auto"/>
      </w:divBdr>
    </w:div>
    <w:div w:id="206065705">
      <w:bodyDiv w:val="1"/>
      <w:marLeft w:val="0"/>
      <w:marRight w:val="0"/>
      <w:marTop w:val="0"/>
      <w:marBottom w:val="0"/>
      <w:divBdr>
        <w:top w:val="none" w:sz="0" w:space="0" w:color="auto"/>
        <w:left w:val="none" w:sz="0" w:space="0" w:color="auto"/>
        <w:bottom w:val="none" w:sz="0" w:space="0" w:color="auto"/>
        <w:right w:val="none" w:sz="0" w:space="0" w:color="auto"/>
      </w:divBdr>
    </w:div>
    <w:div w:id="224075025">
      <w:bodyDiv w:val="1"/>
      <w:marLeft w:val="0"/>
      <w:marRight w:val="0"/>
      <w:marTop w:val="0"/>
      <w:marBottom w:val="0"/>
      <w:divBdr>
        <w:top w:val="none" w:sz="0" w:space="0" w:color="auto"/>
        <w:left w:val="none" w:sz="0" w:space="0" w:color="auto"/>
        <w:bottom w:val="none" w:sz="0" w:space="0" w:color="auto"/>
        <w:right w:val="none" w:sz="0" w:space="0" w:color="auto"/>
      </w:divBdr>
    </w:div>
    <w:div w:id="243760078">
      <w:bodyDiv w:val="1"/>
      <w:marLeft w:val="0"/>
      <w:marRight w:val="0"/>
      <w:marTop w:val="0"/>
      <w:marBottom w:val="0"/>
      <w:divBdr>
        <w:top w:val="none" w:sz="0" w:space="0" w:color="auto"/>
        <w:left w:val="none" w:sz="0" w:space="0" w:color="auto"/>
        <w:bottom w:val="none" w:sz="0" w:space="0" w:color="auto"/>
        <w:right w:val="none" w:sz="0" w:space="0" w:color="auto"/>
      </w:divBdr>
    </w:div>
    <w:div w:id="278219100">
      <w:bodyDiv w:val="1"/>
      <w:marLeft w:val="0"/>
      <w:marRight w:val="0"/>
      <w:marTop w:val="0"/>
      <w:marBottom w:val="0"/>
      <w:divBdr>
        <w:top w:val="none" w:sz="0" w:space="0" w:color="auto"/>
        <w:left w:val="none" w:sz="0" w:space="0" w:color="auto"/>
        <w:bottom w:val="none" w:sz="0" w:space="0" w:color="auto"/>
        <w:right w:val="none" w:sz="0" w:space="0" w:color="auto"/>
      </w:divBdr>
    </w:div>
    <w:div w:id="316110269">
      <w:bodyDiv w:val="1"/>
      <w:marLeft w:val="0"/>
      <w:marRight w:val="0"/>
      <w:marTop w:val="0"/>
      <w:marBottom w:val="0"/>
      <w:divBdr>
        <w:top w:val="none" w:sz="0" w:space="0" w:color="auto"/>
        <w:left w:val="none" w:sz="0" w:space="0" w:color="auto"/>
        <w:bottom w:val="none" w:sz="0" w:space="0" w:color="auto"/>
        <w:right w:val="none" w:sz="0" w:space="0" w:color="auto"/>
      </w:divBdr>
    </w:div>
    <w:div w:id="452870411">
      <w:bodyDiv w:val="1"/>
      <w:marLeft w:val="0"/>
      <w:marRight w:val="0"/>
      <w:marTop w:val="0"/>
      <w:marBottom w:val="0"/>
      <w:divBdr>
        <w:top w:val="none" w:sz="0" w:space="0" w:color="auto"/>
        <w:left w:val="none" w:sz="0" w:space="0" w:color="auto"/>
        <w:bottom w:val="none" w:sz="0" w:space="0" w:color="auto"/>
        <w:right w:val="none" w:sz="0" w:space="0" w:color="auto"/>
      </w:divBdr>
    </w:div>
    <w:div w:id="526329880">
      <w:bodyDiv w:val="1"/>
      <w:marLeft w:val="0"/>
      <w:marRight w:val="0"/>
      <w:marTop w:val="0"/>
      <w:marBottom w:val="0"/>
      <w:divBdr>
        <w:top w:val="none" w:sz="0" w:space="0" w:color="auto"/>
        <w:left w:val="none" w:sz="0" w:space="0" w:color="auto"/>
        <w:bottom w:val="none" w:sz="0" w:space="0" w:color="auto"/>
        <w:right w:val="none" w:sz="0" w:space="0" w:color="auto"/>
      </w:divBdr>
    </w:div>
    <w:div w:id="565839515">
      <w:bodyDiv w:val="1"/>
      <w:marLeft w:val="0"/>
      <w:marRight w:val="0"/>
      <w:marTop w:val="0"/>
      <w:marBottom w:val="0"/>
      <w:divBdr>
        <w:top w:val="none" w:sz="0" w:space="0" w:color="auto"/>
        <w:left w:val="none" w:sz="0" w:space="0" w:color="auto"/>
        <w:bottom w:val="none" w:sz="0" w:space="0" w:color="auto"/>
        <w:right w:val="none" w:sz="0" w:space="0" w:color="auto"/>
      </w:divBdr>
    </w:div>
    <w:div w:id="575630835">
      <w:bodyDiv w:val="1"/>
      <w:marLeft w:val="0"/>
      <w:marRight w:val="0"/>
      <w:marTop w:val="0"/>
      <w:marBottom w:val="0"/>
      <w:divBdr>
        <w:top w:val="none" w:sz="0" w:space="0" w:color="auto"/>
        <w:left w:val="none" w:sz="0" w:space="0" w:color="auto"/>
        <w:bottom w:val="none" w:sz="0" w:space="0" w:color="auto"/>
        <w:right w:val="none" w:sz="0" w:space="0" w:color="auto"/>
      </w:divBdr>
    </w:div>
    <w:div w:id="614017704">
      <w:bodyDiv w:val="1"/>
      <w:marLeft w:val="0"/>
      <w:marRight w:val="0"/>
      <w:marTop w:val="0"/>
      <w:marBottom w:val="0"/>
      <w:divBdr>
        <w:top w:val="none" w:sz="0" w:space="0" w:color="auto"/>
        <w:left w:val="none" w:sz="0" w:space="0" w:color="auto"/>
        <w:bottom w:val="none" w:sz="0" w:space="0" w:color="auto"/>
        <w:right w:val="none" w:sz="0" w:space="0" w:color="auto"/>
      </w:divBdr>
    </w:div>
    <w:div w:id="650333431">
      <w:bodyDiv w:val="1"/>
      <w:marLeft w:val="0"/>
      <w:marRight w:val="0"/>
      <w:marTop w:val="0"/>
      <w:marBottom w:val="0"/>
      <w:divBdr>
        <w:top w:val="none" w:sz="0" w:space="0" w:color="auto"/>
        <w:left w:val="none" w:sz="0" w:space="0" w:color="auto"/>
        <w:bottom w:val="none" w:sz="0" w:space="0" w:color="auto"/>
        <w:right w:val="none" w:sz="0" w:space="0" w:color="auto"/>
      </w:divBdr>
    </w:div>
    <w:div w:id="701133553">
      <w:bodyDiv w:val="1"/>
      <w:marLeft w:val="0"/>
      <w:marRight w:val="0"/>
      <w:marTop w:val="0"/>
      <w:marBottom w:val="0"/>
      <w:divBdr>
        <w:top w:val="none" w:sz="0" w:space="0" w:color="auto"/>
        <w:left w:val="none" w:sz="0" w:space="0" w:color="auto"/>
        <w:bottom w:val="none" w:sz="0" w:space="0" w:color="auto"/>
        <w:right w:val="none" w:sz="0" w:space="0" w:color="auto"/>
      </w:divBdr>
    </w:div>
    <w:div w:id="704986425">
      <w:bodyDiv w:val="1"/>
      <w:marLeft w:val="0"/>
      <w:marRight w:val="0"/>
      <w:marTop w:val="0"/>
      <w:marBottom w:val="0"/>
      <w:divBdr>
        <w:top w:val="none" w:sz="0" w:space="0" w:color="auto"/>
        <w:left w:val="none" w:sz="0" w:space="0" w:color="auto"/>
        <w:bottom w:val="none" w:sz="0" w:space="0" w:color="auto"/>
        <w:right w:val="none" w:sz="0" w:space="0" w:color="auto"/>
      </w:divBdr>
    </w:div>
    <w:div w:id="725492423">
      <w:bodyDiv w:val="1"/>
      <w:marLeft w:val="0"/>
      <w:marRight w:val="0"/>
      <w:marTop w:val="0"/>
      <w:marBottom w:val="0"/>
      <w:divBdr>
        <w:top w:val="none" w:sz="0" w:space="0" w:color="auto"/>
        <w:left w:val="none" w:sz="0" w:space="0" w:color="auto"/>
        <w:bottom w:val="none" w:sz="0" w:space="0" w:color="auto"/>
        <w:right w:val="none" w:sz="0" w:space="0" w:color="auto"/>
      </w:divBdr>
    </w:div>
    <w:div w:id="734859779">
      <w:bodyDiv w:val="1"/>
      <w:marLeft w:val="0"/>
      <w:marRight w:val="0"/>
      <w:marTop w:val="0"/>
      <w:marBottom w:val="0"/>
      <w:divBdr>
        <w:top w:val="none" w:sz="0" w:space="0" w:color="auto"/>
        <w:left w:val="none" w:sz="0" w:space="0" w:color="auto"/>
        <w:bottom w:val="none" w:sz="0" w:space="0" w:color="auto"/>
        <w:right w:val="none" w:sz="0" w:space="0" w:color="auto"/>
      </w:divBdr>
    </w:div>
    <w:div w:id="750657876">
      <w:bodyDiv w:val="1"/>
      <w:marLeft w:val="0"/>
      <w:marRight w:val="0"/>
      <w:marTop w:val="0"/>
      <w:marBottom w:val="0"/>
      <w:divBdr>
        <w:top w:val="none" w:sz="0" w:space="0" w:color="auto"/>
        <w:left w:val="none" w:sz="0" w:space="0" w:color="auto"/>
        <w:bottom w:val="none" w:sz="0" w:space="0" w:color="auto"/>
        <w:right w:val="none" w:sz="0" w:space="0" w:color="auto"/>
      </w:divBdr>
    </w:div>
    <w:div w:id="801465889">
      <w:bodyDiv w:val="1"/>
      <w:marLeft w:val="0"/>
      <w:marRight w:val="0"/>
      <w:marTop w:val="0"/>
      <w:marBottom w:val="0"/>
      <w:divBdr>
        <w:top w:val="none" w:sz="0" w:space="0" w:color="auto"/>
        <w:left w:val="none" w:sz="0" w:space="0" w:color="auto"/>
        <w:bottom w:val="none" w:sz="0" w:space="0" w:color="auto"/>
        <w:right w:val="none" w:sz="0" w:space="0" w:color="auto"/>
      </w:divBdr>
    </w:div>
    <w:div w:id="805703225">
      <w:bodyDiv w:val="1"/>
      <w:marLeft w:val="0"/>
      <w:marRight w:val="0"/>
      <w:marTop w:val="0"/>
      <w:marBottom w:val="0"/>
      <w:divBdr>
        <w:top w:val="none" w:sz="0" w:space="0" w:color="auto"/>
        <w:left w:val="none" w:sz="0" w:space="0" w:color="auto"/>
        <w:bottom w:val="none" w:sz="0" w:space="0" w:color="auto"/>
        <w:right w:val="none" w:sz="0" w:space="0" w:color="auto"/>
      </w:divBdr>
    </w:div>
    <w:div w:id="825437041">
      <w:bodyDiv w:val="1"/>
      <w:marLeft w:val="0"/>
      <w:marRight w:val="0"/>
      <w:marTop w:val="0"/>
      <w:marBottom w:val="0"/>
      <w:divBdr>
        <w:top w:val="none" w:sz="0" w:space="0" w:color="auto"/>
        <w:left w:val="none" w:sz="0" w:space="0" w:color="auto"/>
        <w:bottom w:val="none" w:sz="0" w:space="0" w:color="auto"/>
        <w:right w:val="none" w:sz="0" w:space="0" w:color="auto"/>
      </w:divBdr>
    </w:div>
    <w:div w:id="857541801">
      <w:bodyDiv w:val="1"/>
      <w:marLeft w:val="0"/>
      <w:marRight w:val="0"/>
      <w:marTop w:val="0"/>
      <w:marBottom w:val="0"/>
      <w:divBdr>
        <w:top w:val="none" w:sz="0" w:space="0" w:color="auto"/>
        <w:left w:val="none" w:sz="0" w:space="0" w:color="auto"/>
        <w:bottom w:val="none" w:sz="0" w:space="0" w:color="auto"/>
        <w:right w:val="none" w:sz="0" w:space="0" w:color="auto"/>
      </w:divBdr>
    </w:div>
    <w:div w:id="864054413">
      <w:bodyDiv w:val="1"/>
      <w:marLeft w:val="0"/>
      <w:marRight w:val="0"/>
      <w:marTop w:val="0"/>
      <w:marBottom w:val="0"/>
      <w:divBdr>
        <w:top w:val="none" w:sz="0" w:space="0" w:color="auto"/>
        <w:left w:val="none" w:sz="0" w:space="0" w:color="auto"/>
        <w:bottom w:val="none" w:sz="0" w:space="0" w:color="auto"/>
        <w:right w:val="none" w:sz="0" w:space="0" w:color="auto"/>
      </w:divBdr>
    </w:div>
    <w:div w:id="880365570">
      <w:bodyDiv w:val="1"/>
      <w:marLeft w:val="0"/>
      <w:marRight w:val="0"/>
      <w:marTop w:val="0"/>
      <w:marBottom w:val="0"/>
      <w:divBdr>
        <w:top w:val="none" w:sz="0" w:space="0" w:color="auto"/>
        <w:left w:val="none" w:sz="0" w:space="0" w:color="auto"/>
        <w:bottom w:val="none" w:sz="0" w:space="0" w:color="auto"/>
        <w:right w:val="none" w:sz="0" w:space="0" w:color="auto"/>
      </w:divBdr>
    </w:div>
    <w:div w:id="882405230">
      <w:bodyDiv w:val="1"/>
      <w:marLeft w:val="0"/>
      <w:marRight w:val="0"/>
      <w:marTop w:val="0"/>
      <w:marBottom w:val="0"/>
      <w:divBdr>
        <w:top w:val="none" w:sz="0" w:space="0" w:color="auto"/>
        <w:left w:val="none" w:sz="0" w:space="0" w:color="auto"/>
        <w:bottom w:val="none" w:sz="0" w:space="0" w:color="auto"/>
        <w:right w:val="none" w:sz="0" w:space="0" w:color="auto"/>
      </w:divBdr>
    </w:div>
    <w:div w:id="909653969">
      <w:bodyDiv w:val="1"/>
      <w:marLeft w:val="0"/>
      <w:marRight w:val="0"/>
      <w:marTop w:val="0"/>
      <w:marBottom w:val="0"/>
      <w:divBdr>
        <w:top w:val="none" w:sz="0" w:space="0" w:color="auto"/>
        <w:left w:val="none" w:sz="0" w:space="0" w:color="auto"/>
        <w:bottom w:val="none" w:sz="0" w:space="0" w:color="auto"/>
        <w:right w:val="none" w:sz="0" w:space="0" w:color="auto"/>
      </w:divBdr>
    </w:div>
    <w:div w:id="1019042909">
      <w:bodyDiv w:val="1"/>
      <w:marLeft w:val="0"/>
      <w:marRight w:val="0"/>
      <w:marTop w:val="0"/>
      <w:marBottom w:val="0"/>
      <w:divBdr>
        <w:top w:val="none" w:sz="0" w:space="0" w:color="auto"/>
        <w:left w:val="none" w:sz="0" w:space="0" w:color="auto"/>
        <w:bottom w:val="none" w:sz="0" w:space="0" w:color="auto"/>
        <w:right w:val="none" w:sz="0" w:space="0" w:color="auto"/>
      </w:divBdr>
    </w:div>
    <w:div w:id="1065647872">
      <w:bodyDiv w:val="1"/>
      <w:marLeft w:val="0"/>
      <w:marRight w:val="0"/>
      <w:marTop w:val="0"/>
      <w:marBottom w:val="0"/>
      <w:divBdr>
        <w:top w:val="none" w:sz="0" w:space="0" w:color="auto"/>
        <w:left w:val="none" w:sz="0" w:space="0" w:color="auto"/>
        <w:bottom w:val="none" w:sz="0" w:space="0" w:color="auto"/>
        <w:right w:val="none" w:sz="0" w:space="0" w:color="auto"/>
      </w:divBdr>
    </w:div>
    <w:div w:id="1175262423">
      <w:bodyDiv w:val="1"/>
      <w:marLeft w:val="0"/>
      <w:marRight w:val="0"/>
      <w:marTop w:val="0"/>
      <w:marBottom w:val="0"/>
      <w:divBdr>
        <w:top w:val="none" w:sz="0" w:space="0" w:color="auto"/>
        <w:left w:val="none" w:sz="0" w:space="0" w:color="auto"/>
        <w:bottom w:val="none" w:sz="0" w:space="0" w:color="auto"/>
        <w:right w:val="none" w:sz="0" w:space="0" w:color="auto"/>
      </w:divBdr>
    </w:div>
    <w:div w:id="1191996103">
      <w:bodyDiv w:val="1"/>
      <w:marLeft w:val="0"/>
      <w:marRight w:val="0"/>
      <w:marTop w:val="0"/>
      <w:marBottom w:val="0"/>
      <w:divBdr>
        <w:top w:val="none" w:sz="0" w:space="0" w:color="auto"/>
        <w:left w:val="none" w:sz="0" w:space="0" w:color="auto"/>
        <w:bottom w:val="none" w:sz="0" w:space="0" w:color="auto"/>
        <w:right w:val="none" w:sz="0" w:space="0" w:color="auto"/>
      </w:divBdr>
    </w:div>
    <w:div w:id="1222135658">
      <w:bodyDiv w:val="1"/>
      <w:marLeft w:val="0"/>
      <w:marRight w:val="0"/>
      <w:marTop w:val="0"/>
      <w:marBottom w:val="0"/>
      <w:divBdr>
        <w:top w:val="none" w:sz="0" w:space="0" w:color="auto"/>
        <w:left w:val="none" w:sz="0" w:space="0" w:color="auto"/>
        <w:bottom w:val="none" w:sz="0" w:space="0" w:color="auto"/>
        <w:right w:val="none" w:sz="0" w:space="0" w:color="auto"/>
      </w:divBdr>
    </w:div>
    <w:div w:id="1223442015">
      <w:bodyDiv w:val="1"/>
      <w:marLeft w:val="0"/>
      <w:marRight w:val="0"/>
      <w:marTop w:val="0"/>
      <w:marBottom w:val="0"/>
      <w:divBdr>
        <w:top w:val="none" w:sz="0" w:space="0" w:color="auto"/>
        <w:left w:val="none" w:sz="0" w:space="0" w:color="auto"/>
        <w:bottom w:val="none" w:sz="0" w:space="0" w:color="auto"/>
        <w:right w:val="none" w:sz="0" w:space="0" w:color="auto"/>
      </w:divBdr>
    </w:div>
    <w:div w:id="1254431113">
      <w:bodyDiv w:val="1"/>
      <w:marLeft w:val="0"/>
      <w:marRight w:val="0"/>
      <w:marTop w:val="0"/>
      <w:marBottom w:val="0"/>
      <w:divBdr>
        <w:top w:val="none" w:sz="0" w:space="0" w:color="auto"/>
        <w:left w:val="none" w:sz="0" w:space="0" w:color="auto"/>
        <w:bottom w:val="none" w:sz="0" w:space="0" w:color="auto"/>
        <w:right w:val="none" w:sz="0" w:space="0" w:color="auto"/>
      </w:divBdr>
    </w:div>
    <w:div w:id="1277828664">
      <w:bodyDiv w:val="1"/>
      <w:marLeft w:val="0"/>
      <w:marRight w:val="0"/>
      <w:marTop w:val="0"/>
      <w:marBottom w:val="0"/>
      <w:divBdr>
        <w:top w:val="none" w:sz="0" w:space="0" w:color="auto"/>
        <w:left w:val="none" w:sz="0" w:space="0" w:color="auto"/>
        <w:bottom w:val="none" w:sz="0" w:space="0" w:color="auto"/>
        <w:right w:val="none" w:sz="0" w:space="0" w:color="auto"/>
      </w:divBdr>
    </w:div>
    <w:div w:id="1284074547">
      <w:bodyDiv w:val="1"/>
      <w:marLeft w:val="0"/>
      <w:marRight w:val="0"/>
      <w:marTop w:val="0"/>
      <w:marBottom w:val="0"/>
      <w:divBdr>
        <w:top w:val="none" w:sz="0" w:space="0" w:color="auto"/>
        <w:left w:val="none" w:sz="0" w:space="0" w:color="auto"/>
        <w:bottom w:val="none" w:sz="0" w:space="0" w:color="auto"/>
        <w:right w:val="none" w:sz="0" w:space="0" w:color="auto"/>
      </w:divBdr>
    </w:div>
    <w:div w:id="1336180172">
      <w:bodyDiv w:val="1"/>
      <w:marLeft w:val="0"/>
      <w:marRight w:val="0"/>
      <w:marTop w:val="0"/>
      <w:marBottom w:val="0"/>
      <w:divBdr>
        <w:top w:val="none" w:sz="0" w:space="0" w:color="auto"/>
        <w:left w:val="none" w:sz="0" w:space="0" w:color="auto"/>
        <w:bottom w:val="none" w:sz="0" w:space="0" w:color="auto"/>
        <w:right w:val="none" w:sz="0" w:space="0" w:color="auto"/>
      </w:divBdr>
    </w:div>
    <w:div w:id="1387073247">
      <w:bodyDiv w:val="1"/>
      <w:marLeft w:val="0"/>
      <w:marRight w:val="0"/>
      <w:marTop w:val="0"/>
      <w:marBottom w:val="0"/>
      <w:divBdr>
        <w:top w:val="none" w:sz="0" w:space="0" w:color="auto"/>
        <w:left w:val="none" w:sz="0" w:space="0" w:color="auto"/>
        <w:bottom w:val="none" w:sz="0" w:space="0" w:color="auto"/>
        <w:right w:val="none" w:sz="0" w:space="0" w:color="auto"/>
      </w:divBdr>
    </w:div>
    <w:div w:id="1419642224">
      <w:bodyDiv w:val="1"/>
      <w:marLeft w:val="0"/>
      <w:marRight w:val="0"/>
      <w:marTop w:val="0"/>
      <w:marBottom w:val="0"/>
      <w:divBdr>
        <w:top w:val="none" w:sz="0" w:space="0" w:color="auto"/>
        <w:left w:val="none" w:sz="0" w:space="0" w:color="auto"/>
        <w:bottom w:val="none" w:sz="0" w:space="0" w:color="auto"/>
        <w:right w:val="none" w:sz="0" w:space="0" w:color="auto"/>
      </w:divBdr>
    </w:div>
    <w:div w:id="1438525072">
      <w:bodyDiv w:val="1"/>
      <w:marLeft w:val="0"/>
      <w:marRight w:val="0"/>
      <w:marTop w:val="0"/>
      <w:marBottom w:val="0"/>
      <w:divBdr>
        <w:top w:val="none" w:sz="0" w:space="0" w:color="auto"/>
        <w:left w:val="none" w:sz="0" w:space="0" w:color="auto"/>
        <w:bottom w:val="none" w:sz="0" w:space="0" w:color="auto"/>
        <w:right w:val="none" w:sz="0" w:space="0" w:color="auto"/>
      </w:divBdr>
    </w:div>
    <w:div w:id="1480806621">
      <w:bodyDiv w:val="1"/>
      <w:marLeft w:val="0"/>
      <w:marRight w:val="0"/>
      <w:marTop w:val="0"/>
      <w:marBottom w:val="0"/>
      <w:divBdr>
        <w:top w:val="none" w:sz="0" w:space="0" w:color="auto"/>
        <w:left w:val="none" w:sz="0" w:space="0" w:color="auto"/>
        <w:bottom w:val="none" w:sz="0" w:space="0" w:color="auto"/>
        <w:right w:val="none" w:sz="0" w:space="0" w:color="auto"/>
      </w:divBdr>
    </w:div>
    <w:div w:id="1504004183">
      <w:bodyDiv w:val="1"/>
      <w:marLeft w:val="0"/>
      <w:marRight w:val="0"/>
      <w:marTop w:val="0"/>
      <w:marBottom w:val="0"/>
      <w:divBdr>
        <w:top w:val="none" w:sz="0" w:space="0" w:color="auto"/>
        <w:left w:val="none" w:sz="0" w:space="0" w:color="auto"/>
        <w:bottom w:val="none" w:sz="0" w:space="0" w:color="auto"/>
        <w:right w:val="none" w:sz="0" w:space="0" w:color="auto"/>
      </w:divBdr>
    </w:div>
    <w:div w:id="1612980189">
      <w:bodyDiv w:val="1"/>
      <w:marLeft w:val="0"/>
      <w:marRight w:val="0"/>
      <w:marTop w:val="0"/>
      <w:marBottom w:val="0"/>
      <w:divBdr>
        <w:top w:val="none" w:sz="0" w:space="0" w:color="auto"/>
        <w:left w:val="none" w:sz="0" w:space="0" w:color="auto"/>
        <w:bottom w:val="none" w:sz="0" w:space="0" w:color="auto"/>
        <w:right w:val="none" w:sz="0" w:space="0" w:color="auto"/>
      </w:divBdr>
    </w:div>
    <w:div w:id="1670979906">
      <w:bodyDiv w:val="1"/>
      <w:marLeft w:val="0"/>
      <w:marRight w:val="0"/>
      <w:marTop w:val="0"/>
      <w:marBottom w:val="0"/>
      <w:divBdr>
        <w:top w:val="none" w:sz="0" w:space="0" w:color="auto"/>
        <w:left w:val="none" w:sz="0" w:space="0" w:color="auto"/>
        <w:bottom w:val="none" w:sz="0" w:space="0" w:color="auto"/>
        <w:right w:val="none" w:sz="0" w:space="0" w:color="auto"/>
      </w:divBdr>
    </w:div>
    <w:div w:id="1685547925">
      <w:bodyDiv w:val="1"/>
      <w:marLeft w:val="0"/>
      <w:marRight w:val="0"/>
      <w:marTop w:val="0"/>
      <w:marBottom w:val="0"/>
      <w:divBdr>
        <w:top w:val="none" w:sz="0" w:space="0" w:color="auto"/>
        <w:left w:val="none" w:sz="0" w:space="0" w:color="auto"/>
        <w:bottom w:val="none" w:sz="0" w:space="0" w:color="auto"/>
        <w:right w:val="none" w:sz="0" w:space="0" w:color="auto"/>
      </w:divBdr>
    </w:div>
    <w:div w:id="1715078327">
      <w:bodyDiv w:val="1"/>
      <w:marLeft w:val="0"/>
      <w:marRight w:val="0"/>
      <w:marTop w:val="0"/>
      <w:marBottom w:val="0"/>
      <w:divBdr>
        <w:top w:val="none" w:sz="0" w:space="0" w:color="auto"/>
        <w:left w:val="none" w:sz="0" w:space="0" w:color="auto"/>
        <w:bottom w:val="none" w:sz="0" w:space="0" w:color="auto"/>
        <w:right w:val="none" w:sz="0" w:space="0" w:color="auto"/>
      </w:divBdr>
    </w:div>
    <w:div w:id="1734813104">
      <w:bodyDiv w:val="1"/>
      <w:marLeft w:val="0"/>
      <w:marRight w:val="0"/>
      <w:marTop w:val="0"/>
      <w:marBottom w:val="0"/>
      <w:divBdr>
        <w:top w:val="none" w:sz="0" w:space="0" w:color="auto"/>
        <w:left w:val="none" w:sz="0" w:space="0" w:color="auto"/>
        <w:bottom w:val="none" w:sz="0" w:space="0" w:color="auto"/>
        <w:right w:val="none" w:sz="0" w:space="0" w:color="auto"/>
      </w:divBdr>
    </w:div>
    <w:div w:id="1736003326">
      <w:bodyDiv w:val="1"/>
      <w:marLeft w:val="0"/>
      <w:marRight w:val="0"/>
      <w:marTop w:val="0"/>
      <w:marBottom w:val="0"/>
      <w:divBdr>
        <w:top w:val="none" w:sz="0" w:space="0" w:color="auto"/>
        <w:left w:val="none" w:sz="0" w:space="0" w:color="auto"/>
        <w:bottom w:val="none" w:sz="0" w:space="0" w:color="auto"/>
        <w:right w:val="none" w:sz="0" w:space="0" w:color="auto"/>
      </w:divBdr>
    </w:div>
    <w:div w:id="1769538291">
      <w:bodyDiv w:val="1"/>
      <w:marLeft w:val="0"/>
      <w:marRight w:val="0"/>
      <w:marTop w:val="0"/>
      <w:marBottom w:val="0"/>
      <w:divBdr>
        <w:top w:val="none" w:sz="0" w:space="0" w:color="auto"/>
        <w:left w:val="none" w:sz="0" w:space="0" w:color="auto"/>
        <w:bottom w:val="none" w:sz="0" w:space="0" w:color="auto"/>
        <w:right w:val="none" w:sz="0" w:space="0" w:color="auto"/>
      </w:divBdr>
    </w:div>
    <w:div w:id="1805848902">
      <w:bodyDiv w:val="1"/>
      <w:marLeft w:val="0"/>
      <w:marRight w:val="0"/>
      <w:marTop w:val="0"/>
      <w:marBottom w:val="0"/>
      <w:divBdr>
        <w:top w:val="none" w:sz="0" w:space="0" w:color="auto"/>
        <w:left w:val="none" w:sz="0" w:space="0" w:color="auto"/>
        <w:bottom w:val="none" w:sz="0" w:space="0" w:color="auto"/>
        <w:right w:val="none" w:sz="0" w:space="0" w:color="auto"/>
      </w:divBdr>
    </w:div>
    <w:div w:id="1935086320">
      <w:bodyDiv w:val="1"/>
      <w:marLeft w:val="0"/>
      <w:marRight w:val="0"/>
      <w:marTop w:val="0"/>
      <w:marBottom w:val="0"/>
      <w:divBdr>
        <w:top w:val="none" w:sz="0" w:space="0" w:color="auto"/>
        <w:left w:val="none" w:sz="0" w:space="0" w:color="auto"/>
        <w:bottom w:val="none" w:sz="0" w:space="0" w:color="auto"/>
        <w:right w:val="none" w:sz="0" w:space="0" w:color="auto"/>
      </w:divBdr>
    </w:div>
    <w:div w:id="2028670817">
      <w:bodyDiv w:val="1"/>
      <w:marLeft w:val="0"/>
      <w:marRight w:val="0"/>
      <w:marTop w:val="0"/>
      <w:marBottom w:val="0"/>
      <w:divBdr>
        <w:top w:val="none" w:sz="0" w:space="0" w:color="auto"/>
        <w:left w:val="none" w:sz="0" w:space="0" w:color="auto"/>
        <w:bottom w:val="none" w:sz="0" w:space="0" w:color="auto"/>
        <w:right w:val="none" w:sz="0" w:space="0" w:color="auto"/>
      </w:divBdr>
    </w:div>
    <w:div w:id="2109305278">
      <w:bodyDiv w:val="1"/>
      <w:marLeft w:val="0"/>
      <w:marRight w:val="0"/>
      <w:marTop w:val="0"/>
      <w:marBottom w:val="0"/>
      <w:divBdr>
        <w:top w:val="none" w:sz="0" w:space="0" w:color="auto"/>
        <w:left w:val="none" w:sz="0" w:space="0" w:color="auto"/>
        <w:bottom w:val="none" w:sz="0" w:space="0" w:color="auto"/>
        <w:right w:val="none" w:sz="0" w:space="0" w:color="auto"/>
      </w:divBdr>
    </w:div>
    <w:div w:id="2147165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lex\Downloads\Macro%20Medida%20C&#225;mara%202021-2024_MOD8%20-%20Copy.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2021-2024_MOD8 - Copy</Template>
  <TotalTime>2</TotalTime>
  <Pages>5</Pages>
  <Words>1535</Words>
  <Characters>8628</Characters>
  <Application>Microsoft Office Word</Application>
  <DocSecurity>0</DocSecurity>
  <Lines>162</Lines>
  <Paragraphs>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10126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Richard Rosado</dc:creator>
  <cp:keywords/>
  <cp:lastModifiedBy>Gladys J. Burgos Torres</cp:lastModifiedBy>
  <cp:revision>7</cp:revision>
  <cp:lastPrinted>2025-12-08T15:22:00Z</cp:lastPrinted>
  <dcterms:created xsi:type="dcterms:W3CDTF">2025-12-08T15:21:00Z</dcterms:created>
  <dcterms:modified xsi:type="dcterms:W3CDTF">2025-12-08T19:30:00Z</dcterms:modified>
</cp:coreProperties>
</file>