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3047C" w14:textId="69CE61AD" w:rsidR="00EE1E93" w:rsidRPr="00700566" w:rsidRDefault="00EE1E93" w:rsidP="007F09EB">
      <w:pPr>
        <w:tabs>
          <w:tab w:val="center" w:pos="4680"/>
        </w:tabs>
        <w:jc w:val="center"/>
        <w:rPr>
          <w:rFonts w:ascii="Book Antiqua" w:eastAsia="Book Antiqua" w:hAnsi="Book Antiqua" w:cs="Book Antiqua"/>
          <w:sz w:val="28"/>
          <w:szCs w:val="28"/>
        </w:rPr>
      </w:pPr>
      <w:r w:rsidRPr="00700566">
        <w:rPr>
          <w:rFonts w:ascii="Book Antiqua" w:eastAsia="Book Antiqua" w:hAnsi="Book Antiqua" w:cs="Book Antiqua"/>
          <w:sz w:val="28"/>
          <w:szCs w:val="28"/>
        </w:rPr>
        <w:t>GOBIERNO DE PUERTO RICO</w:t>
      </w:r>
    </w:p>
    <w:p w14:paraId="582FBA6C" w14:textId="77777777" w:rsidR="00EE1E93" w:rsidRPr="00700566" w:rsidRDefault="00EE1E93" w:rsidP="00EE1E93">
      <w:pPr>
        <w:tabs>
          <w:tab w:val="center" w:pos="4680"/>
        </w:tabs>
        <w:rPr>
          <w:rFonts w:ascii="Book Antiqua" w:eastAsia="Book Antiqua" w:hAnsi="Book Antiqua" w:cs="Book Antiqua"/>
          <w:sz w:val="28"/>
          <w:szCs w:val="28"/>
        </w:rPr>
      </w:pPr>
    </w:p>
    <w:p w14:paraId="3A0FB5F9" w14:textId="2AFE9593" w:rsidR="00EE1E93" w:rsidRPr="00700566" w:rsidRDefault="00EE1E93" w:rsidP="00EE1E93">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sidR="00326EAF">
        <w:rPr>
          <w:rFonts w:ascii="Book Antiqua" w:eastAsia="Book Antiqua" w:hAnsi="Book Antiqua" w:cs="Book Antiqua"/>
        </w:rPr>
        <w:t>3</w:t>
      </w:r>
      <w:r w:rsidRPr="00700566">
        <w:rPr>
          <w:rFonts w:ascii="Book Antiqua" w:eastAsia="Book Antiqua" w:hAnsi="Book Antiqua" w:cs="Book Antiqua"/>
          <w:vertAlign w:val="superscript"/>
        </w:rPr>
        <w:t>ra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7C4EB26" w14:textId="77777777" w:rsidR="00EE1E93" w:rsidRPr="00700566" w:rsidRDefault="00EE1E93" w:rsidP="00EE1E93">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287DD48B" w14:textId="77777777" w:rsidR="00EE1E93" w:rsidRPr="00700566" w:rsidRDefault="00EE1E93" w:rsidP="00EE1E93">
      <w:pPr>
        <w:spacing w:line="360" w:lineRule="auto"/>
        <w:jc w:val="center"/>
        <w:rPr>
          <w:rFonts w:ascii="Book Antiqua" w:eastAsia="Book Antiqua" w:hAnsi="Book Antiqua" w:cs="Book Antiqua"/>
          <w:b/>
          <w:sz w:val="36"/>
          <w:szCs w:val="36"/>
        </w:rPr>
      </w:pPr>
    </w:p>
    <w:p w14:paraId="7E4F93C3" w14:textId="77777777" w:rsidR="00EE1E93" w:rsidRPr="00700566" w:rsidRDefault="00EE1E93" w:rsidP="00EE1E93">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4DE493AE" w14:textId="295C2460" w:rsidR="00EE1E93" w:rsidRPr="00700566" w:rsidRDefault="002B4336" w:rsidP="00EE1E93">
      <w:pPr>
        <w:spacing w:line="360" w:lineRule="auto"/>
        <w:jc w:val="center"/>
        <w:rPr>
          <w:rFonts w:ascii="Book Antiqua" w:eastAsia="Book Antiqua" w:hAnsi="Book Antiqua" w:cs="Book Antiqua"/>
          <w:b/>
          <w:sz w:val="52"/>
          <w:szCs w:val="52"/>
        </w:rPr>
      </w:pPr>
      <w:r>
        <w:rPr>
          <w:rFonts w:ascii="Book Antiqua" w:eastAsia="Book Antiqua" w:hAnsi="Book Antiqua" w:cs="Book Antiqua"/>
          <w:b/>
          <w:sz w:val="52"/>
          <w:szCs w:val="52"/>
        </w:rPr>
        <w:t>R</w:t>
      </w:r>
      <w:r w:rsidR="00EE1E93" w:rsidRPr="00700566">
        <w:rPr>
          <w:rFonts w:ascii="Book Antiqua" w:eastAsia="Book Antiqua" w:hAnsi="Book Antiqua" w:cs="Book Antiqua"/>
          <w:b/>
          <w:sz w:val="52"/>
          <w:szCs w:val="52"/>
        </w:rPr>
        <w:t xml:space="preserve">. </w:t>
      </w:r>
      <w:r>
        <w:rPr>
          <w:rFonts w:ascii="Book Antiqua" w:eastAsia="Book Antiqua" w:hAnsi="Book Antiqua" w:cs="Book Antiqua"/>
          <w:b/>
          <w:sz w:val="52"/>
          <w:szCs w:val="52"/>
        </w:rPr>
        <w:t xml:space="preserve">C. </w:t>
      </w:r>
      <w:r w:rsidR="00EE1E93" w:rsidRPr="00700566">
        <w:rPr>
          <w:rFonts w:ascii="Book Antiqua" w:eastAsia="Book Antiqua" w:hAnsi="Book Antiqua" w:cs="Book Antiqua"/>
          <w:b/>
          <w:sz w:val="52"/>
          <w:szCs w:val="52"/>
        </w:rPr>
        <w:t>de la C.</w:t>
      </w:r>
      <w:r w:rsidR="009A00FC">
        <w:rPr>
          <w:rFonts w:ascii="Book Antiqua" w:eastAsia="Book Antiqua" w:hAnsi="Book Antiqua" w:cs="Book Antiqua"/>
          <w:b/>
          <w:sz w:val="52"/>
          <w:szCs w:val="52"/>
        </w:rPr>
        <w:t xml:space="preserve"> </w:t>
      </w:r>
      <w:r w:rsidR="00DD2B52">
        <w:rPr>
          <w:rFonts w:ascii="Book Antiqua" w:eastAsia="Book Antiqua" w:hAnsi="Book Antiqua" w:cs="Book Antiqua"/>
          <w:b/>
          <w:sz w:val="52"/>
          <w:szCs w:val="52"/>
        </w:rPr>
        <w:t>252</w:t>
      </w:r>
    </w:p>
    <w:p w14:paraId="55024D28" w14:textId="77777777" w:rsidR="00EE1E93" w:rsidRPr="00700566" w:rsidRDefault="00EE1E93" w:rsidP="00EE1E93">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INFORME POSITIVO</w:t>
      </w:r>
    </w:p>
    <w:p w14:paraId="5456D44B" w14:textId="50D90C33" w:rsidR="00EE1E93" w:rsidRPr="00700566" w:rsidRDefault="00E0493C" w:rsidP="00EE1E93">
      <w:pPr>
        <w:spacing w:line="360" w:lineRule="auto"/>
        <w:jc w:val="center"/>
        <w:rPr>
          <w:rFonts w:ascii="Book Antiqua" w:eastAsia="Book Antiqua" w:hAnsi="Book Antiqua" w:cs="Book Antiqua"/>
          <w:b/>
        </w:rPr>
      </w:pPr>
      <w:r>
        <w:rPr>
          <w:rFonts w:ascii="Book Antiqua" w:eastAsia="Book Antiqua" w:hAnsi="Book Antiqua" w:cs="Book Antiqua"/>
        </w:rPr>
        <w:t>16</w:t>
      </w:r>
      <w:r w:rsidR="00EE1E93" w:rsidRPr="00700566">
        <w:rPr>
          <w:rFonts w:ascii="Book Antiqua" w:eastAsia="Book Antiqua" w:hAnsi="Book Antiqua" w:cs="Book Antiqua"/>
        </w:rPr>
        <w:t xml:space="preserve"> de </w:t>
      </w:r>
      <w:r w:rsidR="009A00FC">
        <w:rPr>
          <w:rFonts w:ascii="Book Antiqua" w:eastAsia="Book Antiqua" w:hAnsi="Book Antiqua" w:cs="Book Antiqua"/>
        </w:rPr>
        <w:t>marzo</w:t>
      </w:r>
      <w:r w:rsidR="00EE1E93" w:rsidRPr="00700566">
        <w:rPr>
          <w:rFonts w:ascii="Book Antiqua" w:eastAsia="Book Antiqua" w:hAnsi="Book Antiqua" w:cs="Book Antiqua"/>
        </w:rPr>
        <w:t xml:space="preserve"> de 202</w:t>
      </w:r>
      <w:r w:rsidR="00326EAF">
        <w:rPr>
          <w:rFonts w:ascii="Book Antiqua" w:eastAsia="Book Antiqua" w:hAnsi="Book Antiqua" w:cs="Book Antiqua"/>
        </w:rPr>
        <w:t>6</w:t>
      </w:r>
    </w:p>
    <w:p w14:paraId="221B1624" w14:textId="77777777" w:rsidR="00EE1E93" w:rsidRPr="00700566" w:rsidRDefault="00EE1E93" w:rsidP="00EE1E93">
      <w:pPr>
        <w:jc w:val="both"/>
        <w:rPr>
          <w:rFonts w:ascii="Book Antiqua" w:eastAsia="Book Antiqua" w:hAnsi="Book Antiqua" w:cs="Book Antiqua"/>
          <w:b/>
        </w:rPr>
      </w:pPr>
    </w:p>
    <w:p w14:paraId="042D3534" w14:textId="77777777" w:rsidR="00EE1E93" w:rsidRPr="00700566" w:rsidRDefault="00EE1E93" w:rsidP="00EE1E93">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555EC25D" w14:textId="77777777" w:rsidR="00EE1E93" w:rsidRPr="00700566" w:rsidRDefault="00EE1E93" w:rsidP="00EE1E93">
      <w:pPr>
        <w:ind w:firstLine="360"/>
        <w:jc w:val="both"/>
        <w:rPr>
          <w:rFonts w:ascii="Book Antiqua" w:eastAsia="Book Antiqua" w:hAnsi="Book Antiqua" w:cs="Book Antiqua"/>
        </w:rPr>
      </w:pPr>
    </w:p>
    <w:p w14:paraId="2F5345A6" w14:textId="6153FEB8" w:rsidR="00EE1E93" w:rsidRPr="00700566" w:rsidRDefault="00EE1E93" w:rsidP="00EE1E93">
      <w:pPr>
        <w:ind w:firstLine="720"/>
        <w:jc w:val="both"/>
        <w:rPr>
          <w:rFonts w:ascii="Book Antiqua" w:eastAsia="Book Antiqua" w:hAnsi="Book Antiqua" w:cs="Book Antiqua"/>
        </w:rPr>
      </w:pPr>
      <w:r w:rsidRPr="00700566">
        <w:rPr>
          <w:rFonts w:ascii="Book Antiqua" w:eastAsia="Book Antiqua" w:hAnsi="Book Antiqua" w:cs="Book Antiqua"/>
        </w:rPr>
        <w:t xml:space="preserve">La Comisión de Transportación e Infraestructura de la Cámara de Representantes del Gobierno de Puerto Rico, previo estudio y consideración del </w:t>
      </w:r>
      <w:r w:rsidR="002B4336">
        <w:rPr>
          <w:rFonts w:ascii="Book Antiqua" w:eastAsia="Book Antiqua" w:hAnsi="Book Antiqua" w:cs="Book Antiqua"/>
        </w:rPr>
        <w:t>R</w:t>
      </w:r>
      <w:r w:rsidRPr="00700566">
        <w:rPr>
          <w:rFonts w:ascii="Book Antiqua" w:eastAsia="Book Antiqua" w:hAnsi="Book Antiqua" w:cs="Book Antiqua"/>
        </w:rPr>
        <w:t xml:space="preserve">. </w:t>
      </w:r>
      <w:r w:rsidR="002B4336">
        <w:rPr>
          <w:rFonts w:ascii="Book Antiqua" w:eastAsia="Book Antiqua" w:hAnsi="Book Antiqua" w:cs="Book Antiqua"/>
        </w:rPr>
        <w:t xml:space="preserve">C. </w:t>
      </w:r>
      <w:r w:rsidRPr="00700566">
        <w:rPr>
          <w:rFonts w:ascii="Book Antiqua" w:eastAsia="Book Antiqua" w:hAnsi="Book Antiqua" w:cs="Book Antiqua"/>
        </w:rPr>
        <w:t>de la C.</w:t>
      </w:r>
      <w:r>
        <w:rPr>
          <w:rFonts w:ascii="Book Antiqua" w:eastAsia="Book Antiqua" w:hAnsi="Book Antiqua" w:cs="Book Antiqua"/>
        </w:rPr>
        <w:t xml:space="preserve"> </w:t>
      </w:r>
      <w:r w:rsidR="00DD2B52">
        <w:rPr>
          <w:rFonts w:ascii="Book Antiqua" w:eastAsia="Book Antiqua" w:hAnsi="Book Antiqua" w:cs="Book Antiqua"/>
        </w:rPr>
        <w:t>252</w:t>
      </w:r>
      <w:r w:rsidRPr="00700566">
        <w:rPr>
          <w:rFonts w:ascii="Book Antiqua" w:eastAsia="Book Antiqua" w:hAnsi="Book Antiqua" w:cs="Book Antiqua"/>
        </w:rPr>
        <w:t>, tiene a bien recomendar a este Alto Cuerpo la aprobación</w:t>
      </w:r>
      <w:r>
        <w:rPr>
          <w:rFonts w:ascii="Book Antiqua" w:eastAsia="Book Antiqua" w:hAnsi="Book Antiqua" w:cs="Book Antiqua"/>
        </w:rPr>
        <w:t xml:space="preserve">, </w:t>
      </w:r>
      <w:r w:rsidRPr="00CE3657">
        <w:rPr>
          <w:rFonts w:ascii="Book Antiqua" w:eastAsia="Book Antiqua" w:hAnsi="Book Antiqua" w:cs="Book Antiqua"/>
        </w:rPr>
        <w:t xml:space="preserve">con las enmiendas contenidas en el </w:t>
      </w:r>
      <w:proofErr w:type="spellStart"/>
      <w:r w:rsidRPr="00CE3657">
        <w:rPr>
          <w:rFonts w:ascii="Book Antiqua" w:eastAsia="Book Antiqua" w:hAnsi="Book Antiqua" w:cs="Book Antiqua"/>
        </w:rPr>
        <w:t>entirillado</w:t>
      </w:r>
      <w:proofErr w:type="spellEnd"/>
      <w:r>
        <w:rPr>
          <w:rFonts w:ascii="Book Antiqua" w:eastAsia="Book Antiqua" w:hAnsi="Book Antiqua" w:cs="Book Antiqua"/>
        </w:rPr>
        <w:t xml:space="preserve"> electrónico</w:t>
      </w:r>
      <w:r w:rsidRPr="00CE3657">
        <w:rPr>
          <w:rFonts w:ascii="Book Antiqua" w:eastAsia="Book Antiqua" w:hAnsi="Book Antiqua" w:cs="Book Antiqua"/>
        </w:rPr>
        <w:t xml:space="preserve"> que se acompaña</w:t>
      </w:r>
      <w:r w:rsidRPr="00700566">
        <w:rPr>
          <w:rFonts w:ascii="Book Antiqua" w:eastAsia="Book Antiqua" w:hAnsi="Book Antiqua" w:cs="Book Antiqua"/>
        </w:rPr>
        <w:t xml:space="preserve">. </w:t>
      </w:r>
    </w:p>
    <w:p w14:paraId="28A3BF4F" w14:textId="77777777" w:rsidR="00EE1E93" w:rsidRPr="00700566" w:rsidRDefault="00EE1E93" w:rsidP="00EE1E93">
      <w:pPr>
        <w:rPr>
          <w:rFonts w:ascii="Book Antiqua" w:eastAsia="Book Antiqua" w:hAnsi="Book Antiqua" w:cs="Book Antiqua"/>
          <w:b/>
          <w:sz w:val="32"/>
          <w:szCs w:val="32"/>
        </w:rPr>
      </w:pPr>
    </w:p>
    <w:p w14:paraId="2CEEF08C" w14:textId="77777777"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t>ALCANCE DE LA MEDIDA</w:t>
      </w:r>
    </w:p>
    <w:p w14:paraId="658F0333" w14:textId="77777777" w:rsidR="00EE1E93" w:rsidRPr="00700566" w:rsidRDefault="00EE1E93" w:rsidP="00EE1E93">
      <w:pPr>
        <w:jc w:val="both"/>
        <w:rPr>
          <w:rFonts w:ascii="Book Antiqua" w:eastAsia="Book Antiqua" w:hAnsi="Book Antiqua" w:cs="Book Antiqua"/>
        </w:rPr>
      </w:pPr>
    </w:p>
    <w:p w14:paraId="41C6680F" w14:textId="77777777" w:rsidR="00963598" w:rsidRDefault="00FC02D0" w:rsidP="00963598">
      <w:pPr>
        <w:ind w:firstLine="720"/>
        <w:jc w:val="both"/>
        <w:rPr>
          <w:rFonts w:ascii="Book Antiqua" w:eastAsia="Book Antiqua" w:hAnsi="Book Antiqua" w:cs="Book Antiqua"/>
          <w:bCs/>
          <w:lang w:val="es-PR"/>
        </w:rPr>
      </w:pPr>
      <w:r w:rsidRPr="00FC02D0">
        <w:rPr>
          <w:rFonts w:ascii="Book Antiqua" w:eastAsia="Book Antiqua" w:hAnsi="Book Antiqua" w:cs="Book Antiqua"/>
          <w:bCs/>
        </w:rPr>
        <w:t xml:space="preserve">La Resolución Conjunta de la Cámara </w:t>
      </w:r>
      <w:r w:rsidR="00DD2B52">
        <w:rPr>
          <w:rFonts w:ascii="Book Antiqua" w:eastAsia="Book Antiqua" w:hAnsi="Book Antiqua" w:cs="Book Antiqua"/>
          <w:bCs/>
        </w:rPr>
        <w:t>252</w:t>
      </w:r>
      <w:r w:rsidRPr="00FC02D0">
        <w:rPr>
          <w:rFonts w:ascii="Book Antiqua" w:eastAsia="Book Antiqua" w:hAnsi="Book Antiqua" w:cs="Book Antiqua"/>
          <w:bCs/>
        </w:rPr>
        <w:t xml:space="preserve"> </w:t>
      </w:r>
      <w:r w:rsidR="00963598" w:rsidRPr="00963598">
        <w:rPr>
          <w:rFonts w:ascii="Book Antiqua" w:eastAsia="Book Antiqua" w:hAnsi="Book Antiqua" w:cs="Book Antiqua"/>
          <w:bCs/>
          <w:lang w:val="es-PR"/>
        </w:rPr>
        <w:t xml:space="preserve">tiene como propósito ordenar al </w:t>
      </w:r>
      <w:proofErr w:type="gramStart"/>
      <w:r w:rsidR="00963598" w:rsidRPr="00963598">
        <w:rPr>
          <w:rFonts w:ascii="Book Antiqua" w:eastAsia="Book Antiqua" w:hAnsi="Book Antiqua" w:cs="Book Antiqua"/>
          <w:bCs/>
          <w:lang w:val="es-PR"/>
        </w:rPr>
        <w:t>Secretario</w:t>
      </w:r>
      <w:proofErr w:type="gramEnd"/>
      <w:r w:rsidR="00963598" w:rsidRPr="00963598">
        <w:rPr>
          <w:rFonts w:ascii="Book Antiqua" w:eastAsia="Book Antiqua" w:hAnsi="Book Antiqua" w:cs="Book Antiqua"/>
          <w:bCs/>
          <w:lang w:val="es-PR"/>
        </w:rPr>
        <w:t xml:space="preserve"> del Departamento de Transportación y Obras Públicas (DTOP) que proceda con la rotulación, demarcación e instalación de señalización de “Zona Escolar” en los centros de educación temprana “Head Start” ubicados en los municipios de Manatí, </w:t>
      </w:r>
      <w:proofErr w:type="spellStart"/>
      <w:r w:rsidR="00963598" w:rsidRPr="00963598">
        <w:rPr>
          <w:rFonts w:ascii="Book Antiqua" w:eastAsia="Book Antiqua" w:hAnsi="Book Antiqua" w:cs="Book Antiqua"/>
          <w:bCs/>
          <w:lang w:val="es-PR"/>
        </w:rPr>
        <w:t>Ciales</w:t>
      </w:r>
      <w:proofErr w:type="spellEnd"/>
      <w:r w:rsidR="00963598" w:rsidRPr="00963598">
        <w:rPr>
          <w:rFonts w:ascii="Book Antiqua" w:eastAsia="Book Antiqua" w:hAnsi="Book Antiqua" w:cs="Book Antiqua"/>
          <w:bCs/>
          <w:lang w:val="es-PR"/>
        </w:rPr>
        <w:t xml:space="preserve"> y Florida, así como cualquier otra señalización preventiva necesaria en las áreas circundantes a dichas instituciones.</w:t>
      </w:r>
    </w:p>
    <w:p w14:paraId="08F6F291" w14:textId="77777777" w:rsidR="00963598" w:rsidRPr="00963598" w:rsidRDefault="00963598" w:rsidP="00963598">
      <w:pPr>
        <w:ind w:firstLine="720"/>
        <w:jc w:val="both"/>
        <w:rPr>
          <w:rFonts w:ascii="Book Antiqua" w:eastAsia="Book Antiqua" w:hAnsi="Book Antiqua" w:cs="Book Antiqua"/>
          <w:bCs/>
          <w:lang w:val="es-PR"/>
        </w:rPr>
      </w:pPr>
    </w:p>
    <w:p w14:paraId="7392CC3B" w14:textId="77777777" w:rsidR="00963598" w:rsidRPr="00963598" w:rsidRDefault="00963598" w:rsidP="00963598">
      <w:pPr>
        <w:ind w:firstLine="720"/>
        <w:jc w:val="both"/>
        <w:rPr>
          <w:rFonts w:ascii="Book Antiqua" w:eastAsia="Book Antiqua" w:hAnsi="Book Antiqua" w:cs="Book Antiqua"/>
          <w:bCs/>
          <w:lang w:val="es-PR"/>
        </w:rPr>
      </w:pPr>
      <w:r w:rsidRPr="00963598">
        <w:rPr>
          <w:rFonts w:ascii="Book Antiqua" w:eastAsia="Book Antiqua" w:hAnsi="Book Antiqua" w:cs="Book Antiqua"/>
          <w:bCs/>
          <w:lang w:val="es-PR"/>
        </w:rPr>
        <w:t>La medida establece, además, que el DTOP deberá realizar estas gestiones dentro de un término improrrogable de treinta (30) días laborables a partir de la aprobación de la resolución. Asimismo, dispone que los perímetros de los centros “Head Start” serán considerados zonas escolares para fines de seguridad vial, independientemente de disposiciones técnicas relacionadas con el flujo peatonal de menores no acompañados.</w:t>
      </w:r>
    </w:p>
    <w:p w14:paraId="273B7F9B" w14:textId="77777777" w:rsidR="005A6765" w:rsidRDefault="005A6765" w:rsidP="00EE1E93">
      <w:pPr>
        <w:rPr>
          <w:rFonts w:ascii="Book Antiqua" w:eastAsia="Book Antiqua" w:hAnsi="Book Antiqua" w:cs="Book Antiqua"/>
          <w:b/>
        </w:rPr>
      </w:pPr>
    </w:p>
    <w:p w14:paraId="2A6061C1" w14:textId="77777777" w:rsidR="00433622" w:rsidRPr="00E63172" w:rsidRDefault="00433622" w:rsidP="00EE1E93">
      <w:pPr>
        <w:rPr>
          <w:rFonts w:ascii="Book Antiqua" w:eastAsia="Book Antiqua" w:hAnsi="Book Antiqua" w:cs="Book Antiqua"/>
          <w:b/>
        </w:rPr>
      </w:pPr>
    </w:p>
    <w:p w14:paraId="750A0D00" w14:textId="77777777"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t>ANÁLISIS DE LA MEDIDA</w:t>
      </w:r>
    </w:p>
    <w:p w14:paraId="1DA1A9EB" w14:textId="77777777" w:rsidR="00EE1E93" w:rsidRPr="00700566" w:rsidRDefault="00EE1E93" w:rsidP="00EE1E93">
      <w:pPr>
        <w:jc w:val="both"/>
        <w:rPr>
          <w:rFonts w:ascii="Book Antiqua" w:eastAsia="Book Antiqua" w:hAnsi="Book Antiqua" w:cs="Book Antiqua"/>
        </w:rPr>
      </w:pPr>
    </w:p>
    <w:p w14:paraId="5E006C05" w14:textId="5D44EB82" w:rsidR="00EE1E93" w:rsidRDefault="00EE1E93" w:rsidP="00EE1E93">
      <w:pPr>
        <w:ind w:firstLine="720"/>
        <w:jc w:val="both"/>
        <w:rPr>
          <w:rFonts w:ascii="Book Antiqua" w:eastAsia="Book Antiqua" w:hAnsi="Book Antiqua" w:cs="Book Antiqua"/>
        </w:rPr>
      </w:pPr>
      <w:r w:rsidRPr="001E16CE">
        <w:rPr>
          <w:rFonts w:ascii="Book Antiqua" w:eastAsia="Book Antiqua" w:hAnsi="Book Antiqua" w:cs="Book Antiqua"/>
        </w:rPr>
        <w:t>La Comisión de Transportación e Infraestructura para la debida consideración y estudio de</w:t>
      </w:r>
      <w:r w:rsidR="00171293">
        <w:rPr>
          <w:rFonts w:ascii="Book Antiqua" w:eastAsia="Book Antiqua" w:hAnsi="Book Antiqua" w:cs="Book Antiqua"/>
        </w:rPr>
        <w:t xml:space="preserve"> la Resolución Conjunta</w:t>
      </w:r>
      <w:r w:rsidRPr="001E16CE">
        <w:rPr>
          <w:rFonts w:ascii="Book Antiqua" w:eastAsia="Book Antiqua" w:hAnsi="Book Antiqua" w:cs="Book Antiqua"/>
        </w:rPr>
        <w:t xml:space="preserve"> de la Cámara </w:t>
      </w:r>
      <w:r w:rsidR="00DD2B52">
        <w:rPr>
          <w:rFonts w:ascii="Book Antiqua" w:eastAsia="Book Antiqua" w:hAnsi="Book Antiqua" w:cs="Book Antiqua"/>
        </w:rPr>
        <w:t>252</w:t>
      </w:r>
      <w:r w:rsidRPr="001E16CE">
        <w:rPr>
          <w:rFonts w:ascii="Book Antiqua" w:eastAsia="Book Antiqua" w:hAnsi="Book Antiqua" w:cs="Book Antiqua"/>
        </w:rPr>
        <w:t xml:space="preserve">, </w:t>
      </w:r>
      <w:r w:rsidR="00F85924">
        <w:rPr>
          <w:rFonts w:ascii="Book Antiqua" w:eastAsia="Book Antiqua" w:hAnsi="Book Antiqua" w:cs="Book Antiqua"/>
        </w:rPr>
        <w:t xml:space="preserve">se </w:t>
      </w:r>
      <w:r w:rsidRPr="001E16CE">
        <w:rPr>
          <w:rFonts w:ascii="Book Antiqua" w:eastAsia="Book Antiqua" w:hAnsi="Book Antiqua" w:cs="Book Antiqua"/>
        </w:rPr>
        <w:t>solicitó memorial explicativo</w:t>
      </w:r>
      <w:r>
        <w:rPr>
          <w:rFonts w:ascii="Book Antiqua" w:eastAsia="Book Antiqua" w:hAnsi="Book Antiqua" w:cs="Book Antiqua"/>
        </w:rPr>
        <w:t xml:space="preserve"> </w:t>
      </w:r>
      <w:r w:rsidR="00742E97">
        <w:rPr>
          <w:rFonts w:ascii="Book Antiqua" w:eastAsia="Book Antiqua" w:hAnsi="Book Antiqua" w:cs="Book Antiqua"/>
        </w:rPr>
        <w:t>a</w:t>
      </w:r>
      <w:r w:rsidR="00171293">
        <w:rPr>
          <w:rFonts w:ascii="Book Antiqua" w:eastAsia="Book Antiqua" w:hAnsi="Book Antiqua" w:cs="Book Antiqua"/>
        </w:rPr>
        <w:t>l</w:t>
      </w:r>
      <w:r w:rsidR="00E77959">
        <w:rPr>
          <w:rFonts w:ascii="Book Antiqua" w:eastAsia="Book Antiqua" w:hAnsi="Book Antiqua" w:cs="Book Antiqua"/>
        </w:rPr>
        <w:t xml:space="preserve"> </w:t>
      </w:r>
      <w:r w:rsidR="00E77959" w:rsidRPr="00E77959">
        <w:rPr>
          <w:rFonts w:ascii="Book Antiqua" w:eastAsia="Book Antiqua" w:hAnsi="Book Antiqua" w:cs="Book Antiqua"/>
          <w:bCs/>
          <w:lang w:val="es-PR"/>
        </w:rPr>
        <w:lastRenderedPageBreak/>
        <w:t>Departamento de Transportación y Obras Públicas (DTOP)</w:t>
      </w:r>
      <w:r w:rsidR="00094AE9">
        <w:rPr>
          <w:rFonts w:ascii="Book Antiqua" w:eastAsia="Book Antiqua" w:hAnsi="Book Antiqua" w:cs="Book Antiqua"/>
          <w:bCs/>
          <w:lang w:val="es-PR"/>
        </w:rPr>
        <w:t xml:space="preserve"> y a la </w:t>
      </w:r>
      <w:r w:rsidR="00E77959" w:rsidRPr="00E77959">
        <w:rPr>
          <w:rFonts w:ascii="Book Antiqua" w:eastAsia="Book Antiqua" w:hAnsi="Book Antiqua" w:cs="Book Antiqua"/>
          <w:bCs/>
          <w:lang w:val="es-PR"/>
        </w:rPr>
        <w:t>Autoridad de Carreteras y Transportación (ACT)</w:t>
      </w:r>
      <w:r w:rsidR="00433622">
        <w:rPr>
          <w:rFonts w:ascii="Book Antiqua" w:eastAsia="Book Antiqua" w:hAnsi="Book Antiqua" w:cs="Book Antiqua"/>
        </w:rPr>
        <w:t xml:space="preserve">. </w:t>
      </w:r>
    </w:p>
    <w:p w14:paraId="2658FA25" w14:textId="77777777" w:rsidR="00EE1E93" w:rsidRDefault="00EE1E93" w:rsidP="00EE1E93">
      <w:pPr>
        <w:jc w:val="both"/>
        <w:rPr>
          <w:rFonts w:ascii="Book Antiqua" w:eastAsia="Book Antiqua" w:hAnsi="Book Antiqua" w:cs="Book Antiqua"/>
        </w:rPr>
      </w:pPr>
    </w:p>
    <w:p w14:paraId="287E3333" w14:textId="77777777" w:rsidR="008C1751" w:rsidRDefault="008C1751" w:rsidP="008C1751">
      <w:pPr>
        <w:ind w:firstLine="720"/>
        <w:jc w:val="center"/>
        <w:rPr>
          <w:rFonts w:ascii="Book Antiqua" w:eastAsia="Book Antiqua" w:hAnsi="Book Antiqua" w:cs="Book Antiqua"/>
          <w:b/>
          <w:bCs/>
          <w:u w:val="single"/>
          <w:lang w:val="es-PR"/>
        </w:rPr>
      </w:pPr>
    </w:p>
    <w:p w14:paraId="7A922099" w14:textId="12AD96C8" w:rsidR="00EE1E93" w:rsidRDefault="008C1751" w:rsidP="008C1751">
      <w:pPr>
        <w:ind w:firstLine="720"/>
        <w:jc w:val="center"/>
        <w:rPr>
          <w:rFonts w:ascii="Book Antiqua" w:eastAsia="Book Antiqua" w:hAnsi="Book Antiqua" w:cs="Book Antiqua"/>
          <w:b/>
          <w:bCs/>
          <w:u w:val="single"/>
          <w:lang w:val="es-PR"/>
        </w:rPr>
      </w:pPr>
      <w:r w:rsidRPr="008C1751">
        <w:rPr>
          <w:rFonts w:ascii="Book Antiqua" w:eastAsia="Book Antiqua" w:hAnsi="Book Antiqua" w:cs="Book Antiqua"/>
          <w:b/>
          <w:bCs/>
          <w:u w:val="single"/>
          <w:lang w:val="es-PR"/>
        </w:rPr>
        <w:t>Departamento de Transportación y Obras Públicas (DTOP) y a la Autoridad de Carreteras y Transportación (ACT)</w:t>
      </w:r>
    </w:p>
    <w:p w14:paraId="0B72284F" w14:textId="77777777" w:rsidR="008C1751" w:rsidRPr="00886B04" w:rsidRDefault="008C1751" w:rsidP="008C1751">
      <w:pPr>
        <w:ind w:firstLine="720"/>
        <w:jc w:val="center"/>
        <w:rPr>
          <w:rFonts w:ascii="Book Antiqua" w:eastAsia="Book Antiqua" w:hAnsi="Book Antiqua" w:cs="Book Antiqua"/>
        </w:rPr>
      </w:pPr>
    </w:p>
    <w:p w14:paraId="73FFF0CC" w14:textId="1AD91DBF" w:rsidR="00251135" w:rsidRPr="00251135" w:rsidRDefault="0096686E" w:rsidP="00251135">
      <w:pPr>
        <w:jc w:val="both"/>
        <w:rPr>
          <w:rFonts w:ascii="Book Antiqua" w:eastAsia="Helvetica Neue" w:hAnsi="Book Antiqua" w:cs="Helvetica Neue"/>
          <w:lang w:val="es-PR"/>
        </w:rPr>
      </w:pPr>
      <w:r>
        <w:rPr>
          <w:rFonts w:ascii="Book Antiqua" w:eastAsia="Helvetica Neue" w:hAnsi="Book Antiqua" w:cs="Helvetica Neue"/>
        </w:rPr>
        <w:tab/>
      </w:r>
      <w:r w:rsidR="00A5686A">
        <w:rPr>
          <w:rFonts w:ascii="Book Antiqua" w:eastAsia="Helvetica Neue" w:hAnsi="Book Antiqua" w:cs="Helvetica Neue"/>
          <w:lang w:val="es-PR"/>
        </w:rPr>
        <w:t>E</w:t>
      </w:r>
      <w:r w:rsidR="00251135" w:rsidRPr="00251135">
        <w:rPr>
          <w:rFonts w:ascii="Book Antiqua" w:eastAsia="Helvetica Neue" w:hAnsi="Book Antiqua" w:cs="Helvetica Neue"/>
          <w:lang w:val="es-PR"/>
        </w:rPr>
        <w:t>l Departamento de Transportación y Obras Públicas y la Autoridad de Carreteras y Transportación indicaron que el Capítulo 7 del MUTCD establece que debe prepararse un plan de rutas o zonas escolares para cada escuela que atienda estudiantes de primaria a secundaria, con el propósito de uniformar el uso de dispositivos de control de tránsito en áreas escolares. Asimismo, señalaron que el DTOP recibe fondos federales, por lo que debe cumplir con las disposiciones y recomendaciones establecidas en dicho manual, el cual constituye la norma nacional aplicable a los dispositivos de control de tránsito en las vías públicas.</w:t>
      </w:r>
    </w:p>
    <w:p w14:paraId="1E5CF207" w14:textId="77777777" w:rsidR="00A5686A" w:rsidRDefault="00A5686A" w:rsidP="00251135">
      <w:pPr>
        <w:jc w:val="both"/>
        <w:rPr>
          <w:rFonts w:ascii="Book Antiqua" w:eastAsia="Helvetica Neue" w:hAnsi="Book Antiqua" w:cs="Helvetica Neue"/>
          <w:lang w:val="es-PR"/>
        </w:rPr>
      </w:pPr>
    </w:p>
    <w:p w14:paraId="3CC5B739" w14:textId="1656E35C" w:rsidR="00251135" w:rsidRPr="00251135" w:rsidRDefault="00251135" w:rsidP="00A5686A">
      <w:pPr>
        <w:ind w:firstLine="720"/>
        <w:jc w:val="both"/>
        <w:rPr>
          <w:rFonts w:ascii="Book Antiqua" w:eastAsia="Helvetica Neue" w:hAnsi="Book Antiqua" w:cs="Helvetica Neue"/>
          <w:lang w:val="es-PR"/>
        </w:rPr>
      </w:pPr>
      <w:r w:rsidRPr="00251135">
        <w:rPr>
          <w:rFonts w:ascii="Book Antiqua" w:eastAsia="Helvetica Neue" w:hAnsi="Book Antiqua" w:cs="Helvetica Neue"/>
          <w:lang w:val="es-PR"/>
        </w:rPr>
        <w:t xml:space="preserve">No obstante, el memorial también señala que los centros “Head Start” forman parte de un programa de educación temprana dirigido a niños desde el nacimiento hasta los cinco </w:t>
      </w:r>
      <w:proofErr w:type="gramStart"/>
      <w:r w:rsidRPr="00251135">
        <w:rPr>
          <w:rFonts w:ascii="Book Antiqua" w:eastAsia="Helvetica Neue" w:hAnsi="Book Antiqua" w:cs="Helvetica Neue"/>
          <w:lang w:val="es-PR"/>
        </w:rPr>
        <w:t>años de edad</w:t>
      </w:r>
      <w:proofErr w:type="gramEnd"/>
      <w:r w:rsidRPr="00251135">
        <w:rPr>
          <w:rFonts w:ascii="Book Antiqua" w:eastAsia="Helvetica Neue" w:hAnsi="Book Antiqua" w:cs="Helvetica Neue"/>
          <w:lang w:val="es-PR"/>
        </w:rPr>
        <w:t>, cuyo propósito es fomentar su desarrollo cognitivo, social y emocional. De igual forma, se indica que, conforme a la Ley Núm. 85-2018, conocida como la “Ley de Reforma Educativa de Puerto Rico”, los programas “Head Start” se consideran dentro de la definición de escuela primaria para fines educativos.</w:t>
      </w:r>
    </w:p>
    <w:p w14:paraId="7E9A8331" w14:textId="77777777" w:rsidR="00A5686A" w:rsidRDefault="00A5686A" w:rsidP="00251135">
      <w:pPr>
        <w:jc w:val="both"/>
        <w:rPr>
          <w:rFonts w:ascii="Book Antiqua" w:eastAsia="Helvetica Neue" w:hAnsi="Book Antiqua" w:cs="Helvetica Neue"/>
          <w:lang w:val="es-PR"/>
        </w:rPr>
      </w:pPr>
    </w:p>
    <w:p w14:paraId="0812DBF4" w14:textId="6EBDB375" w:rsidR="00251135" w:rsidRPr="00251135" w:rsidRDefault="00251135" w:rsidP="00A5686A">
      <w:pPr>
        <w:ind w:firstLine="720"/>
        <w:jc w:val="both"/>
        <w:rPr>
          <w:rFonts w:ascii="Book Antiqua" w:eastAsia="Helvetica Neue" w:hAnsi="Book Antiqua" w:cs="Helvetica Neue"/>
          <w:lang w:val="es-PR"/>
        </w:rPr>
      </w:pPr>
      <w:r w:rsidRPr="00251135">
        <w:rPr>
          <w:rFonts w:ascii="Book Antiqua" w:eastAsia="Helvetica Neue" w:hAnsi="Book Antiqua" w:cs="Helvetica Neue"/>
          <w:lang w:val="es-PR"/>
        </w:rPr>
        <w:t>Luego de evaluar la medida, el Departamento de Transportación y Obras Públicas y la Autoridad de Carreteras y Transportación indicaron que no existe una exclusión expresa en el MUTCD que impida aplicar la designación de “Zona Escolar” a los centros “Head Start”. Por el contrario, a la luz del propósito principal del Capítulo 7 del MUTCD, que es proteger a menores de edad en entornos educativos con interacción vial, resulta razonable aplicar medidas de control de tránsito y rotulación preventiva en las áreas cercanas a estos centros educativos.</w:t>
      </w:r>
    </w:p>
    <w:p w14:paraId="2A63EF53" w14:textId="77777777" w:rsidR="00A5686A" w:rsidRDefault="00A5686A" w:rsidP="00251135">
      <w:pPr>
        <w:jc w:val="both"/>
        <w:rPr>
          <w:rFonts w:ascii="Book Antiqua" w:eastAsia="Helvetica Neue" w:hAnsi="Book Antiqua" w:cs="Helvetica Neue"/>
          <w:lang w:val="es-PR"/>
        </w:rPr>
      </w:pPr>
    </w:p>
    <w:p w14:paraId="57D24B13" w14:textId="38F9805C" w:rsidR="00D34B86" w:rsidRPr="00D34B86" w:rsidRDefault="00251135" w:rsidP="00A5686A">
      <w:pPr>
        <w:ind w:firstLine="720"/>
        <w:jc w:val="both"/>
        <w:rPr>
          <w:rFonts w:ascii="Book Antiqua" w:eastAsia="Helvetica Neue" w:hAnsi="Book Antiqua" w:cs="Helvetica Neue"/>
          <w:lang w:val="es-PR"/>
        </w:rPr>
      </w:pPr>
      <w:r w:rsidRPr="00251135">
        <w:rPr>
          <w:rFonts w:ascii="Book Antiqua" w:eastAsia="Helvetica Neue" w:hAnsi="Book Antiqua" w:cs="Helvetica Neue"/>
          <w:lang w:val="es-PR"/>
        </w:rPr>
        <w:t>Asimismo, el memorial reconoce que los niños atendidos en programas “Head Start” constituyen una población particularmente vulnerable en términos de seguridad vial, debido a su corta edad y limitada capacidad de reacción ante situaciones de tránsito. Por tal razón, la exclusión de estos centros de la protección que provee la rotulación de zona escolar podría resultar contraria al objetivo de seguridad pública que persigue el propio manual de control de tránsito.</w:t>
      </w:r>
    </w:p>
    <w:p w14:paraId="22D3F2CE" w14:textId="77777777" w:rsidR="00B728D7" w:rsidRDefault="00B728D7" w:rsidP="006644FF">
      <w:pPr>
        <w:rPr>
          <w:rFonts w:ascii="Book Antiqua" w:eastAsia="Helvetica Neue" w:hAnsi="Book Antiqua" w:cs="Helvetica Neue"/>
          <w:b/>
          <w:bCs/>
          <w:color w:val="313131"/>
          <w:lang w:val="es-PR"/>
        </w:rPr>
      </w:pPr>
    </w:p>
    <w:p w14:paraId="5F136EE3" w14:textId="09B93FDF" w:rsidR="00EE1E93" w:rsidRPr="000D1E9A" w:rsidRDefault="00EE1E93" w:rsidP="003025EC">
      <w:pPr>
        <w:jc w:val="center"/>
        <w:rPr>
          <w:rFonts w:ascii="Book Antiqua" w:eastAsia="Helvetica Neue" w:hAnsi="Book Antiqua" w:cs="Helvetica Neue"/>
        </w:rPr>
      </w:pPr>
      <w:r w:rsidRPr="000D1E9A">
        <w:rPr>
          <w:rFonts w:ascii="Book Antiqua" w:eastAsia="Helvetica Neue" w:hAnsi="Book Antiqua" w:cs="Helvetica Neue"/>
          <w:b/>
          <w:bCs/>
          <w:lang w:val="es-ES"/>
        </w:rPr>
        <w:t>IMPACTO FISCAL</w:t>
      </w:r>
    </w:p>
    <w:p w14:paraId="0791DDD3" w14:textId="77777777" w:rsidR="00EE1E93" w:rsidRPr="000D1E9A" w:rsidRDefault="00EE1E93" w:rsidP="00EE1E93">
      <w:pPr>
        <w:jc w:val="both"/>
        <w:rPr>
          <w:rFonts w:ascii="Book Antiqua" w:eastAsia="Helvetica Neue" w:hAnsi="Book Antiqua" w:cs="Helvetica Neue"/>
          <w:b/>
        </w:rPr>
      </w:pPr>
    </w:p>
    <w:p w14:paraId="01F79596" w14:textId="77777777" w:rsidR="00EE1E93" w:rsidRPr="000D1E9A" w:rsidRDefault="00EE1E93" w:rsidP="00EE1E93">
      <w:pPr>
        <w:jc w:val="both"/>
        <w:rPr>
          <w:rFonts w:ascii="Book Antiqua" w:eastAsia="Helvetica Neue" w:hAnsi="Book Antiqua" w:cs="Helvetica Neue"/>
        </w:rPr>
      </w:pPr>
      <w:r w:rsidRPr="000D1E9A">
        <w:rPr>
          <w:rFonts w:ascii="Book Antiqua" w:eastAsia="Helvetica Neue" w:hAnsi="Book Antiqua" w:cs="Helvetica Neue"/>
          <w:bCs/>
        </w:rPr>
        <w:tab/>
        <w:t xml:space="preserve">Según se desprende de los comentarios recibidos de las agencias gubernamentales, no fue posible determinar un impacto fiscal asociado a esta medida. Por tanto, esta </w:t>
      </w:r>
      <w:r w:rsidRPr="000D1E9A">
        <w:rPr>
          <w:rFonts w:ascii="Book Antiqua" w:eastAsia="Helvetica Neue" w:hAnsi="Book Antiqua" w:cs="Helvetica Neue"/>
          <w:bCs/>
        </w:rPr>
        <w:lastRenderedPageBreak/>
        <w:t>Comisión concluye que la misma no representa un impacto fiscal adicional sobre el presupuesto de gastos del Gobierno proveniente del Fondo General.</w:t>
      </w:r>
    </w:p>
    <w:p w14:paraId="44F53EA5" w14:textId="77777777" w:rsidR="00891F6B" w:rsidRDefault="00891F6B" w:rsidP="00A5686A">
      <w:pPr>
        <w:rPr>
          <w:rFonts w:ascii="Book Antiqua" w:eastAsia="Book Antiqua" w:hAnsi="Book Antiqua" w:cs="Book Antiqua"/>
          <w:b/>
        </w:rPr>
      </w:pPr>
    </w:p>
    <w:p w14:paraId="4558F33E" w14:textId="3DB36A38"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t>CONCLUSIÓN</w:t>
      </w:r>
    </w:p>
    <w:p w14:paraId="007872A2" w14:textId="77777777" w:rsidR="00EE1E93" w:rsidRPr="00700566" w:rsidRDefault="00EE1E93" w:rsidP="00EE1E93">
      <w:pPr>
        <w:jc w:val="both"/>
        <w:rPr>
          <w:rFonts w:ascii="Book Antiqua" w:eastAsia="Book Antiqua" w:hAnsi="Book Antiqua" w:cs="Book Antiqua"/>
        </w:rPr>
      </w:pPr>
    </w:p>
    <w:p w14:paraId="59524740" w14:textId="77777777" w:rsidR="003A1720" w:rsidRDefault="00EE1E93" w:rsidP="003A1720">
      <w:pPr>
        <w:ind w:firstLine="720"/>
        <w:jc w:val="both"/>
        <w:rPr>
          <w:rFonts w:ascii="Book Antiqua" w:eastAsia="Book Antiqua" w:hAnsi="Book Antiqua" w:cs="Book Antiqua"/>
          <w:lang w:val="es-PR"/>
        </w:rPr>
      </w:pPr>
      <w:r w:rsidRPr="00191185">
        <w:rPr>
          <w:rFonts w:ascii="Book Antiqua" w:eastAsia="Book Antiqua" w:hAnsi="Book Antiqua" w:cs="Book Antiqua"/>
          <w:lang w:val="es-PR"/>
        </w:rPr>
        <w:t>La Comisión de Transportación e Infraestructura</w:t>
      </w:r>
      <w:r w:rsidR="00886B04" w:rsidRPr="00886B04">
        <w:rPr>
          <w:rFonts w:ascii="Aptos" w:hAnsi="Aptos" w:cs="Arial"/>
          <w:b/>
          <w:color w:val="000000"/>
          <w:szCs w:val="24"/>
        </w:rPr>
        <w:t xml:space="preserve"> </w:t>
      </w:r>
      <w:r w:rsidR="00A11B57">
        <w:rPr>
          <w:rFonts w:ascii="Book Antiqua" w:eastAsia="Book Antiqua" w:hAnsi="Book Antiqua" w:cs="Book Antiqua"/>
        </w:rPr>
        <w:t>sobre la</w:t>
      </w:r>
      <w:r w:rsidR="00886B04" w:rsidRPr="00886B04">
        <w:rPr>
          <w:rFonts w:ascii="Book Antiqua" w:eastAsia="Book Antiqua" w:hAnsi="Book Antiqua" w:cs="Book Antiqua"/>
        </w:rPr>
        <w:t xml:space="preserve"> Resolución Conjunta de la Cámara </w:t>
      </w:r>
      <w:r w:rsidR="00637276">
        <w:rPr>
          <w:rFonts w:ascii="Book Antiqua" w:eastAsia="Book Antiqua" w:hAnsi="Book Antiqua" w:cs="Book Antiqua"/>
        </w:rPr>
        <w:t>252</w:t>
      </w:r>
      <w:r w:rsidR="00DD7530">
        <w:rPr>
          <w:rFonts w:ascii="Book Antiqua" w:eastAsia="Book Antiqua" w:hAnsi="Book Antiqua" w:cs="Book Antiqua"/>
        </w:rPr>
        <w:t xml:space="preserve">, </w:t>
      </w:r>
      <w:r w:rsidR="003A1720" w:rsidRPr="003A1720">
        <w:rPr>
          <w:rFonts w:ascii="Book Antiqua" w:eastAsia="Book Antiqua" w:hAnsi="Book Antiqua" w:cs="Book Antiqua"/>
          <w:lang w:val="es-PR"/>
        </w:rPr>
        <w:t>atiende una preocupación legítima relacionada con la seguridad vial en los alrededores de centros de educación temprana que atienden a una población particularmente vulnerable.</w:t>
      </w:r>
    </w:p>
    <w:p w14:paraId="45628AA4" w14:textId="77777777" w:rsidR="003A1720" w:rsidRPr="003A1720" w:rsidRDefault="003A1720" w:rsidP="003A1720">
      <w:pPr>
        <w:ind w:firstLine="720"/>
        <w:jc w:val="both"/>
        <w:rPr>
          <w:rFonts w:ascii="Book Antiqua" w:eastAsia="Book Antiqua" w:hAnsi="Book Antiqua" w:cs="Book Antiqua"/>
          <w:lang w:val="es-PR"/>
        </w:rPr>
      </w:pPr>
    </w:p>
    <w:p w14:paraId="220A589F" w14:textId="447B0D0B" w:rsidR="003A1720" w:rsidRPr="003A1720" w:rsidRDefault="003A1720" w:rsidP="003A1720">
      <w:pPr>
        <w:ind w:firstLine="720"/>
        <w:jc w:val="both"/>
        <w:rPr>
          <w:rFonts w:ascii="Book Antiqua" w:eastAsia="Book Antiqua" w:hAnsi="Book Antiqua" w:cs="Book Antiqua"/>
          <w:lang w:val="es-PR"/>
        </w:rPr>
      </w:pPr>
      <w:r w:rsidRPr="003A1720">
        <w:rPr>
          <w:rFonts w:ascii="Book Antiqua" w:eastAsia="Book Antiqua" w:hAnsi="Book Antiqua" w:cs="Book Antiqua"/>
          <w:lang w:val="es-PR"/>
        </w:rPr>
        <w:t xml:space="preserve">Los memoriales recibidos evidencian que la rotulación de zonas escolares en los centros “Head Start” es compatible con el propósito del Manual </w:t>
      </w:r>
      <w:proofErr w:type="spellStart"/>
      <w:r w:rsidRPr="003A1720">
        <w:rPr>
          <w:rFonts w:ascii="Book Antiqua" w:eastAsia="Book Antiqua" w:hAnsi="Book Antiqua" w:cs="Book Antiqua"/>
          <w:lang w:val="es-PR"/>
        </w:rPr>
        <w:t>on</w:t>
      </w:r>
      <w:proofErr w:type="spellEnd"/>
      <w:r w:rsidRPr="003A1720">
        <w:rPr>
          <w:rFonts w:ascii="Book Antiqua" w:eastAsia="Book Antiqua" w:hAnsi="Book Antiqua" w:cs="Book Antiqua"/>
          <w:lang w:val="es-PR"/>
        </w:rPr>
        <w:t xml:space="preserve"> </w:t>
      </w:r>
      <w:proofErr w:type="spellStart"/>
      <w:r w:rsidRPr="003A1720">
        <w:rPr>
          <w:rFonts w:ascii="Book Antiqua" w:eastAsia="Book Antiqua" w:hAnsi="Book Antiqua" w:cs="Book Antiqua"/>
          <w:lang w:val="es-PR"/>
        </w:rPr>
        <w:t>Uniform</w:t>
      </w:r>
      <w:proofErr w:type="spellEnd"/>
      <w:r w:rsidRPr="003A1720">
        <w:rPr>
          <w:rFonts w:ascii="Book Antiqua" w:eastAsia="Book Antiqua" w:hAnsi="Book Antiqua" w:cs="Book Antiqua"/>
          <w:lang w:val="es-PR"/>
        </w:rPr>
        <w:t xml:space="preserve"> </w:t>
      </w:r>
      <w:proofErr w:type="spellStart"/>
      <w:r w:rsidRPr="003A1720">
        <w:rPr>
          <w:rFonts w:ascii="Book Antiqua" w:eastAsia="Book Antiqua" w:hAnsi="Book Antiqua" w:cs="Book Antiqua"/>
          <w:lang w:val="es-PR"/>
        </w:rPr>
        <w:t>Traffic</w:t>
      </w:r>
      <w:proofErr w:type="spellEnd"/>
      <w:r w:rsidRPr="003A1720">
        <w:rPr>
          <w:rFonts w:ascii="Book Antiqua" w:eastAsia="Book Antiqua" w:hAnsi="Book Antiqua" w:cs="Book Antiqua"/>
          <w:lang w:val="es-PR"/>
        </w:rPr>
        <w:t xml:space="preserve"> Control </w:t>
      </w:r>
      <w:proofErr w:type="spellStart"/>
      <w:r w:rsidRPr="003A1720">
        <w:rPr>
          <w:rFonts w:ascii="Book Antiqua" w:eastAsia="Book Antiqua" w:hAnsi="Book Antiqua" w:cs="Book Antiqua"/>
          <w:lang w:val="es-PR"/>
        </w:rPr>
        <w:t>Devices</w:t>
      </w:r>
      <w:proofErr w:type="spellEnd"/>
      <w:r w:rsidRPr="003A1720">
        <w:rPr>
          <w:rFonts w:ascii="Book Antiqua" w:eastAsia="Book Antiqua" w:hAnsi="Book Antiqua" w:cs="Book Antiqua"/>
          <w:lang w:val="es-PR"/>
        </w:rPr>
        <w:t xml:space="preserve"> (MUTCD), el cual busca proteger a menores de edad en entornos educativos mediante advertencias claras y uniformes dirigidas a los conductores.</w:t>
      </w:r>
      <w:r>
        <w:rPr>
          <w:rFonts w:ascii="Book Antiqua" w:eastAsia="Book Antiqua" w:hAnsi="Book Antiqua" w:cs="Book Antiqua"/>
          <w:lang w:val="es-PR"/>
        </w:rPr>
        <w:t xml:space="preserve"> </w:t>
      </w:r>
      <w:r w:rsidRPr="003A1720">
        <w:rPr>
          <w:rFonts w:ascii="Book Antiqua" w:eastAsia="Book Antiqua" w:hAnsi="Book Antiqua" w:cs="Book Antiqua"/>
          <w:lang w:val="es-PR"/>
        </w:rPr>
        <w:t xml:space="preserve">La Comisión entiende que la implementación de estas medidas de señalización preventiva contribuirá significativamente a reducir riesgos de accidentes y a mejorar la seguridad en las áreas cercanas a dichos centros educativos. </w:t>
      </w:r>
    </w:p>
    <w:p w14:paraId="4FB5A14A" w14:textId="7600D3E7" w:rsidR="00EE1E93" w:rsidRPr="00886B04" w:rsidRDefault="00EE1E93" w:rsidP="00FC02D0">
      <w:pPr>
        <w:jc w:val="both"/>
        <w:rPr>
          <w:rFonts w:ascii="Book Antiqua" w:eastAsia="Book Antiqua" w:hAnsi="Book Antiqua" w:cs="Book Antiqua"/>
          <w:lang w:val="es-419"/>
        </w:rPr>
      </w:pPr>
    </w:p>
    <w:p w14:paraId="05F96B97" w14:textId="4967409B" w:rsidR="00EE1E93" w:rsidRPr="00A11D0B" w:rsidRDefault="00EE1E93" w:rsidP="00EE1E93">
      <w:pPr>
        <w:jc w:val="both"/>
        <w:rPr>
          <w:rFonts w:ascii="Book Antiqua" w:eastAsia="Book Antiqua" w:hAnsi="Book Antiqua" w:cs="Book Antiqua"/>
        </w:rPr>
      </w:pPr>
      <w:r>
        <w:rPr>
          <w:rFonts w:ascii="Book Antiqua" w:eastAsia="Book Antiqua" w:hAnsi="Book Antiqua" w:cs="Book Antiqua"/>
        </w:rPr>
        <w:tab/>
      </w:r>
      <w:r w:rsidRPr="00A11D0B">
        <w:rPr>
          <w:rFonts w:ascii="Book Antiqua" w:eastAsia="Book Antiqua" w:hAnsi="Book Antiqua" w:cs="Book Antiqua"/>
        </w:rPr>
        <w:t>Por los fundamentos antes expuestos, la Comisión de Transportación e Infraestructura, somete el presente Informe Positivo</w:t>
      </w:r>
      <w:r>
        <w:rPr>
          <w:rFonts w:ascii="Book Antiqua" w:eastAsia="Book Antiqua" w:hAnsi="Book Antiqua" w:cs="Book Antiqua"/>
        </w:rPr>
        <w:t xml:space="preserve"> de</w:t>
      </w:r>
      <w:r w:rsidR="00684107">
        <w:rPr>
          <w:rFonts w:ascii="Book Antiqua" w:eastAsia="Book Antiqua" w:hAnsi="Book Antiqua" w:cs="Book Antiqua"/>
        </w:rPr>
        <w:t>l</w:t>
      </w:r>
      <w:r>
        <w:rPr>
          <w:rFonts w:ascii="Book Antiqua" w:eastAsia="Book Antiqua" w:hAnsi="Book Antiqua" w:cs="Book Antiqua"/>
        </w:rPr>
        <w:t xml:space="preserve"> </w:t>
      </w:r>
      <w:r w:rsidR="000D1E9A">
        <w:rPr>
          <w:rFonts w:ascii="Book Antiqua" w:eastAsia="Book Antiqua" w:hAnsi="Book Antiqua" w:cs="Book Antiqua"/>
        </w:rPr>
        <w:t>R</w:t>
      </w:r>
      <w:r>
        <w:rPr>
          <w:rFonts w:ascii="Book Antiqua" w:eastAsia="Book Antiqua" w:hAnsi="Book Antiqua" w:cs="Book Antiqua"/>
        </w:rPr>
        <w:t xml:space="preserve">. </w:t>
      </w:r>
      <w:r w:rsidR="000D1E9A">
        <w:rPr>
          <w:rFonts w:ascii="Book Antiqua" w:eastAsia="Book Antiqua" w:hAnsi="Book Antiqua" w:cs="Book Antiqua"/>
        </w:rPr>
        <w:t xml:space="preserve">C. </w:t>
      </w:r>
      <w:r>
        <w:rPr>
          <w:rFonts w:ascii="Book Antiqua" w:eastAsia="Book Antiqua" w:hAnsi="Book Antiqua" w:cs="Book Antiqua"/>
        </w:rPr>
        <w:t>de la C.</w:t>
      </w:r>
      <w:r w:rsidR="00DD7530">
        <w:rPr>
          <w:rFonts w:ascii="Book Antiqua" w:eastAsia="Book Antiqua" w:hAnsi="Book Antiqua" w:cs="Book Antiqua"/>
        </w:rPr>
        <w:t xml:space="preserve"> </w:t>
      </w:r>
      <w:r w:rsidR="00637276">
        <w:rPr>
          <w:rFonts w:ascii="Book Antiqua" w:eastAsia="Book Antiqua" w:hAnsi="Book Antiqua" w:cs="Book Antiqua"/>
        </w:rPr>
        <w:t>252</w:t>
      </w:r>
      <w:r w:rsidRPr="00A11D0B">
        <w:rPr>
          <w:rFonts w:ascii="Book Antiqua" w:eastAsia="Book Antiqua" w:hAnsi="Book Antiqua" w:cs="Book Antiqua"/>
        </w:rPr>
        <w:t xml:space="preserve"> en el que recomendamos a este Honorable Cuerpo su aprobación, con enmiendas incluidas en el </w:t>
      </w:r>
      <w:proofErr w:type="spellStart"/>
      <w:r w:rsidRPr="00A11D0B">
        <w:rPr>
          <w:rFonts w:ascii="Book Antiqua" w:eastAsia="Book Antiqua" w:hAnsi="Book Antiqua" w:cs="Book Antiqua"/>
        </w:rPr>
        <w:t>entirillado</w:t>
      </w:r>
      <w:proofErr w:type="spellEnd"/>
      <w:r w:rsidRPr="00A11D0B">
        <w:rPr>
          <w:rFonts w:ascii="Book Antiqua" w:eastAsia="Book Antiqua" w:hAnsi="Book Antiqua" w:cs="Book Antiqua"/>
        </w:rPr>
        <w:t xml:space="preserve"> electrónico que se acompaña.</w:t>
      </w:r>
    </w:p>
    <w:p w14:paraId="4CA1379A" w14:textId="77777777" w:rsidR="00EE1E93" w:rsidRPr="00700566" w:rsidRDefault="00EE1E93" w:rsidP="00EE1E93">
      <w:pPr>
        <w:jc w:val="both"/>
        <w:rPr>
          <w:rFonts w:ascii="Book Antiqua" w:eastAsia="Book Antiqua" w:hAnsi="Book Antiqua" w:cs="Book Antiqua"/>
        </w:rPr>
      </w:pPr>
    </w:p>
    <w:p w14:paraId="5FDEEE2D" w14:textId="77777777" w:rsidR="00EE1E93" w:rsidRPr="00700566" w:rsidRDefault="00EE1E93" w:rsidP="00EE1E93">
      <w:pPr>
        <w:jc w:val="both"/>
        <w:rPr>
          <w:rFonts w:ascii="Book Antiqua" w:eastAsia="Book Antiqua" w:hAnsi="Book Antiqua" w:cs="Book Antiqua"/>
        </w:rPr>
      </w:pPr>
    </w:p>
    <w:p w14:paraId="06642F62"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Respetuosamente sometido,</w:t>
      </w:r>
    </w:p>
    <w:p w14:paraId="47D5CC5D" w14:textId="77777777" w:rsidR="00EE1E93" w:rsidRPr="00700566" w:rsidRDefault="00EE1E93" w:rsidP="00EE1E93">
      <w:pPr>
        <w:jc w:val="both"/>
        <w:rPr>
          <w:rFonts w:ascii="Book Antiqua" w:eastAsia="Book Antiqua" w:hAnsi="Book Antiqua" w:cs="Book Antiqua"/>
        </w:rPr>
      </w:pPr>
    </w:p>
    <w:p w14:paraId="700DE459" w14:textId="77777777" w:rsidR="00EE1E93" w:rsidRDefault="00EE1E93" w:rsidP="00EE1E93">
      <w:pPr>
        <w:jc w:val="both"/>
        <w:rPr>
          <w:rFonts w:ascii="Book Antiqua" w:eastAsia="Book Antiqua" w:hAnsi="Book Antiqua" w:cs="Book Antiqua"/>
        </w:rPr>
      </w:pPr>
    </w:p>
    <w:p w14:paraId="7DA5C08D" w14:textId="77777777" w:rsidR="00FC02D0" w:rsidRDefault="00FC02D0" w:rsidP="00EE1E93">
      <w:pPr>
        <w:jc w:val="both"/>
        <w:rPr>
          <w:rFonts w:ascii="Book Antiqua" w:eastAsia="Book Antiqua" w:hAnsi="Book Antiqua" w:cs="Book Antiqua"/>
        </w:rPr>
      </w:pPr>
    </w:p>
    <w:p w14:paraId="268DBB04" w14:textId="77777777" w:rsidR="003A1720" w:rsidRPr="00700566" w:rsidRDefault="003A1720" w:rsidP="00EE1E93">
      <w:pPr>
        <w:jc w:val="both"/>
        <w:rPr>
          <w:rFonts w:ascii="Book Antiqua" w:eastAsia="Book Antiqua" w:hAnsi="Book Antiqua" w:cs="Book Antiqua"/>
        </w:rPr>
      </w:pPr>
    </w:p>
    <w:p w14:paraId="5FFE1EFE"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 xml:space="preserve">Hon. José </w:t>
      </w:r>
      <w:r>
        <w:rPr>
          <w:rFonts w:ascii="Book Antiqua" w:eastAsia="Book Antiqua" w:hAnsi="Book Antiqua" w:cs="Book Antiqua"/>
        </w:rPr>
        <w:t xml:space="preserve">A. </w:t>
      </w:r>
      <w:r w:rsidRPr="00700566">
        <w:rPr>
          <w:rFonts w:ascii="Book Antiqua" w:eastAsia="Book Antiqua" w:hAnsi="Book Antiqua" w:cs="Book Antiqua"/>
        </w:rPr>
        <w:t xml:space="preserve">Hernández Concepción </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 xml:space="preserve"> </w:t>
      </w:r>
    </w:p>
    <w:p w14:paraId="32F7EF6F"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Presidente</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p>
    <w:p w14:paraId="6CA94425"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 xml:space="preserve">Comisión de Transportación e Infraestructura </w:t>
      </w:r>
    </w:p>
    <w:p w14:paraId="65A6C890" w14:textId="77777777" w:rsidR="00EE1E93" w:rsidRPr="00700566" w:rsidRDefault="00EE1E93">
      <w:pPr>
        <w:jc w:val="both"/>
        <w:rPr>
          <w:rFonts w:ascii="Book Antiqua" w:eastAsia="Book Antiqua" w:hAnsi="Book Antiqua" w:cs="Book Antiqua"/>
        </w:rPr>
      </w:pPr>
    </w:p>
    <w:sectPr w:rsidR="00EE1E93"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07BA7E" w14:textId="77777777" w:rsidR="001135E2" w:rsidRDefault="001135E2">
      <w:r>
        <w:separator/>
      </w:r>
    </w:p>
  </w:endnote>
  <w:endnote w:type="continuationSeparator" w:id="0">
    <w:p w14:paraId="6ECD71D5" w14:textId="77777777" w:rsidR="001135E2" w:rsidRDefault="001135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05A5C732-C978-4AC0-80C2-10893BA04F43}"/>
  </w:font>
  <w:font w:name="Helvetica">
    <w:panose1 w:val="020B0604020202020204"/>
    <w:charset w:val="00"/>
    <w:family w:val="swiss"/>
    <w:pitch w:val="variable"/>
    <w:sig w:usb0="E0002EFF" w:usb1="C000785B" w:usb2="00000009" w:usb3="00000000" w:csb0="000001FF" w:csb1="00000000"/>
    <w:embedRegular r:id="rId2" w:fontKey="{CF13FB1A-F54F-4E51-9B7C-9AF33BF83868}"/>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638CF800-A62F-460B-AFFA-400B64E6CCA9}"/>
  </w:font>
  <w:font w:name="Georgia">
    <w:panose1 w:val="02040502050405020303"/>
    <w:charset w:val="00"/>
    <w:family w:val="roman"/>
    <w:pitch w:val="variable"/>
    <w:sig w:usb0="00000287" w:usb1="00000000" w:usb2="00000000" w:usb3="00000000" w:csb0="0000009F" w:csb1="00000000"/>
    <w:embedRegular r:id="rId4" w:fontKey="{4087B42E-842D-4C66-9A3B-985805D7BE3F}"/>
    <w:embedItalic r:id="rId5" w:fontKey="{D6C113BB-57D7-44A9-A328-29BA41B1D748}"/>
  </w:font>
  <w:font w:name="Book Antiqua">
    <w:panose1 w:val="02040602050305030304"/>
    <w:charset w:val="00"/>
    <w:family w:val="roman"/>
    <w:pitch w:val="variable"/>
    <w:sig w:usb0="00000287" w:usb1="00000000" w:usb2="00000000" w:usb3="00000000" w:csb0="0000009F" w:csb1="00000000"/>
    <w:embedRegular r:id="rId6" w:fontKey="{AD72A85A-8AF3-4BA0-8FAC-C1EBB40E167D}"/>
    <w:embedBold r:id="rId7" w:fontKey="{90DFC5D6-613A-42CD-9C08-D799CFCA207F}"/>
  </w:font>
  <w:font w:name="Helvetica Neue">
    <w:charset w:val="00"/>
    <w:family w:val="auto"/>
    <w:pitch w:val="default"/>
    <w:embedRegular r:id="rId8" w:fontKey="{A0F48CD4-5850-417F-B6E0-276740CA8B93}"/>
    <w:embedBold r:id="rId9" w:fontKey="{627C864B-9C8F-47BF-92BA-9A5A1DAB1368}"/>
  </w:font>
  <w:font w:name="Aptos">
    <w:charset w:val="00"/>
    <w:family w:val="swiss"/>
    <w:pitch w:val="variable"/>
    <w:sig w:usb0="20000287" w:usb1="00000003" w:usb2="00000000" w:usb3="00000000" w:csb0="0000019F" w:csb1="00000000"/>
    <w:embedBold r:id="rId10" w:fontKey="{C8C3BE4D-8ABA-48F0-B90A-C2F0AD3ED9C2}"/>
  </w:font>
  <w:font w:name="Arial">
    <w:panose1 w:val="020B0604020202020204"/>
    <w:charset w:val="00"/>
    <w:family w:val="swiss"/>
    <w:pitch w:val="variable"/>
    <w:sig w:usb0="E0002EFF" w:usb1="C000785B" w:usb2="00000009" w:usb3="00000000" w:csb0="000001FF" w:csb1="00000000"/>
  </w:font>
  <w:font w:name="Lustria">
    <w:altName w:val="Calibri"/>
    <w:charset w:val="00"/>
    <w:family w:val="auto"/>
    <w:pitch w:val="default"/>
    <w:embedRegular r:id="rId11" w:fontKey="{5A6DB3B9-77F2-4447-A0A2-CFC1780C6B40}"/>
    <w:embedBoldItalic r:id="rId12" w:fontKey="{4398E766-D625-4CD1-9EF1-303B364F9183}"/>
  </w:font>
  <w:font w:name="Cambria">
    <w:panose1 w:val="02040503050406030204"/>
    <w:charset w:val="00"/>
    <w:family w:val="roman"/>
    <w:pitch w:val="variable"/>
    <w:sig w:usb0="E00006FF" w:usb1="420024FF" w:usb2="02000000" w:usb3="00000000" w:csb0="0000019F" w:csb1="00000000"/>
    <w:embedRegular r:id="rId13" w:fontKey="{D4AE584A-C2C0-42A9-852B-BE070245C022}"/>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310E08" w14:textId="77777777" w:rsidR="001135E2" w:rsidRDefault="001135E2">
      <w:r>
        <w:separator/>
      </w:r>
    </w:p>
  </w:footnote>
  <w:footnote w:type="continuationSeparator" w:id="0">
    <w:p w14:paraId="132D50CF" w14:textId="77777777" w:rsidR="001135E2" w:rsidRDefault="001135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141B5C34"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Informe sobre el </w:t>
    </w:r>
    <w:r w:rsidR="00B23695">
      <w:rPr>
        <w:rFonts w:ascii="Lustria" w:eastAsia="Lustria" w:hAnsi="Lustria" w:cs="Lustria"/>
        <w:b/>
        <w:i/>
        <w:sz w:val="22"/>
        <w:szCs w:val="22"/>
      </w:rPr>
      <w:t>R</w:t>
    </w:r>
    <w:r>
      <w:rPr>
        <w:rFonts w:ascii="Lustria" w:eastAsia="Lustria" w:hAnsi="Lustria" w:cs="Lustria"/>
        <w:b/>
        <w:i/>
        <w:sz w:val="22"/>
        <w:szCs w:val="22"/>
      </w:rPr>
      <w:t xml:space="preserve">. </w:t>
    </w:r>
    <w:r w:rsidR="00B23695">
      <w:rPr>
        <w:rFonts w:ascii="Lustria" w:eastAsia="Lustria" w:hAnsi="Lustria" w:cs="Lustria"/>
        <w:b/>
        <w:i/>
        <w:sz w:val="22"/>
        <w:szCs w:val="22"/>
      </w:rPr>
      <w:t xml:space="preserve">C. </w:t>
    </w:r>
    <w:r>
      <w:rPr>
        <w:rFonts w:ascii="Lustria" w:eastAsia="Lustria" w:hAnsi="Lustria" w:cs="Lustria"/>
        <w:b/>
        <w:i/>
        <w:sz w:val="22"/>
        <w:szCs w:val="22"/>
      </w:rPr>
      <w:t xml:space="preserve">de la C. </w:t>
    </w:r>
    <w:r w:rsidR="00DD2B52">
      <w:rPr>
        <w:rFonts w:ascii="Lustria" w:eastAsia="Lustria" w:hAnsi="Lustria" w:cs="Lustria"/>
        <w:b/>
        <w:i/>
        <w:sz w:val="22"/>
        <w:szCs w:val="22"/>
      </w:rPr>
      <w:t>252</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17E03"/>
    <w:multiLevelType w:val="hybridMultilevel"/>
    <w:tmpl w:val="7DBAB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783E24C2"/>
    <w:multiLevelType w:val="hybridMultilevel"/>
    <w:tmpl w:val="DBCCA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5089543">
    <w:abstractNumId w:val="1"/>
  </w:num>
  <w:num w:numId="2" w16cid:durableId="1680161178">
    <w:abstractNumId w:val="2"/>
  </w:num>
  <w:num w:numId="3" w16cid:durableId="12439502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4BA5"/>
    <w:rsid w:val="00012F1A"/>
    <w:rsid w:val="0001379B"/>
    <w:rsid w:val="00020305"/>
    <w:rsid w:val="0002740C"/>
    <w:rsid w:val="00027729"/>
    <w:rsid w:val="00051D05"/>
    <w:rsid w:val="000562AB"/>
    <w:rsid w:val="00074013"/>
    <w:rsid w:val="00080F3B"/>
    <w:rsid w:val="00094AE9"/>
    <w:rsid w:val="000A19FD"/>
    <w:rsid w:val="000A5E2C"/>
    <w:rsid w:val="000A752D"/>
    <w:rsid w:val="000C098A"/>
    <w:rsid w:val="000D1E9A"/>
    <w:rsid w:val="000D2DA6"/>
    <w:rsid w:val="000E31E3"/>
    <w:rsid w:val="000F7A24"/>
    <w:rsid w:val="00101FB4"/>
    <w:rsid w:val="001135E2"/>
    <w:rsid w:val="0012417C"/>
    <w:rsid w:val="0013656C"/>
    <w:rsid w:val="00147B7C"/>
    <w:rsid w:val="00160C1F"/>
    <w:rsid w:val="001619B2"/>
    <w:rsid w:val="00171293"/>
    <w:rsid w:val="001714C4"/>
    <w:rsid w:val="00176DA0"/>
    <w:rsid w:val="0019085D"/>
    <w:rsid w:val="00191185"/>
    <w:rsid w:val="001919C2"/>
    <w:rsid w:val="00196C5A"/>
    <w:rsid w:val="001A3E93"/>
    <w:rsid w:val="001D424E"/>
    <w:rsid w:val="001E16CE"/>
    <w:rsid w:val="001E2B57"/>
    <w:rsid w:val="001E2EB4"/>
    <w:rsid w:val="001E6E24"/>
    <w:rsid w:val="002022DC"/>
    <w:rsid w:val="00202B9F"/>
    <w:rsid w:val="00204C67"/>
    <w:rsid w:val="00220975"/>
    <w:rsid w:val="00222393"/>
    <w:rsid w:val="00235829"/>
    <w:rsid w:val="00251135"/>
    <w:rsid w:val="00253784"/>
    <w:rsid w:val="00266B2F"/>
    <w:rsid w:val="00274850"/>
    <w:rsid w:val="002B3EE3"/>
    <w:rsid w:val="002B4336"/>
    <w:rsid w:val="002C6FDB"/>
    <w:rsid w:val="002D4DC3"/>
    <w:rsid w:val="002E1FA6"/>
    <w:rsid w:val="002E62AC"/>
    <w:rsid w:val="002E69C5"/>
    <w:rsid w:val="002E6DD3"/>
    <w:rsid w:val="002F2F5A"/>
    <w:rsid w:val="003025EC"/>
    <w:rsid w:val="003072C1"/>
    <w:rsid w:val="00326EAF"/>
    <w:rsid w:val="003277C8"/>
    <w:rsid w:val="00333FB4"/>
    <w:rsid w:val="003448B4"/>
    <w:rsid w:val="0035050C"/>
    <w:rsid w:val="0035616B"/>
    <w:rsid w:val="0037197C"/>
    <w:rsid w:val="00373E49"/>
    <w:rsid w:val="00382780"/>
    <w:rsid w:val="00383D79"/>
    <w:rsid w:val="003867AC"/>
    <w:rsid w:val="0039352E"/>
    <w:rsid w:val="0039437F"/>
    <w:rsid w:val="003A0F94"/>
    <w:rsid w:val="003A1720"/>
    <w:rsid w:val="003B11C5"/>
    <w:rsid w:val="003E479C"/>
    <w:rsid w:val="003F43A2"/>
    <w:rsid w:val="00400B99"/>
    <w:rsid w:val="004277D8"/>
    <w:rsid w:val="00431557"/>
    <w:rsid w:val="00433622"/>
    <w:rsid w:val="0044377E"/>
    <w:rsid w:val="004673DA"/>
    <w:rsid w:val="0047119B"/>
    <w:rsid w:val="004730E0"/>
    <w:rsid w:val="00473D39"/>
    <w:rsid w:val="00475814"/>
    <w:rsid w:val="0049326F"/>
    <w:rsid w:val="004A6565"/>
    <w:rsid w:val="004B370E"/>
    <w:rsid w:val="004D1EC7"/>
    <w:rsid w:val="004D3D36"/>
    <w:rsid w:val="004E28E4"/>
    <w:rsid w:val="00501798"/>
    <w:rsid w:val="005059B4"/>
    <w:rsid w:val="00506A3D"/>
    <w:rsid w:val="005227C0"/>
    <w:rsid w:val="0054566C"/>
    <w:rsid w:val="005456F5"/>
    <w:rsid w:val="00550313"/>
    <w:rsid w:val="00557604"/>
    <w:rsid w:val="005858EA"/>
    <w:rsid w:val="005871BE"/>
    <w:rsid w:val="00596F5B"/>
    <w:rsid w:val="005A1843"/>
    <w:rsid w:val="005A6765"/>
    <w:rsid w:val="005E4A2F"/>
    <w:rsid w:val="00605CE1"/>
    <w:rsid w:val="0060692B"/>
    <w:rsid w:val="006354F3"/>
    <w:rsid w:val="00637276"/>
    <w:rsid w:val="00642646"/>
    <w:rsid w:val="006644FF"/>
    <w:rsid w:val="0068352C"/>
    <w:rsid w:val="00684107"/>
    <w:rsid w:val="00684ECE"/>
    <w:rsid w:val="006908FA"/>
    <w:rsid w:val="006A552A"/>
    <w:rsid w:val="006A7E5E"/>
    <w:rsid w:val="006C2186"/>
    <w:rsid w:val="006D297F"/>
    <w:rsid w:val="006E029C"/>
    <w:rsid w:val="00700566"/>
    <w:rsid w:val="00702D47"/>
    <w:rsid w:val="00714B55"/>
    <w:rsid w:val="0071797E"/>
    <w:rsid w:val="007303A4"/>
    <w:rsid w:val="00735C8F"/>
    <w:rsid w:val="00742E97"/>
    <w:rsid w:val="00766B8B"/>
    <w:rsid w:val="00772095"/>
    <w:rsid w:val="00785FCE"/>
    <w:rsid w:val="0079045F"/>
    <w:rsid w:val="007923B1"/>
    <w:rsid w:val="00797E58"/>
    <w:rsid w:val="00797FCC"/>
    <w:rsid w:val="007A15F9"/>
    <w:rsid w:val="007A2D94"/>
    <w:rsid w:val="007C31AB"/>
    <w:rsid w:val="007C3C34"/>
    <w:rsid w:val="007C6404"/>
    <w:rsid w:val="007D441D"/>
    <w:rsid w:val="007F09EB"/>
    <w:rsid w:val="007F0CDC"/>
    <w:rsid w:val="007F5687"/>
    <w:rsid w:val="00817784"/>
    <w:rsid w:val="0083404D"/>
    <w:rsid w:val="008355F8"/>
    <w:rsid w:val="00835F7B"/>
    <w:rsid w:val="00842EBD"/>
    <w:rsid w:val="0085373F"/>
    <w:rsid w:val="0085568D"/>
    <w:rsid w:val="00866D80"/>
    <w:rsid w:val="00875CE7"/>
    <w:rsid w:val="00884F6A"/>
    <w:rsid w:val="00886B04"/>
    <w:rsid w:val="00891F6B"/>
    <w:rsid w:val="008931F3"/>
    <w:rsid w:val="00897774"/>
    <w:rsid w:val="008A65F0"/>
    <w:rsid w:val="008A7B90"/>
    <w:rsid w:val="008B0187"/>
    <w:rsid w:val="008B5454"/>
    <w:rsid w:val="008C1751"/>
    <w:rsid w:val="008D3F5B"/>
    <w:rsid w:val="008E26E3"/>
    <w:rsid w:val="008E7719"/>
    <w:rsid w:val="008F15BB"/>
    <w:rsid w:val="008F30F0"/>
    <w:rsid w:val="008F40D0"/>
    <w:rsid w:val="009048A3"/>
    <w:rsid w:val="0091544D"/>
    <w:rsid w:val="009157C1"/>
    <w:rsid w:val="00922E41"/>
    <w:rsid w:val="00926B19"/>
    <w:rsid w:val="00935E5C"/>
    <w:rsid w:val="00940A79"/>
    <w:rsid w:val="00963598"/>
    <w:rsid w:val="0096686E"/>
    <w:rsid w:val="009742B0"/>
    <w:rsid w:val="009821D1"/>
    <w:rsid w:val="00984099"/>
    <w:rsid w:val="009A00FC"/>
    <w:rsid w:val="009E0BE7"/>
    <w:rsid w:val="009E7555"/>
    <w:rsid w:val="00A11B57"/>
    <w:rsid w:val="00A11D0B"/>
    <w:rsid w:val="00A24012"/>
    <w:rsid w:val="00A27CCB"/>
    <w:rsid w:val="00A43849"/>
    <w:rsid w:val="00A44E76"/>
    <w:rsid w:val="00A54DD0"/>
    <w:rsid w:val="00A5686A"/>
    <w:rsid w:val="00A57E02"/>
    <w:rsid w:val="00A62FD8"/>
    <w:rsid w:val="00A75272"/>
    <w:rsid w:val="00A95142"/>
    <w:rsid w:val="00AB45BB"/>
    <w:rsid w:val="00AC7FD7"/>
    <w:rsid w:val="00AD05EA"/>
    <w:rsid w:val="00AE1FD3"/>
    <w:rsid w:val="00AE4383"/>
    <w:rsid w:val="00AE44CF"/>
    <w:rsid w:val="00AE716D"/>
    <w:rsid w:val="00B21168"/>
    <w:rsid w:val="00B23695"/>
    <w:rsid w:val="00B24938"/>
    <w:rsid w:val="00B43BBC"/>
    <w:rsid w:val="00B45C76"/>
    <w:rsid w:val="00B46ABC"/>
    <w:rsid w:val="00B52476"/>
    <w:rsid w:val="00B57A56"/>
    <w:rsid w:val="00B728D7"/>
    <w:rsid w:val="00B74156"/>
    <w:rsid w:val="00B80F7B"/>
    <w:rsid w:val="00B8122E"/>
    <w:rsid w:val="00B87F50"/>
    <w:rsid w:val="00B93150"/>
    <w:rsid w:val="00BA4DF7"/>
    <w:rsid w:val="00BF044B"/>
    <w:rsid w:val="00C023B0"/>
    <w:rsid w:val="00C13D9D"/>
    <w:rsid w:val="00C1423C"/>
    <w:rsid w:val="00C41F71"/>
    <w:rsid w:val="00C52C44"/>
    <w:rsid w:val="00C667AF"/>
    <w:rsid w:val="00C73728"/>
    <w:rsid w:val="00C82CE2"/>
    <w:rsid w:val="00C87206"/>
    <w:rsid w:val="00C944CF"/>
    <w:rsid w:val="00CA549E"/>
    <w:rsid w:val="00CA6335"/>
    <w:rsid w:val="00CB5781"/>
    <w:rsid w:val="00CC0947"/>
    <w:rsid w:val="00CD59A0"/>
    <w:rsid w:val="00CD62E0"/>
    <w:rsid w:val="00CE23D0"/>
    <w:rsid w:val="00CE3657"/>
    <w:rsid w:val="00CE7112"/>
    <w:rsid w:val="00CF7117"/>
    <w:rsid w:val="00D13155"/>
    <w:rsid w:val="00D137D3"/>
    <w:rsid w:val="00D16C60"/>
    <w:rsid w:val="00D20E59"/>
    <w:rsid w:val="00D34B86"/>
    <w:rsid w:val="00D5029F"/>
    <w:rsid w:val="00D60BBD"/>
    <w:rsid w:val="00D728F6"/>
    <w:rsid w:val="00D740F8"/>
    <w:rsid w:val="00D7774F"/>
    <w:rsid w:val="00D8151F"/>
    <w:rsid w:val="00D82337"/>
    <w:rsid w:val="00D83118"/>
    <w:rsid w:val="00D8739D"/>
    <w:rsid w:val="00D92C8F"/>
    <w:rsid w:val="00DB02F9"/>
    <w:rsid w:val="00DB46A4"/>
    <w:rsid w:val="00DD2B52"/>
    <w:rsid w:val="00DD6037"/>
    <w:rsid w:val="00DD657F"/>
    <w:rsid w:val="00DD6D1E"/>
    <w:rsid w:val="00DD7530"/>
    <w:rsid w:val="00DE0649"/>
    <w:rsid w:val="00DE6658"/>
    <w:rsid w:val="00DF6BC4"/>
    <w:rsid w:val="00DF7A22"/>
    <w:rsid w:val="00E000B2"/>
    <w:rsid w:val="00E0493C"/>
    <w:rsid w:val="00E16D68"/>
    <w:rsid w:val="00E24AC1"/>
    <w:rsid w:val="00E3056E"/>
    <w:rsid w:val="00E374AE"/>
    <w:rsid w:val="00E62D96"/>
    <w:rsid w:val="00E63172"/>
    <w:rsid w:val="00E776D5"/>
    <w:rsid w:val="00E77959"/>
    <w:rsid w:val="00E8576C"/>
    <w:rsid w:val="00E94557"/>
    <w:rsid w:val="00EA26A1"/>
    <w:rsid w:val="00EB340F"/>
    <w:rsid w:val="00ED6177"/>
    <w:rsid w:val="00EE1E93"/>
    <w:rsid w:val="00EE5B6A"/>
    <w:rsid w:val="00F01A45"/>
    <w:rsid w:val="00F01B4D"/>
    <w:rsid w:val="00F032FA"/>
    <w:rsid w:val="00F05EFF"/>
    <w:rsid w:val="00F104E1"/>
    <w:rsid w:val="00F26D5A"/>
    <w:rsid w:val="00F33BFA"/>
    <w:rsid w:val="00F366B9"/>
    <w:rsid w:val="00F64D5F"/>
    <w:rsid w:val="00F85924"/>
    <w:rsid w:val="00F97B87"/>
    <w:rsid w:val="00FA71C8"/>
    <w:rsid w:val="00FA747A"/>
    <w:rsid w:val="00FB1972"/>
    <w:rsid w:val="00FB2FCA"/>
    <w:rsid w:val="00FB36AF"/>
    <w:rsid w:val="00FC02D0"/>
    <w:rsid w:val="00FD2347"/>
    <w:rsid w:val="00FE798D"/>
    <w:rsid w:val="00FF242C"/>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338191893">
      <w:bodyDiv w:val="1"/>
      <w:marLeft w:val="0"/>
      <w:marRight w:val="0"/>
      <w:marTop w:val="0"/>
      <w:marBottom w:val="0"/>
      <w:divBdr>
        <w:top w:val="none" w:sz="0" w:space="0" w:color="auto"/>
        <w:left w:val="none" w:sz="0" w:space="0" w:color="auto"/>
        <w:bottom w:val="none" w:sz="0" w:space="0" w:color="auto"/>
        <w:right w:val="none" w:sz="0" w:space="0" w:color="auto"/>
      </w:divBdr>
    </w:div>
    <w:div w:id="146643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833</Words>
  <Characters>4642</Characters>
  <Application>Microsoft Office Word</Application>
  <DocSecurity>4</DocSecurity>
  <Lines>111</Lines>
  <Paragraphs>29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Camyl Moreno Pantojas</cp:lastModifiedBy>
  <cp:revision>2</cp:revision>
  <cp:lastPrinted>2026-03-16T12:51:00Z</cp:lastPrinted>
  <dcterms:created xsi:type="dcterms:W3CDTF">2026-03-16T20:54:00Z</dcterms:created>
  <dcterms:modified xsi:type="dcterms:W3CDTF">2026-03-16T20:54:00Z</dcterms:modified>
</cp:coreProperties>
</file>