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248362" w14:textId="77777777" w:rsidR="00A54AF0" w:rsidRPr="00CB1979" w:rsidRDefault="00A54AF0" w:rsidP="00A54AF0">
      <w:pPr>
        <w:spacing w:after="0" w:line="240" w:lineRule="auto"/>
        <w:jc w:val="center"/>
        <w:rPr>
          <w:rFonts w:ascii="Book Antiqua" w:eastAsia="Times New Roman" w:hAnsi="Book Antiqua" w:cs="Times New Roman"/>
          <w:b/>
          <w:color w:val="000000"/>
          <w:kern w:val="0"/>
          <w:sz w:val="28"/>
          <w:szCs w:val="28"/>
          <w14:ligatures w14:val="none"/>
        </w:rPr>
      </w:pPr>
      <w:r w:rsidRPr="00CB1979">
        <w:rPr>
          <w:rFonts w:ascii="Book Antiqua" w:eastAsia="Times New Roman" w:hAnsi="Book Antiqua" w:cs="Times New Roman"/>
          <w:b/>
          <w:color w:val="000000"/>
          <w:kern w:val="0"/>
          <w:sz w:val="28"/>
          <w:szCs w:val="28"/>
          <w14:ligatures w14:val="none"/>
        </w:rPr>
        <w:t>GOBIERNO DE PUERTO RICO</w:t>
      </w:r>
    </w:p>
    <w:p w14:paraId="55131F5B" w14:textId="77777777" w:rsidR="000C5343" w:rsidRPr="00CB1979" w:rsidRDefault="000C5343" w:rsidP="00A54AF0">
      <w:pPr>
        <w:spacing w:after="0" w:line="240" w:lineRule="auto"/>
        <w:jc w:val="center"/>
        <w:rPr>
          <w:rFonts w:ascii="Book Antiqua" w:eastAsia="Times New Roman" w:hAnsi="Book Antiqua" w:cs="Times New Roman"/>
          <w:color w:val="000000"/>
          <w:kern w:val="0"/>
          <w14:ligatures w14:val="none"/>
        </w:rPr>
      </w:pPr>
    </w:p>
    <w:p w14:paraId="22D13054" w14:textId="77777777" w:rsidR="00A54AF0" w:rsidRPr="00CB1979" w:rsidRDefault="00A54AF0" w:rsidP="00A54AF0">
      <w:pPr>
        <w:autoSpaceDE w:val="0"/>
        <w:autoSpaceDN w:val="0"/>
        <w:adjustRightInd w:val="0"/>
        <w:spacing w:after="0" w:line="240" w:lineRule="auto"/>
        <w:rPr>
          <w:rFonts w:ascii="Book Antiqua" w:eastAsia="Times New Roman" w:hAnsi="Book Antiqua" w:cs="Times New Roman"/>
          <w:color w:val="000000"/>
          <w:kern w:val="0"/>
          <w:lang w:val="es-ES"/>
          <w14:ligatures w14:val="none"/>
        </w:rPr>
      </w:pPr>
    </w:p>
    <w:p w14:paraId="4E37C54E" w14:textId="270037C8" w:rsidR="00A54AF0" w:rsidRPr="00CB1979" w:rsidRDefault="00A54AF0" w:rsidP="00A54AF0">
      <w:pPr>
        <w:autoSpaceDE w:val="0"/>
        <w:autoSpaceDN w:val="0"/>
        <w:adjustRightInd w:val="0"/>
        <w:spacing w:after="0" w:line="240" w:lineRule="auto"/>
        <w:rPr>
          <w:rFonts w:ascii="Book Antiqua" w:eastAsia="Times New Roman" w:hAnsi="Book Antiqua" w:cs="Times New Roman"/>
          <w:color w:val="000000"/>
          <w:kern w:val="0"/>
          <w:lang w:val="es-ES"/>
          <w14:ligatures w14:val="none"/>
        </w:rPr>
      </w:pPr>
      <w:r w:rsidRPr="00CB1979">
        <w:rPr>
          <w:rFonts w:ascii="Book Antiqua" w:eastAsia="Times New Roman" w:hAnsi="Book Antiqua" w:cs="Times New Roman"/>
          <w:color w:val="000000"/>
          <w:kern w:val="0"/>
          <w:lang w:val="es-ES"/>
          <w14:ligatures w14:val="none"/>
        </w:rPr>
        <w:t>20</w:t>
      </w:r>
      <w:r w:rsidRPr="00CB1979">
        <w:rPr>
          <w:rFonts w:ascii="Book Antiqua" w:eastAsia="Times New Roman" w:hAnsi="Book Antiqua" w:cs="Times New Roman"/>
          <w:color w:val="000000"/>
          <w:kern w:val="0"/>
          <w:position w:val="10"/>
          <w:vertAlign w:val="superscript"/>
          <w:lang w:val="es-ES"/>
          <w14:ligatures w14:val="none"/>
        </w:rPr>
        <w:t>ma</w:t>
      </w:r>
      <w:r w:rsidR="005E118E" w:rsidRPr="00CB1979">
        <w:rPr>
          <w:rFonts w:ascii="Book Antiqua" w:eastAsia="Times New Roman" w:hAnsi="Book Antiqua" w:cs="Times New Roman"/>
          <w:color w:val="000000"/>
          <w:kern w:val="0"/>
          <w:position w:val="10"/>
          <w:vertAlign w:val="superscript"/>
          <w:lang w:val="es-ES"/>
          <w14:ligatures w14:val="none"/>
        </w:rPr>
        <w:t>.</w:t>
      </w:r>
      <w:r w:rsidRPr="00CB1979">
        <w:rPr>
          <w:rFonts w:ascii="Book Antiqua" w:eastAsia="Times New Roman" w:hAnsi="Book Antiqua" w:cs="Times New Roman"/>
          <w:color w:val="000000"/>
          <w:kern w:val="0"/>
          <w:position w:val="10"/>
          <w:vertAlign w:val="superscript"/>
          <w:lang w:val="es-ES"/>
          <w14:ligatures w14:val="none"/>
        </w:rPr>
        <w:t xml:space="preserve"> </w:t>
      </w:r>
      <w:r w:rsidRPr="00CB1979">
        <w:rPr>
          <w:rFonts w:ascii="Book Antiqua" w:eastAsia="Times New Roman" w:hAnsi="Book Antiqua" w:cs="Times New Roman"/>
          <w:color w:val="000000"/>
          <w:kern w:val="0"/>
          <w:lang w:val="es-ES"/>
          <w14:ligatures w14:val="none"/>
        </w:rPr>
        <w:t>Asamblea</w:t>
      </w:r>
      <w:r w:rsidRPr="00CB1979">
        <w:rPr>
          <w:rFonts w:ascii="Book Antiqua" w:eastAsia="Times New Roman" w:hAnsi="Book Antiqua" w:cs="Times New Roman"/>
          <w:color w:val="000000"/>
          <w:kern w:val="0"/>
          <w:lang w:val="es-ES"/>
          <w14:ligatures w14:val="none"/>
        </w:rPr>
        <w:tab/>
      </w:r>
      <w:r w:rsidRPr="00CB1979">
        <w:rPr>
          <w:rFonts w:ascii="Book Antiqua" w:eastAsia="Times New Roman" w:hAnsi="Book Antiqua" w:cs="Times New Roman"/>
          <w:color w:val="000000"/>
          <w:kern w:val="0"/>
          <w:lang w:val="es-ES"/>
          <w14:ligatures w14:val="none"/>
        </w:rPr>
        <w:tab/>
      </w:r>
      <w:r w:rsidRPr="00CB1979">
        <w:rPr>
          <w:rFonts w:ascii="Book Antiqua" w:eastAsia="Times New Roman" w:hAnsi="Book Antiqua" w:cs="Times New Roman"/>
          <w:color w:val="000000"/>
          <w:kern w:val="0"/>
          <w:lang w:val="es-ES"/>
          <w14:ligatures w14:val="none"/>
        </w:rPr>
        <w:tab/>
      </w:r>
      <w:r w:rsidRPr="00CB1979">
        <w:rPr>
          <w:rFonts w:ascii="Book Antiqua" w:eastAsia="Times New Roman" w:hAnsi="Book Antiqua" w:cs="Times New Roman"/>
          <w:color w:val="000000"/>
          <w:kern w:val="0"/>
          <w:lang w:val="es-ES"/>
          <w14:ligatures w14:val="none"/>
        </w:rPr>
        <w:tab/>
      </w:r>
      <w:r w:rsidRPr="00CB1979">
        <w:rPr>
          <w:rFonts w:ascii="Book Antiqua" w:eastAsia="Times New Roman" w:hAnsi="Book Antiqua" w:cs="Times New Roman"/>
          <w:color w:val="000000"/>
          <w:kern w:val="0"/>
          <w:lang w:val="es-ES"/>
          <w14:ligatures w14:val="none"/>
        </w:rPr>
        <w:tab/>
      </w:r>
      <w:r w:rsidRPr="00CB1979">
        <w:rPr>
          <w:rFonts w:ascii="Book Antiqua" w:eastAsia="Times New Roman" w:hAnsi="Book Antiqua" w:cs="Times New Roman"/>
          <w:color w:val="000000"/>
          <w:kern w:val="0"/>
          <w:lang w:val="es-ES"/>
          <w14:ligatures w14:val="none"/>
        </w:rPr>
        <w:tab/>
      </w:r>
      <w:r w:rsidRPr="00CB1979">
        <w:rPr>
          <w:rFonts w:ascii="Book Antiqua" w:eastAsia="Times New Roman" w:hAnsi="Book Antiqua" w:cs="Times New Roman"/>
          <w:color w:val="000000"/>
          <w:kern w:val="0"/>
          <w:lang w:val="es-ES"/>
          <w14:ligatures w14:val="none"/>
        </w:rPr>
        <w:tab/>
        <w:t xml:space="preserve">                  </w:t>
      </w:r>
      <w:r w:rsidR="00947E8C">
        <w:rPr>
          <w:rFonts w:ascii="Book Antiqua" w:eastAsia="Times New Roman" w:hAnsi="Book Antiqua" w:cs="Times New Roman"/>
          <w:color w:val="000000"/>
          <w:kern w:val="0"/>
          <w:lang w:val="es-ES"/>
          <w14:ligatures w14:val="none"/>
        </w:rPr>
        <w:t>3</w:t>
      </w:r>
      <w:r w:rsidR="00947E8C">
        <w:rPr>
          <w:rFonts w:ascii="Book Antiqua" w:eastAsia="Times New Roman" w:hAnsi="Book Antiqua" w:cs="Times New Roman"/>
          <w:color w:val="000000"/>
          <w:kern w:val="0"/>
          <w:vertAlign w:val="superscript"/>
          <w:lang w:val="es-ES"/>
          <w14:ligatures w14:val="none"/>
        </w:rPr>
        <w:t>r</w:t>
      </w:r>
      <w:r w:rsidRPr="00CB1979">
        <w:rPr>
          <w:rFonts w:ascii="Book Antiqua" w:eastAsia="Times New Roman" w:hAnsi="Book Antiqua" w:cs="Times New Roman"/>
          <w:color w:val="000000"/>
          <w:kern w:val="0"/>
          <w:vertAlign w:val="superscript"/>
          <w:lang w:val="es-ES"/>
          <w14:ligatures w14:val="none"/>
        </w:rPr>
        <w:t>a.</w:t>
      </w:r>
      <w:r w:rsidRPr="00CB1979">
        <w:rPr>
          <w:rFonts w:ascii="Book Antiqua" w:eastAsia="Times New Roman" w:hAnsi="Book Antiqua" w:cs="Times New Roman"/>
          <w:color w:val="000000"/>
          <w:kern w:val="0"/>
          <w:position w:val="10"/>
          <w:vertAlign w:val="superscript"/>
          <w:lang w:val="es-ES"/>
          <w14:ligatures w14:val="none"/>
        </w:rPr>
        <w:t xml:space="preserve"> </w:t>
      </w:r>
      <w:r w:rsidRPr="00CB1979">
        <w:rPr>
          <w:rFonts w:ascii="Book Antiqua" w:eastAsia="Times New Roman" w:hAnsi="Book Antiqua" w:cs="Times New Roman"/>
          <w:color w:val="000000"/>
          <w:kern w:val="0"/>
          <w:lang w:val="es-ES"/>
          <w14:ligatures w14:val="none"/>
        </w:rPr>
        <w:t xml:space="preserve">Sesión </w:t>
      </w:r>
    </w:p>
    <w:p w14:paraId="4C99236B" w14:textId="15E116D3" w:rsidR="00A54AF0" w:rsidRPr="00CB1979" w:rsidRDefault="00A54AF0" w:rsidP="00A54AF0">
      <w:pPr>
        <w:autoSpaceDE w:val="0"/>
        <w:autoSpaceDN w:val="0"/>
        <w:adjustRightInd w:val="0"/>
        <w:spacing w:after="0" w:line="240" w:lineRule="auto"/>
        <w:rPr>
          <w:rFonts w:ascii="Book Antiqua" w:eastAsia="Times New Roman" w:hAnsi="Book Antiqua" w:cs="Times New Roman"/>
          <w:color w:val="000000"/>
          <w:kern w:val="0"/>
          <w:lang w:val="es-ES"/>
          <w14:ligatures w14:val="none"/>
        </w:rPr>
      </w:pPr>
      <w:r w:rsidRPr="00CB1979">
        <w:rPr>
          <w:rFonts w:ascii="Book Antiqua" w:eastAsia="Times New Roman" w:hAnsi="Book Antiqua" w:cs="Times New Roman"/>
          <w:color w:val="000000"/>
          <w:kern w:val="0"/>
          <w:lang w:val="es-ES"/>
          <w14:ligatures w14:val="none"/>
        </w:rPr>
        <w:t xml:space="preserve">        </w:t>
      </w:r>
      <w:r w:rsidR="000C5343" w:rsidRPr="00CB1979">
        <w:rPr>
          <w:rFonts w:ascii="Book Antiqua" w:eastAsia="Times New Roman" w:hAnsi="Book Antiqua" w:cs="Times New Roman"/>
          <w:color w:val="000000"/>
          <w:kern w:val="0"/>
          <w:lang w:val="es-ES"/>
          <w14:ligatures w14:val="none"/>
        </w:rPr>
        <w:t xml:space="preserve"> </w:t>
      </w:r>
      <w:r w:rsidRPr="00CB1979">
        <w:rPr>
          <w:rFonts w:ascii="Book Antiqua" w:eastAsia="Times New Roman" w:hAnsi="Book Antiqua" w:cs="Times New Roman"/>
          <w:color w:val="000000"/>
          <w:kern w:val="0"/>
          <w:lang w:val="es-ES"/>
          <w14:ligatures w14:val="none"/>
        </w:rPr>
        <w:t>Legislativa</w:t>
      </w:r>
      <w:r w:rsidRPr="00CB1979">
        <w:rPr>
          <w:rFonts w:ascii="Book Antiqua" w:eastAsia="Times New Roman" w:hAnsi="Book Antiqua" w:cs="Times New Roman"/>
          <w:color w:val="000000"/>
          <w:kern w:val="0"/>
          <w:lang w:val="es-ES"/>
          <w14:ligatures w14:val="none"/>
        </w:rPr>
        <w:tab/>
      </w:r>
      <w:r w:rsidRPr="00CB1979">
        <w:rPr>
          <w:rFonts w:ascii="Book Antiqua" w:eastAsia="Times New Roman" w:hAnsi="Book Antiqua" w:cs="Times New Roman"/>
          <w:color w:val="000000"/>
          <w:kern w:val="0"/>
          <w:lang w:val="es-ES"/>
          <w14:ligatures w14:val="none"/>
        </w:rPr>
        <w:tab/>
      </w:r>
      <w:r w:rsidRPr="00CB1979">
        <w:rPr>
          <w:rFonts w:ascii="Book Antiqua" w:eastAsia="Times New Roman" w:hAnsi="Book Antiqua" w:cs="Times New Roman"/>
          <w:color w:val="000000"/>
          <w:kern w:val="0"/>
          <w:lang w:val="es-ES"/>
          <w14:ligatures w14:val="none"/>
        </w:rPr>
        <w:tab/>
      </w:r>
      <w:r w:rsidRPr="00CB1979">
        <w:rPr>
          <w:rFonts w:ascii="Book Antiqua" w:eastAsia="Times New Roman" w:hAnsi="Book Antiqua" w:cs="Times New Roman"/>
          <w:color w:val="000000"/>
          <w:kern w:val="0"/>
          <w:lang w:val="es-ES"/>
          <w14:ligatures w14:val="none"/>
        </w:rPr>
        <w:tab/>
      </w:r>
      <w:r w:rsidRPr="00CB1979">
        <w:rPr>
          <w:rFonts w:ascii="Book Antiqua" w:eastAsia="Times New Roman" w:hAnsi="Book Antiqua" w:cs="Times New Roman"/>
          <w:color w:val="000000"/>
          <w:kern w:val="0"/>
          <w:lang w:val="es-ES"/>
          <w14:ligatures w14:val="none"/>
        </w:rPr>
        <w:tab/>
      </w:r>
      <w:r w:rsidRPr="00CB1979">
        <w:rPr>
          <w:rFonts w:ascii="Book Antiqua" w:eastAsia="Times New Roman" w:hAnsi="Book Antiqua" w:cs="Times New Roman"/>
          <w:color w:val="000000"/>
          <w:kern w:val="0"/>
          <w:lang w:val="es-ES"/>
          <w14:ligatures w14:val="none"/>
        </w:rPr>
        <w:tab/>
      </w:r>
      <w:r w:rsidRPr="00CB1979">
        <w:rPr>
          <w:rFonts w:ascii="Book Antiqua" w:eastAsia="Times New Roman" w:hAnsi="Book Antiqua" w:cs="Times New Roman"/>
          <w:color w:val="000000"/>
          <w:kern w:val="0"/>
          <w:lang w:val="es-ES"/>
          <w14:ligatures w14:val="none"/>
        </w:rPr>
        <w:tab/>
      </w:r>
      <w:r w:rsidRPr="00CB1979">
        <w:rPr>
          <w:rFonts w:ascii="Book Antiqua" w:eastAsia="Times New Roman" w:hAnsi="Book Antiqua" w:cs="Times New Roman"/>
          <w:color w:val="000000"/>
          <w:kern w:val="0"/>
          <w:lang w:val="es-ES"/>
          <w14:ligatures w14:val="none"/>
        </w:rPr>
        <w:tab/>
        <w:t xml:space="preserve"> </w:t>
      </w:r>
      <w:r w:rsidR="000C5343" w:rsidRPr="00CB1979">
        <w:rPr>
          <w:rFonts w:ascii="Book Antiqua" w:eastAsia="Times New Roman" w:hAnsi="Book Antiqua" w:cs="Times New Roman"/>
          <w:color w:val="000000"/>
          <w:kern w:val="0"/>
          <w:lang w:val="es-ES"/>
          <w14:ligatures w14:val="none"/>
        </w:rPr>
        <w:t xml:space="preserve">           </w:t>
      </w:r>
      <w:r w:rsidRPr="00CB1979">
        <w:rPr>
          <w:rFonts w:ascii="Book Antiqua" w:eastAsia="Times New Roman" w:hAnsi="Book Antiqua" w:cs="Times New Roman"/>
          <w:color w:val="000000"/>
          <w:kern w:val="0"/>
          <w:lang w:val="es-ES"/>
          <w14:ligatures w14:val="none"/>
        </w:rPr>
        <w:t xml:space="preserve">Ordinaria </w:t>
      </w:r>
    </w:p>
    <w:p w14:paraId="29F090CC" w14:textId="77777777" w:rsidR="00A54AF0" w:rsidRPr="00CB1979" w:rsidRDefault="00A54AF0" w:rsidP="00A54AF0">
      <w:pPr>
        <w:spacing w:after="0" w:line="240" w:lineRule="auto"/>
        <w:jc w:val="center"/>
        <w:rPr>
          <w:rFonts w:ascii="Book Antiqua" w:eastAsia="Times New Roman" w:hAnsi="Book Antiqua" w:cs="Times New Roman"/>
          <w:b/>
          <w:bCs/>
          <w:color w:val="000000"/>
          <w:kern w:val="0"/>
          <w:sz w:val="28"/>
          <w:szCs w:val="28"/>
          <w14:ligatures w14:val="none"/>
        </w:rPr>
      </w:pPr>
    </w:p>
    <w:p w14:paraId="0CEF9C2F" w14:textId="77777777" w:rsidR="00A54AF0" w:rsidRPr="00CB1979" w:rsidRDefault="00A54AF0" w:rsidP="00A54AF0">
      <w:pPr>
        <w:spacing w:after="0" w:line="240" w:lineRule="auto"/>
        <w:jc w:val="center"/>
        <w:rPr>
          <w:rFonts w:ascii="Book Antiqua" w:eastAsia="Times New Roman" w:hAnsi="Book Antiqua" w:cs="Times New Roman"/>
          <w:b/>
          <w:bCs/>
          <w:color w:val="000000"/>
          <w:kern w:val="0"/>
          <w:sz w:val="36"/>
          <w:szCs w:val="36"/>
          <w14:ligatures w14:val="none"/>
        </w:rPr>
      </w:pPr>
    </w:p>
    <w:p w14:paraId="5F4761C8" w14:textId="77777777" w:rsidR="00A54AF0" w:rsidRPr="00CB1979" w:rsidRDefault="00A54AF0" w:rsidP="00A54AF0">
      <w:pPr>
        <w:spacing w:after="0" w:line="240" w:lineRule="auto"/>
        <w:jc w:val="center"/>
        <w:rPr>
          <w:rFonts w:ascii="Book Antiqua" w:eastAsia="Times New Roman" w:hAnsi="Book Antiqua" w:cs="Times New Roman"/>
          <w:b/>
          <w:bCs/>
          <w:color w:val="000000"/>
          <w:kern w:val="0"/>
          <w:sz w:val="36"/>
          <w:szCs w:val="36"/>
          <w14:ligatures w14:val="none"/>
        </w:rPr>
      </w:pPr>
      <w:r w:rsidRPr="00CB1979">
        <w:rPr>
          <w:rFonts w:ascii="Book Antiqua" w:eastAsia="Times New Roman" w:hAnsi="Book Antiqua" w:cs="Times New Roman"/>
          <w:b/>
          <w:bCs/>
          <w:color w:val="000000"/>
          <w:kern w:val="0"/>
          <w:sz w:val="36"/>
          <w:szCs w:val="36"/>
          <w14:ligatures w14:val="none"/>
        </w:rPr>
        <w:t>CÁMARA DE REPRESENTANTES</w:t>
      </w:r>
    </w:p>
    <w:p w14:paraId="507F2406" w14:textId="77777777" w:rsidR="00A54AF0" w:rsidRPr="00CB1979" w:rsidRDefault="00A54AF0" w:rsidP="00A54AF0">
      <w:pPr>
        <w:spacing w:after="0" w:line="240" w:lineRule="auto"/>
        <w:jc w:val="center"/>
        <w:rPr>
          <w:rFonts w:ascii="Book Antiqua" w:eastAsia="Times New Roman" w:hAnsi="Book Antiqua" w:cs="Times New Roman"/>
          <w:kern w:val="0"/>
          <w14:ligatures w14:val="none"/>
        </w:rPr>
      </w:pPr>
    </w:p>
    <w:p w14:paraId="3895E960" w14:textId="29DA695D" w:rsidR="00A54AF0" w:rsidRPr="00CB1979" w:rsidRDefault="00A54AF0" w:rsidP="00A54AF0">
      <w:pPr>
        <w:spacing w:after="0" w:line="240" w:lineRule="auto"/>
        <w:jc w:val="center"/>
        <w:rPr>
          <w:rFonts w:ascii="Book Antiqua" w:eastAsia="Times New Roman" w:hAnsi="Book Antiqua" w:cs="Times New Roman"/>
          <w:b/>
          <w:kern w:val="0"/>
          <w:sz w:val="52"/>
          <w:szCs w:val="52"/>
          <w14:ligatures w14:val="none"/>
        </w:rPr>
      </w:pPr>
      <w:r w:rsidRPr="00CB1979">
        <w:rPr>
          <w:rFonts w:ascii="Book Antiqua" w:eastAsia="Times New Roman" w:hAnsi="Book Antiqua" w:cs="Times New Roman"/>
          <w:b/>
          <w:kern w:val="0"/>
          <w:sz w:val="52"/>
          <w:szCs w:val="52"/>
          <w14:ligatures w14:val="none"/>
        </w:rPr>
        <w:t xml:space="preserve">P. de la C. </w:t>
      </w:r>
      <w:r w:rsidR="00792C46">
        <w:rPr>
          <w:rFonts w:ascii="Book Antiqua" w:eastAsia="Times New Roman" w:hAnsi="Book Antiqua" w:cs="Times New Roman"/>
          <w:b/>
          <w:kern w:val="0"/>
          <w:sz w:val="52"/>
          <w:szCs w:val="52"/>
          <w14:ligatures w14:val="none"/>
        </w:rPr>
        <w:t>991</w:t>
      </w:r>
    </w:p>
    <w:p w14:paraId="6A26D0A1" w14:textId="7E61818B" w:rsidR="00A54AF0" w:rsidRPr="00CB1979" w:rsidRDefault="00A54AF0" w:rsidP="00A54AF0">
      <w:pPr>
        <w:keepNext/>
        <w:spacing w:before="240" w:after="0" w:line="240" w:lineRule="auto"/>
        <w:jc w:val="center"/>
        <w:outlineLvl w:val="0"/>
        <w:rPr>
          <w:rFonts w:ascii="Book Antiqua" w:eastAsia="Times New Roman" w:hAnsi="Book Antiqua" w:cs="Times New Roman"/>
          <w:b/>
          <w:bCs/>
          <w:color w:val="000000"/>
          <w:kern w:val="0"/>
          <w:sz w:val="28"/>
          <w:szCs w:val="28"/>
          <w:lang w:eastAsia="x-none"/>
          <w14:ligatures w14:val="none"/>
        </w:rPr>
      </w:pPr>
      <w:r w:rsidRPr="00CB1979">
        <w:rPr>
          <w:rFonts w:ascii="Book Antiqua" w:eastAsia="Times New Roman" w:hAnsi="Book Antiqua" w:cs="Times New Roman"/>
          <w:b/>
          <w:bCs/>
          <w:color w:val="000000"/>
          <w:kern w:val="0"/>
          <w:sz w:val="28"/>
          <w:szCs w:val="28"/>
          <w:lang w:eastAsia="x-none"/>
          <w14:ligatures w14:val="none"/>
        </w:rPr>
        <w:t>INFORME POSITIVO</w:t>
      </w:r>
    </w:p>
    <w:p w14:paraId="6E1E98A3" w14:textId="77777777" w:rsidR="00A54AF0" w:rsidRPr="00CB1979" w:rsidRDefault="00A54AF0" w:rsidP="00A54AF0">
      <w:pPr>
        <w:spacing w:after="0" w:line="240" w:lineRule="auto"/>
        <w:rPr>
          <w:rFonts w:ascii="Book Antiqua" w:eastAsia="Times New Roman" w:hAnsi="Book Antiqua" w:cs="Times New Roman"/>
          <w:bCs/>
          <w:color w:val="000000"/>
          <w:kern w:val="0"/>
          <w14:ligatures w14:val="none"/>
        </w:rPr>
      </w:pPr>
    </w:p>
    <w:p w14:paraId="26D2917D" w14:textId="3277331D" w:rsidR="00A54AF0" w:rsidRPr="00CB1979" w:rsidRDefault="00E95661" w:rsidP="00A54AF0">
      <w:pPr>
        <w:spacing w:after="0" w:line="240" w:lineRule="auto"/>
        <w:jc w:val="center"/>
        <w:rPr>
          <w:rFonts w:ascii="Book Antiqua" w:eastAsia="Times New Roman" w:hAnsi="Book Antiqua" w:cs="Times New Roman"/>
          <w:color w:val="000000"/>
          <w:kern w:val="0"/>
          <w14:ligatures w14:val="none"/>
        </w:rPr>
      </w:pPr>
      <w:proofErr w:type="gramStart"/>
      <w:r>
        <w:rPr>
          <w:rFonts w:ascii="Book Antiqua" w:eastAsia="Times New Roman" w:hAnsi="Book Antiqua" w:cs="Times New Roman"/>
          <w:bCs/>
          <w:color w:val="000000"/>
          <w:kern w:val="0"/>
          <w14:ligatures w14:val="none"/>
        </w:rPr>
        <w:t xml:space="preserve">17 </w:t>
      </w:r>
      <w:r w:rsidR="00A54AF0" w:rsidRPr="00CB1979">
        <w:rPr>
          <w:rFonts w:ascii="Book Antiqua" w:eastAsia="Times New Roman" w:hAnsi="Book Antiqua" w:cs="Times New Roman"/>
          <w:bCs/>
          <w:color w:val="000000"/>
          <w:kern w:val="0"/>
          <w14:ligatures w14:val="none"/>
        </w:rPr>
        <w:t xml:space="preserve"> DE</w:t>
      </w:r>
      <w:proofErr w:type="gramEnd"/>
      <w:r w:rsidR="00A54AF0" w:rsidRPr="00CB1979">
        <w:rPr>
          <w:rFonts w:ascii="Book Antiqua" w:eastAsia="Times New Roman" w:hAnsi="Book Antiqua" w:cs="Times New Roman"/>
          <w:bCs/>
          <w:color w:val="000000"/>
          <w:kern w:val="0"/>
          <w14:ligatures w14:val="none"/>
        </w:rPr>
        <w:t xml:space="preserve"> </w:t>
      </w:r>
      <w:r w:rsidR="003C46E5">
        <w:rPr>
          <w:rFonts w:ascii="Book Antiqua" w:eastAsia="Times New Roman" w:hAnsi="Book Antiqua" w:cs="Times New Roman"/>
          <w:bCs/>
          <w:color w:val="000000"/>
          <w:kern w:val="0"/>
          <w14:ligatures w14:val="none"/>
        </w:rPr>
        <w:t>ABRIL</w:t>
      </w:r>
      <w:r w:rsidR="00663D4E">
        <w:rPr>
          <w:rFonts w:ascii="Book Antiqua" w:eastAsia="Times New Roman" w:hAnsi="Book Antiqua" w:cs="Times New Roman"/>
          <w:bCs/>
          <w:color w:val="000000"/>
          <w:kern w:val="0"/>
          <w14:ligatures w14:val="none"/>
        </w:rPr>
        <w:t xml:space="preserve"> </w:t>
      </w:r>
      <w:r w:rsidR="00A54AF0" w:rsidRPr="00CB1979">
        <w:rPr>
          <w:rFonts w:ascii="Book Antiqua" w:eastAsia="Times New Roman" w:hAnsi="Book Antiqua" w:cs="Times New Roman"/>
          <w:bCs/>
          <w:color w:val="000000"/>
          <w:kern w:val="0"/>
          <w14:ligatures w14:val="none"/>
        </w:rPr>
        <w:t>DE 202</w:t>
      </w:r>
      <w:r w:rsidR="0078577E">
        <w:rPr>
          <w:rFonts w:ascii="Book Antiqua" w:eastAsia="Times New Roman" w:hAnsi="Book Antiqua" w:cs="Times New Roman"/>
          <w:bCs/>
          <w:color w:val="000000"/>
          <w:kern w:val="0"/>
          <w14:ligatures w14:val="none"/>
        </w:rPr>
        <w:t>6</w:t>
      </w:r>
    </w:p>
    <w:p w14:paraId="77242E04" w14:textId="77777777" w:rsidR="00A54AF0" w:rsidRPr="00CB1979" w:rsidRDefault="00A54AF0" w:rsidP="00A54AF0">
      <w:pPr>
        <w:spacing w:after="0" w:line="240" w:lineRule="auto"/>
        <w:jc w:val="center"/>
        <w:rPr>
          <w:rFonts w:ascii="Book Antiqua" w:eastAsia="Times New Roman" w:hAnsi="Book Antiqua" w:cs="Times New Roman"/>
          <w:color w:val="000000"/>
          <w:kern w:val="0"/>
          <w14:ligatures w14:val="none"/>
        </w:rPr>
      </w:pPr>
    </w:p>
    <w:p w14:paraId="420645D7" w14:textId="77777777" w:rsidR="00A54AF0" w:rsidRPr="00CB1979" w:rsidRDefault="00A54AF0" w:rsidP="00A54AF0">
      <w:pPr>
        <w:spacing w:after="0" w:line="240" w:lineRule="auto"/>
        <w:rPr>
          <w:rFonts w:ascii="Book Antiqua" w:eastAsia="Times New Roman" w:hAnsi="Book Antiqua" w:cs="Times New Roman"/>
          <w:color w:val="000000"/>
          <w:kern w:val="0"/>
          <w14:ligatures w14:val="none"/>
        </w:rPr>
      </w:pPr>
    </w:p>
    <w:p w14:paraId="05B222A6" w14:textId="77777777" w:rsidR="00A54AF0" w:rsidRPr="00CB1979" w:rsidRDefault="00A54AF0" w:rsidP="00A54AF0">
      <w:pPr>
        <w:spacing w:after="0" w:line="240" w:lineRule="auto"/>
        <w:ind w:firstLine="720"/>
        <w:rPr>
          <w:rFonts w:ascii="Book Antiqua" w:eastAsia="Times New Roman" w:hAnsi="Book Antiqua" w:cs="Times New Roman"/>
          <w:b/>
          <w:bCs/>
          <w:kern w:val="0"/>
          <w14:ligatures w14:val="none"/>
        </w:rPr>
      </w:pPr>
      <w:r w:rsidRPr="00CB1979">
        <w:rPr>
          <w:rFonts w:ascii="Book Antiqua" w:eastAsia="Times New Roman" w:hAnsi="Book Antiqua" w:cs="Times New Roman"/>
          <w:b/>
          <w:bCs/>
          <w:kern w:val="0"/>
          <w14:ligatures w14:val="none"/>
        </w:rPr>
        <w:t>A LA CÁMARA DE REPRESENTANTES DE PUERTO RICO:</w:t>
      </w:r>
    </w:p>
    <w:p w14:paraId="1DE7F01B" w14:textId="77777777" w:rsidR="00A54AF0" w:rsidRPr="00CB1979" w:rsidRDefault="00A54AF0" w:rsidP="00A54AF0">
      <w:pPr>
        <w:spacing w:after="0" w:line="240" w:lineRule="auto"/>
        <w:rPr>
          <w:rFonts w:ascii="Book Antiqua" w:eastAsia="Times New Roman" w:hAnsi="Book Antiqua" w:cs="Times New Roman"/>
          <w:b/>
          <w:bCs/>
          <w:kern w:val="0"/>
          <w14:ligatures w14:val="none"/>
        </w:rPr>
      </w:pPr>
    </w:p>
    <w:p w14:paraId="65F2FF51" w14:textId="448C87D5" w:rsidR="00A54AF0" w:rsidRPr="00CB1979" w:rsidRDefault="00A54AF0" w:rsidP="00AB7D4B">
      <w:pPr>
        <w:spacing w:after="0" w:line="360" w:lineRule="auto"/>
        <w:ind w:firstLine="720"/>
        <w:jc w:val="both"/>
        <w:rPr>
          <w:rFonts w:ascii="Book Antiqua" w:eastAsia="Times New Roman" w:hAnsi="Book Antiqua" w:cs="Times New Roman"/>
          <w:kern w:val="0"/>
          <w14:ligatures w14:val="none"/>
        </w:rPr>
      </w:pPr>
      <w:r w:rsidRPr="00CB1979">
        <w:rPr>
          <w:rFonts w:ascii="Book Antiqua" w:eastAsia="Times New Roman" w:hAnsi="Book Antiqua" w:cs="Times New Roman"/>
          <w:kern w:val="0"/>
          <w14:ligatures w14:val="none"/>
        </w:rPr>
        <w:t xml:space="preserve">La </w:t>
      </w:r>
      <w:r w:rsidRPr="00CB1979">
        <w:rPr>
          <w:rFonts w:ascii="Book Antiqua" w:eastAsia="Times New Roman" w:hAnsi="Book Antiqua" w:cs="Times New Roman"/>
          <w:i/>
          <w:iCs/>
          <w:kern w:val="0"/>
          <w:lang w:val="es-ES"/>
          <w14:ligatures w14:val="none"/>
        </w:rPr>
        <w:t>Comisión de Reorganización, Eficiencia y Diligencia</w:t>
      </w:r>
      <w:r w:rsidRPr="00CB1979">
        <w:rPr>
          <w:rFonts w:ascii="Book Antiqua" w:eastAsia="Times New Roman" w:hAnsi="Book Antiqua" w:cs="Times New Roman"/>
          <w:kern w:val="0"/>
          <w14:ligatures w14:val="none"/>
        </w:rPr>
        <w:t xml:space="preserve">, recomienda la </w:t>
      </w:r>
      <w:r w:rsidR="003C46E5">
        <w:rPr>
          <w:rFonts w:ascii="Book Antiqua" w:eastAsia="Times New Roman" w:hAnsi="Book Antiqua" w:cs="Times New Roman"/>
          <w:kern w:val="0"/>
          <w14:ligatures w14:val="none"/>
        </w:rPr>
        <w:t xml:space="preserve">aprobación </w:t>
      </w:r>
      <w:r w:rsidRPr="00CB1979">
        <w:rPr>
          <w:rFonts w:ascii="Book Antiqua" w:eastAsia="Times New Roman" w:hAnsi="Book Antiqua" w:cs="Times New Roman"/>
          <w:kern w:val="0"/>
          <w14:ligatures w14:val="none"/>
        </w:rPr>
        <w:t xml:space="preserve">del </w:t>
      </w:r>
      <w:r w:rsidR="00433876" w:rsidRPr="00CB1979">
        <w:rPr>
          <w:rFonts w:ascii="Book Antiqua" w:eastAsia="Times New Roman" w:hAnsi="Book Antiqua" w:cs="Times New Roman"/>
          <w:b/>
          <w:bCs/>
          <w:kern w:val="0"/>
          <w14:ligatures w14:val="none"/>
        </w:rPr>
        <w:t xml:space="preserve">Proyecto de la Cámara </w:t>
      </w:r>
      <w:r w:rsidR="00792C46">
        <w:rPr>
          <w:rFonts w:ascii="Book Antiqua" w:eastAsia="Times New Roman" w:hAnsi="Book Antiqua" w:cs="Times New Roman"/>
          <w:b/>
          <w:bCs/>
          <w:kern w:val="0"/>
          <w14:ligatures w14:val="none"/>
        </w:rPr>
        <w:t xml:space="preserve">991 </w:t>
      </w:r>
      <w:r w:rsidR="00792C46">
        <w:rPr>
          <w:rFonts w:ascii="Book Antiqua" w:eastAsia="Times New Roman" w:hAnsi="Book Antiqua" w:cs="Times New Roman"/>
          <w:kern w:val="0"/>
          <w14:ligatures w14:val="none"/>
        </w:rPr>
        <w:t>(P. de la C. 991)</w:t>
      </w:r>
      <w:r w:rsidR="003C46E5">
        <w:rPr>
          <w:rFonts w:ascii="Book Antiqua" w:eastAsia="Times New Roman" w:hAnsi="Book Antiqua" w:cs="Times New Roman"/>
          <w:kern w:val="0"/>
          <w14:ligatures w14:val="none"/>
        </w:rPr>
        <w:t>, con las enmiendas propuestas en el entirillado</w:t>
      </w:r>
      <w:r w:rsidR="00E4286A">
        <w:rPr>
          <w:rFonts w:ascii="Book Antiqua" w:eastAsia="Times New Roman" w:hAnsi="Book Antiqua" w:cs="Times New Roman"/>
          <w:kern w:val="0"/>
          <w14:ligatures w14:val="none"/>
        </w:rPr>
        <w:t xml:space="preserve"> </w:t>
      </w:r>
      <w:r w:rsidR="00B95257">
        <w:rPr>
          <w:rFonts w:ascii="Book Antiqua" w:eastAsia="Times New Roman" w:hAnsi="Book Antiqua" w:cs="Times New Roman"/>
          <w:kern w:val="0"/>
          <w14:ligatures w14:val="none"/>
        </w:rPr>
        <w:t xml:space="preserve">electrónico </w:t>
      </w:r>
      <w:r w:rsidR="00E4286A">
        <w:rPr>
          <w:rFonts w:ascii="Book Antiqua" w:eastAsia="Times New Roman" w:hAnsi="Book Antiqua" w:cs="Times New Roman"/>
          <w:kern w:val="0"/>
          <w14:ligatures w14:val="none"/>
        </w:rPr>
        <w:t xml:space="preserve">que se acompaña. </w:t>
      </w:r>
      <w:r w:rsidR="00FA0580">
        <w:rPr>
          <w:rFonts w:ascii="Book Antiqua" w:eastAsia="Times New Roman" w:hAnsi="Book Antiqua" w:cs="Times New Roman"/>
          <w:kern w:val="0"/>
          <w14:ligatures w14:val="none"/>
        </w:rPr>
        <w:t xml:space="preserve"> </w:t>
      </w:r>
    </w:p>
    <w:p w14:paraId="3639B984" w14:textId="77777777" w:rsidR="00A54AF0" w:rsidRPr="00CB1979" w:rsidRDefault="00A54AF0" w:rsidP="00A54AF0">
      <w:pPr>
        <w:spacing w:after="0" w:line="240" w:lineRule="auto"/>
        <w:jc w:val="both"/>
        <w:rPr>
          <w:rFonts w:ascii="Book Antiqua" w:eastAsia="Times New Roman" w:hAnsi="Book Antiqua" w:cs="Times New Roman"/>
          <w:kern w:val="0"/>
          <w14:ligatures w14:val="none"/>
        </w:rPr>
      </w:pPr>
    </w:p>
    <w:p w14:paraId="5F8ED6CA" w14:textId="77777777" w:rsidR="00A54AF0" w:rsidRPr="00CB1979" w:rsidRDefault="00A54AF0" w:rsidP="00A54AF0">
      <w:pPr>
        <w:keepNext/>
        <w:spacing w:after="0" w:line="240" w:lineRule="auto"/>
        <w:ind w:left="2160" w:firstLine="720"/>
        <w:jc w:val="both"/>
        <w:outlineLvl w:val="1"/>
        <w:rPr>
          <w:rFonts w:ascii="Book Antiqua" w:eastAsia="Times New Roman" w:hAnsi="Book Antiqua" w:cs="Times New Roman"/>
          <w:b/>
          <w:bCs/>
          <w:kern w:val="0"/>
          <w:lang w:eastAsia="x-none"/>
          <w14:ligatures w14:val="none"/>
        </w:rPr>
      </w:pPr>
      <w:r w:rsidRPr="00CB1979">
        <w:rPr>
          <w:rFonts w:ascii="Book Antiqua" w:eastAsia="Times New Roman" w:hAnsi="Book Antiqua" w:cs="Times New Roman"/>
          <w:b/>
          <w:bCs/>
          <w:kern w:val="0"/>
          <w:lang w:eastAsia="x-none"/>
          <w14:ligatures w14:val="none"/>
        </w:rPr>
        <w:t>ALCANCE DE LA MEDIDA</w:t>
      </w:r>
    </w:p>
    <w:p w14:paraId="05D2FB6C" w14:textId="77777777" w:rsidR="00A54AF0" w:rsidRPr="00CB1979" w:rsidRDefault="00A54AF0" w:rsidP="00A54AF0">
      <w:pPr>
        <w:spacing w:after="0" w:line="240" w:lineRule="auto"/>
        <w:rPr>
          <w:rFonts w:ascii="Book Antiqua" w:eastAsia="Times New Roman" w:hAnsi="Book Antiqua" w:cs="Times New Roman"/>
          <w:kern w:val="0"/>
          <w:lang w:eastAsia="x-none"/>
          <w14:ligatures w14:val="none"/>
        </w:rPr>
      </w:pPr>
    </w:p>
    <w:p w14:paraId="6E666971" w14:textId="4AE0EE2C" w:rsidR="00E4286A" w:rsidRPr="00A22B13" w:rsidRDefault="00792C46" w:rsidP="00A22B13">
      <w:pPr>
        <w:spacing w:line="240" w:lineRule="auto"/>
        <w:ind w:left="720" w:hanging="720"/>
        <w:jc w:val="both"/>
        <w:rPr>
          <w:rFonts w:ascii="Book Antiqua" w:hAnsi="Book Antiqua"/>
          <w:lang w:val="es-ES"/>
        </w:rPr>
      </w:pPr>
      <w:r>
        <w:rPr>
          <w:rFonts w:ascii="Book Antiqua" w:hAnsi="Book Antiqua"/>
          <w:lang w:val="es-ES"/>
        </w:rPr>
        <w:t>Para adoptar la “</w:t>
      </w:r>
      <w:bookmarkStart w:id="0" w:name="_Hlk215665368"/>
      <w:r>
        <w:rPr>
          <w:rFonts w:ascii="Book Antiqua" w:hAnsi="Book Antiqua"/>
          <w:lang w:val="es-ES"/>
        </w:rPr>
        <w:t>Ley para Prohibir Ruidos Innecesarios y Proteger la Tranquilidad Pública</w:t>
      </w:r>
      <w:bookmarkEnd w:id="0"/>
      <w:r>
        <w:rPr>
          <w:rFonts w:ascii="Book Antiqua" w:hAnsi="Book Antiqua"/>
          <w:lang w:val="es-ES"/>
        </w:rPr>
        <w:t>” y derogar la Ley Núm. 71 de 26 de abril de 1940, según enmendada, conocida como “Ley para Suprimir los Ruidos Innecesarios”; derogar la Ley Núm. 155 de 15 de mayo de 1937, según emendada, conocida como la “Ley para Disponer sobre los Amplificadores o Altoparlantes cuando Afecten la Tranquilidad Pública”, y derogar la Ley Núm. 211 de 23 de julio de 1974, conocida como “Ley para Prohibir el Uso de Altoparlantes o Amplificadores en la Proximidad de las Escuelas Públicas o Privadas en Puerto Rico“; establecer parámetros, excepciones y penalidades; y para otros fines relacionados.</w:t>
      </w:r>
    </w:p>
    <w:p w14:paraId="06583F0F" w14:textId="77777777" w:rsidR="00E4286A" w:rsidRPr="00792C46" w:rsidRDefault="00E4286A" w:rsidP="00A54AF0">
      <w:pPr>
        <w:spacing w:after="0" w:line="240" w:lineRule="auto"/>
        <w:jc w:val="center"/>
        <w:rPr>
          <w:rFonts w:ascii="Book Antiqua" w:eastAsia="Times New Roman" w:hAnsi="Book Antiqua" w:cs="Times New Roman"/>
          <w:b/>
          <w:bCs/>
          <w:kern w:val="0"/>
          <w:lang w:val="es-ES"/>
          <w14:ligatures w14:val="none"/>
        </w:rPr>
      </w:pPr>
    </w:p>
    <w:p w14:paraId="633D576D" w14:textId="77777777" w:rsidR="00A54AF0" w:rsidRPr="00CB1979" w:rsidRDefault="00A54AF0" w:rsidP="00A54AF0">
      <w:pPr>
        <w:spacing w:after="0" w:line="240" w:lineRule="auto"/>
        <w:jc w:val="center"/>
        <w:rPr>
          <w:rFonts w:ascii="Book Antiqua" w:eastAsia="Times New Roman" w:hAnsi="Book Antiqua" w:cs="Times New Roman"/>
          <w:b/>
          <w:bCs/>
          <w:kern w:val="0"/>
          <w14:ligatures w14:val="none"/>
        </w:rPr>
      </w:pPr>
      <w:r w:rsidRPr="00CB1979">
        <w:rPr>
          <w:rFonts w:ascii="Book Antiqua" w:eastAsia="Times New Roman" w:hAnsi="Book Antiqua" w:cs="Times New Roman"/>
          <w:b/>
          <w:bCs/>
          <w:kern w:val="0"/>
          <w14:ligatures w14:val="none"/>
        </w:rPr>
        <w:t>INTRODUCCIÓN</w:t>
      </w:r>
    </w:p>
    <w:p w14:paraId="577851B1" w14:textId="77777777" w:rsidR="005E118E" w:rsidRPr="00CB1979" w:rsidRDefault="005E118E" w:rsidP="005E118E">
      <w:pPr>
        <w:spacing w:after="0" w:line="240" w:lineRule="auto"/>
        <w:rPr>
          <w:rFonts w:ascii="Book Antiqua" w:eastAsia="Times New Roman" w:hAnsi="Book Antiqua" w:cs="Times New Roman"/>
          <w:b/>
          <w:bCs/>
          <w:kern w:val="0"/>
          <w14:ligatures w14:val="none"/>
        </w:rPr>
      </w:pPr>
    </w:p>
    <w:p w14:paraId="2841EF18" w14:textId="34347A43" w:rsidR="004A4E99" w:rsidRPr="007323D1" w:rsidRDefault="005E118E" w:rsidP="007323D1">
      <w:pPr>
        <w:spacing w:after="0" w:line="360" w:lineRule="auto"/>
        <w:jc w:val="both"/>
        <w:rPr>
          <w:rFonts w:ascii="Book Antiqua" w:eastAsia="Times New Roman" w:hAnsi="Book Antiqua" w:cs="Times New Roman"/>
          <w:kern w:val="0"/>
          <w:lang w:val="es-ES"/>
          <w14:ligatures w14:val="none"/>
        </w:rPr>
      </w:pPr>
      <w:r w:rsidRPr="00CB1979">
        <w:rPr>
          <w:rFonts w:ascii="Book Antiqua" w:eastAsia="Times New Roman" w:hAnsi="Book Antiqua" w:cs="Times New Roman"/>
          <w:b/>
          <w:bCs/>
          <w:kern w:val="0"/>
          <w14:ligatures w14:val="none"/>
        </w:rPr>
        <w:tab/>
      </w:r>
      <w:r w:rsidRPr="00CB1979">
        <w:rPr>
          <w:rFonts w:ascii="Book Antiqua" w:eastAsia="Times New Roman" w:hAnsi="Book Antiqua" w:cs="Times New Roman"/>
          <w:kern w:val="0"/>
          <w14:ligatures w14:val="none"/>
        </w:rPr>
        <w:t xml:space="preserve">El </w:t>
      </w:r>
      <w:r w:rsidRPr="00CB1979">
        <w:rPr>
          <w:rFonts w:ascii="Book Antiqua" w:eastAsia="Times New Roman" w:hAnsi="Book Antiqua" w:cs="Times New Roman"/>
          <w:b/>
          <w:bCs/>
          <w:kern w:val="0"/>
          <w14:ligatures w14:val="none"/>
        </w:rPr>
        <w:t>P</w:t>
      </w:r>
      <w:r w:rsidR="00433876" w:rsidRPr="00CB1979">
        <w:rPr>
          <w:rFonts w:ascii="Book Antiqua" w:eastAsia="Times New Roman" w:hAnsi="Book Antiqua" w:cs="Times New Roman"/>
          <w:b/>
          <w:bCs/>
          <w:kern w:val="0"/>
          <w14:ligatures w14:val="none"/>
        </w:rPr>
        <w:t>. de la C.</w:t>
      </w:r>
      <w:r w:rsidRPr="00CB1979">
        <w:rPr>
          <w:rFonts w:ascii="Book Antiqua" w:eastAsia="Times New Roman" w:hAnsi="Book Antiqua" w:cs="Times New Roman"/>
          <w:b/>
          <w:bCs/>
          <w:kern w:val="0"/>
          <w14:ligatures w14:val="none"/>
        </w:rPr>
        <w:t xml:space="preserve"> </w:t>
      </w:r>
      <w:r w:rsidR="00792C46">
        <w:rPr>
          <w:rFonts w:ascii="Book Antiqua" w:eastAsia="Times New Roman" w:hAnsi="Book Antiqua" w:cs="Times New Roman"/>
          <w:b/>
          <w:bCs/>
          <w:kern w:val="0"/>
          <w14:ligatures w14:val="none"/>
        </w:rPr>
        <w:t xml:space="preserve">991 </w:t>
      </w:r>
      <w:r w:rsidRPr="00CB1979">
        <w:rPr>
          <w:rFonts w:ascii="Book Antiqua" w:eastAsia="Times New Roman" w:hAnsi="Book Antiqua" w:cs="Times New Roman"/>
          <w:kern w:val="0"/>
          <w14:ligatures w14:val="none"/>
        </w:rPr>
        <w:t xml:space="preserve">propone </w:t>
      </w:r>
      <w:r w:rsidR="003C46E5">
        <w:rPr>
          <w:rFonts w:ascii="Book Antiqua" w:eastAsia="Times New Roman" w:hAnsi="Book Antiqua" w:cs="Times New Roman"/>
          <w:kern w:val="0"/>
          <w14:ligatures w14:val="none"/>
        </w:rPr>
        <w:t xml:space="preserve">derogar </w:t>
      </w:r>
      <w:r w:rsidR="003C46E5">
        <w:rPr>
          <w:rFonts w:ascii="Book Antiqua" w:hAnsi="Book Antiqua"/>
          <w:lang w:val="es-ES"/>
        </w:rPr>
        <w:t xml:space="preserve">la Ley Núm. 71 de 26 de abril de 1940, según enmendada, conocida como “Ley para Suprimir los Ruidos Innecesarios”; la Ley Núm. </w:t>
      </w:r>
      <w:r w:rsidR="003C46E5">
        <w:rPr>
          <w:rFonts w:ascii="Book Antiqua" w:hAnsi="Book Antiqua"/>
          <w:lang w:val="es-ES"/>
        </w:rPr>
        <w:lastRenderedPageBreak/>
        <w:t>155 de 15 de mayo de 1937, según emendada, conocida como la “Ley para Disponer sobre los Amplificadores o Altoparlantes cuando Afecten la Tranquilidad Pública”, y la Ley Núm. 211 de 23 de julio de 1974, conocida como “Ley para Prohibir el Uso de Altoparlantes o Amplificadores en la Proximidad de las Escuelas Públicas o Privadas en Puerto Rico“, con el propósito de consolidar los distintos cuerpos legales en una legislación, evitando así contradicciones e inconsistencias entre sí. Ello enmarcado en un balance entre la libertad de expresión de todos los ciudadanos de Puerto Rico con la convivencia pacífica.</w:t>
      </w:r>
    </w:p>
    <w:p w14:paraId="6D3F4264" w14:textId="7B51B0DB" w:rsidR="00A54AF0" w:rsidRPr="00CB1979" w:rsidRDefault="00647DED" w:rsidP="00A54AF0">
      <w:pPr>
        <w:spacing w:after="0" w:line="240" w:lineRule="auto"/>
        <w:jc w:val="center"/>
        <w:rPr>
          <w:rFonts w:ascii="Book Antiqua" w:eastAsia="Times New Roman" w:hAnsi="Book Antiqua" w:cs="Times New Roman"/>
          <w:b/>
          <w:kern w:val="0"/>
          <w14:ligatures w14:val="none"/>
        </w:rPr>
      </w:pPr>
      <w:r w:rsidRPr="00CB1979">
        <w:rPr>
          <w:rFonts w:ascii="Book Antiqua" w:eastAsia="Times New Roman" w:hAnsi="Book Antiqua" w:cs="Times New Roman"/>
          <w:b/>
          <w:kern w:val="0"/>
          <w14:ligatures w14:val="none"/>
        </w:rPr>
        <w:t xml:space="preserve">PONENCIAS O </w:t>
      </w:r>
      <w:r w:rsidR="00A54AF0" w:rsidRPr="00CB1979">
        <w:rPr>
          <w:rFonts w:ascii="Book Antiqua" w:eastAsia="Times New Roman" w:hAnsi="Book Antiqua" w:cs="Times New Roman"/>
          <w:b/>
          <w:kern w:val="0"/>
          <w14:ligatures w14:val="none"/>
        </w:rPr>
        <w:t>MEMORIALES RECIBID</w:t>
      </w:r>
      <w:r w:rsidRPr="00CB1979">
        <w:rPr>
          <w:rFonts w:ascii="Book Antiqua" w:eastAsia="Times New Roman" w:hAnsi="Book Antiqua" w:cs="Times New Roman"/>
          <w:b/>
          <w:kern w:val="0"/>
          <w14:ligatures w14:val="none"/>
        </w:rPr>
        <w:t>O</w:t>
      </w:r>
      <w:r w:rsidR="00A54AF0" w:rsidRPr="00CB1979">
        <w:rPr>
          <w:rFonts w:ascii="Book Antiqua" w:eastAsia="Times New Roman" w:hAnsi="Book Antiqua" w:cs="Times New Roman"/>
          <w:b/>
          <w:kern w:val="0"/>
          <w14:ligatures w14:val="none"/>
        </w:rPr>
        <w:t>S</w:t>
      </w:r>
    </w:p>
    <w:p w14:paraId="2EE2EDEA" w14:textId="77777777" w:rsidR="00A54AF0" w:rsidRPr="00CB1979" w:rsidRDefault="00A54AF0" w:rsidP="00A54AF0">
      <w:pPr>
        <w:spacing w:after="0" w:line="240" w:lineRule="auto"/>
        <w:jc w:val="center"/>
        <w:rPr>
          <w:rFonts w:ascii="Book Antiqua" w:eastAsia="Times New Roman" w:hAnsi="Book Antiqua" w:cs="Times New Roman"/>
          <w:b/>
          <w:kern w:val="0"/>
          <w14:ligatures w14:val="none"/>
        </w:rPr>
      </w:pPr>
    </w:p>
    <w:p w14:paraId="3ADC2532" w14:textId="6BB59CF2" w:rsidR="00B44FB9" w:rsidRDefault="00A54AF0" w:rsidP="00055081">
      <w:pPr>
        <w:numPr>
          <w:ilvl w:val="0"/>
          <w:numId w:val="2"/>
        </w:numPr>
        <w:spacing w:after="200" w:line="276" w:lineRule="auto"/>
        <w:ind w:left="360"/>
        <w:contextualSpacing/>
        <w:jc w:val="center"/>
        <w:rPr>
          <w:rFonts w:ascii="Book Antiqua" w:eastAsia="Times New Roman" w:hAnsi="Book Antiqua" w:cs="Times New Roman"/>
          <w:bCs/>
          <w:i/>
          <w:iCs/>
          <w:kern w:val="0"/>
          <w14:ligatures w14:val="none"/>
        </w:rPr>
      </w:pPr>
      <w:r w:rsidRPr="00CB1979">
        <w:rPr>
          <w:rFonts w:ascii="Book Antiqua" w:eastAsia="Times New Roman" w:hAnsi="Book Antiqua" w:cs="Times New Roman"/>
          <w:bCs/>
          <w:i/>
          <w:iCs/>
          <w:kern w:val="0"/>
          <w14:ligatures w14:val="none"/>
        </w:rPr>
        <w:t>Memoriales Explicativos</w:t>
      </w:r>
    </w:p>
    <w:p w14:paraId="2E9A2C6B" w14:textId="77777777" w:rsidR="00792C46" w:rsidRPr="00CB1979" w:rsidRDefault="00792C46" w:rsidP="00792C46">
      <w:pPr>
        <w:spacing w:after="200" w:line="276" w:lineRule="auto"/>
        <w:ind w:left="360"/>
        <w:contextualSpacing/>
        <w:rPr>
          <w:rFonts w:ascii="Book Antiqua" w:eastAsia="Times New Roman" w:hAnsi="Book Antiqua" w:cs="Times New Roman"/>
          <w:bCs/>
          <w:i/>
          <w:iCs/>
          <w:kern w:val="0"/>
          <w14:ligatures w14:val="none"/>
        </w:rPr>
      </w:pPr>
    </w:p>
    <w:p w14:paraId="388D5C94" w14:textId="0B5B47C6" w:rsidR="002753B7" w:rsidRPr="00481388" w:rsidRDefault="00792C46" w:rsidP="00B33F20">
      <w:pPr>
        <w:numPr>
          <w:ilvl w:val="0"/>
          <w:numId w:val="1"/>
        </w:numPr>
        <w:spacing w:after="200" w:line="276" w:lineRule="auto"/>
        <w:ind w:left="360"/>
        <w:contextualSpacing/>
        <w:jc w:val="center"/>
        <w:rPr>
          <w:rFonts w:ascii="Book Antiqua" w:eastAsia="Times New Roman" w:hAnsi="Book Antiqua" w:cs="Times New Roman"/>
          <w:bCs/>
          <w:kern w:val="0"/>
          <w:u w:val="single"/>
          <w14:ligatures w14:val="none"/>
        </w:rPr>
      </w:pPr>
      <w:r>
        <w:rPr>
          <w:rFonts w:ascii="Book Antiqua" w:eastAsia="Times New Roman" w:hAnsi="Book Antiqua" w:cs="Times New Roman"/>
          <w:kern w:val="0"/>
          <w:u w:val="single"/>
          <w14:ligatures w14:val="none"/>
        </w:rPr>
        <w:t>Departamento de Recursos Naturales y Ambientales (DRNA)</w:t>
      </w:r>
    </w:p>
    <w:p w14:paraId="0FD61F32" w14:textId="77777777" w:rsidR="00481388" w:rsidRDefault="00481388" w:rsidP="00481388">
      <w:pPr>
        <w:spacing w:after="200" w:line="276" w:lineRule="auto"/>
        <w:contextualSpacing/>
        <w:rPr>
          <w:rFonts w:ascii="Book Antiqua" w:eastAsia="Times New Roman" w:hAnsi="Book Antiqua" w:cs="Times New Roman"/>
          <w:kern w:val="0"/>
          <w:u w:val="single"/>
          <w14:ligatures w14:val="none"/>
        </w:rPr>
      </w:pPr>
    </w:p>
    <w:p w14:paraId="4C6ED0ED" w14:textId="6C56C7F2" w:rsidR="00075E43" w:rsidRDefault="00481388" w:rsidP="00075E43">
      <w:pPr>
        <w:spacing w:after="200" w:line="360" w:lineRule="auto"/>
        <w:ind w:firstLine="720"/>
        <w:contextualSpacing/>
        <w:jc w:val="both"/>
        <w:rPr>
          <w:rFonts w:ascii="Book Antiqua" w:eastAsia="Times New Roman" w:hAnsi="Book Antiqua" w:cs="Times New Roman"/>
          <w:bCs/>
          <w:kern w:val="0"/>
          <w14:ligatures w14:val="none"/>
        </w:rPr>
      </w:pPr>
      <w:r>
        <w:rPr>
          <w:rFonts w:ascii="Book Antiqua" w:eastAsia="Times New Roman" w:hAnsi="Book Antiqua" w:cs="Times New Roman"/>
          <w:bCs/>
          <w:kern w:val="0"/>
          <w14:ligatures w14:val="none"/>
        </w:rPr>
        <w:t>El Departamento de Recursos Naturales y Ambientales (DRNA) indicó que el P. de la C. 991 “persigue consolidar en un solo estatuto diversas disposiciones históricas relacionadas con la prohibición de</w:t>
      </w:r>
      <w:r w:rsidR="0086387D">
        <w:rPr>
          <w:rFonts w:ascii="Book Antiqua" w:eastAsia="Times New Roman" w:hAnsi="Book Antiqua" w:cs="Times New Roman"/>
          <w:bCs/>
          <w:kern w:val="0"/>
          <w14:ligatures w14:val="none"/>
        </w:rPr>
        <w:t xml:space="preserve"> ruidos innecesarios”</w:t>
      </w:r>
      <w:r w:rsidR="0086387D">
        <w:rPr>
          <w:rStyle w:val="FootnoteReference"/>
          <w:rFonts w:ascii="Book Antiqua" w:eastAsia="Times New Roman" w:hAnsi="Book Antiqua"/>
          <w:bCs/>
          <w:kern w:val="0"/>
          <w14:ligatures w14:val="none"/>
        </w:rPr>
        <w:footnoteReference w:id="1"/>
      </w:r>
      <w:r w:rsidR="0086387D">
        <w:rPr>
          <w:rFonts w:ascii="Book Antiqua" w:eastAsia="Times New Roman" w:hAnsi="Book Antiqua" w:cs="Times New Roman"/>
          <w:bCs/>
          <w:kern w:val="0"/>
          <w14:ligatures w14:val="none"/>
        </w:rPr>
        <w:t>, incluyendo además la derogación de dos (2) disposiciones legales.</w:t>
      </w:r>
      <w:r w:rsidR="0086387D">
        <w:rPr>
          <w:rStyle w:val="FootnoteReference"/>
          <w:rFonts w:ascii="Book Antiqua" w:eastAsia="Times New Roman" w:hAnsi="Book Antiqua"/>
          <w:bCs/>
          <w:kern w:val="0"/>
          <w14:ligatures w14:val="none"/>
        </w:rPr>
        <w:footnoteReference w:id="2"/>
      </w:r>
      <w:r w:rsidR="00075E43">
        <w:rPr>
          <w:rFonts w:ascii="Book Antiqua" w:eastAsia="Times New Roman" w:hAnsi="Book Antiqua" w:cs="Times New Roman"/>
          <w:bCs/>
          <w:kern w:val="0"/>
          <w14:ligatures w14:val="none"/>
        </w:rPr>
        <w:t xml:space="preserve"> De igual manera, el DRNA reconoció “la importancia de contar con un marco normativo moderno y uniforme que atienda la problemática de la contaminación acústica como asunto de salud pública y convivencia social.”</w:t>
      </w:r>
      <w:r w:rsidR="00075E43">
        <w:rPr>
          <w:rStyle w:val="FootnoteReference"/>
          <w:rFonts w:ascii="Book Antiqua" w:eastAsia="Times New Roman" w:hAnsi="Book Antiqua"/>
          <w:bCs/>
          <w:kern w:val="0"/>
          <w14:ligatures w14:val="none"/>
        </w:rPr>
        <w:footnoteReference w:id="3"/>
      </w:r>
    </w:p>
    <w:p w14:paraId="74145348" w14:textId="2819A78F" w:rsidR="00075E43" w:rsidRDefault="00075E43" w:rsidP="00B744D2">
      <w:pPr>
        <w:spacing w:after="200" w:line="360" w:lineRule="auto"/>
        <w:ind w:firstLine="720"/>
        <w:contextualSpacing/>
        <w:jc w:val="both"/>
        <w:rPr>
          <w:rFonts w:ascii="Book Antiqua" w:eastAsia="Times New Roman" w:hAnsi="Book Antiqua" w:cs="Times New Roman"/>
          <w:bCs/>
          <w:kern w:val="0"/>
          <w14:ligatures w14:val="none"/>
        </w:rPr>
      </w:pPr>
      <w:r>
        <w:rPr>
          <w:rFonts w:ascii="Book Antiqua" w:eastAsia="Times New Roman" w:hAnsi="Book Antiqua" w:cs="Times New Roman"/>
          <w:bCs/>
          <w:kern w:val="0"/>
          <w14:ligatures w14:val="none"/>
        </w:rPr>
        <w:t>Por otra parte, el DRNA expresó que actualmente administra el Reglamento Núm. 8019, conocido como “Reglamento para el Control de la Contaminación por Ruidos”</w:t>
      </w:r>
      <w:r w:rsidR="00942268">
        <w:rPr>
          <w:rFonts w:ascii="Book Antiqua" w:eastAsia="Times New Roman" w:hAnsi="Book Antiqua" w:cs="Times New Roman"/>
          <w:bCs/>
          <w:kern w:val="0"/>
          <w14:ligatures w14:val="none"/>
        </w:rPr>
        <w:t xml:space="preserve"> (RCCP)</w:t>
      </w:r>
      <w:r>
        <w:rPr>
          <w:rFonts w:ascii="Book Antiqua" w:eastAsia="Times New Roman" w:hAnsi="Book Antiqua" w:cs="Times New Roman"/>
          <w:bCs/>
          <w:kern w:val="0"/>
          <w14:ligatures w14:val="none"/>
        </w:rPr>
        <w:t>, “el cual establece parámetros técnicos y criterios de fiscalización relacionados con la medición y control del ruido ambiental en Puerto Rico.”</w:t>
      </w:r>
      <w:r>
        <w:rPr>
          <w:rStyle w:val="FootnoteReference"/>
          <w:rFonts w:ascii="Book Antiqua" w:eastAsia="Times New Roman" w:hAnsi="Book Antiqua"/>
          <w:bCs/>
          <w:kern w:val="0"/>
          <w14:ligatures w14:val="none"/>
        </w:rPr>
        <w:footnoteReference w:id="4"/>
      </w:r>
      <w:r>
        <w:rPr>
          <w:rFonts w:ascii="Book Antiqua" w:eastAsia="Times New Roman" w:hAnsi="Book Antiqua" w:cs="Times New Roman"/>
          <w:bCs/>
          <w:kern w:val="0"/>
          <w14:ligatures w14:val="none"/>
        </w:rPr>
        <w:t xml:space="preserve"> Cónsono con lo anterior, presentó una serie de comentarios y recomendaciones, a saber: </w:t>
      </w:r>
    </w:p>
    <w:p w14:paraId="2DB7E7BF" w14:textId="3A931D62" w:rsidR="00B744D2" w:rsidRDefault="00B744D2" w:rsidP="00B744D2">
      <w:pPr>
        <w:pStyle w:val="ListParagraph"/>
        <w:numPr>
          <w:ilvl w:val="1"/>
          <w:numId w:val="1"/>
        </w:numPr>
        <w:spacing w:after="200" w:line="360" w:lineRule="auto"/>
        <w:jc w:val="both"/>
        <w:rPr>
          <w:rFonts w:ascii="Book Antiqua" w:eastAsia="Times New Roman" w:hAnsi="Book Antiqua" w:cs="Times New Roman"/>
          <w:bCs/>
          <w:kern w:val="0"/>
          <w14:ligatures w14:val="none"/>
        </w:rPr>
      </w:pPr>
      <w:r>
        <w:rPr>
          <w:rFonts w:ascii="Book Antiqua" w:eastAsia="Times New Roman" w:hAnsi="Book Antiqua" w:cs="Times New Roman"/>
          <w:bCs/>
          <w:kern w:val="0"/>
          <w14:ligatures w14:val="none"/>
        </w:rPr>
        <w:lastRenderedPageBreak/>
        <w:t>Establecer el horario nocturno de 10:01 p.m. a 6:59 a.m. del día siguiente.</w:t>
      </w:r>
      <w:r w:rsidR="00C63D1B">
        <w:rPr>
          <w:rStyle w:val="FootnoteReference"/>
          <w:rFonts w:ascii="Book Antiqua" w:eastAsia="Times New Roman" w:hAnsi="Book Antiqua"/>
          <w:bCs/>
          <w:kern w:val="0"/>
          <w14:ligatures w14:val="none"/>
        </w:rPr>
        <w:footnoteReference w:id="5"/>
      </w:r>
    </w:p>
    <w:p w14:paraId="5338BD30" w14:textId="22895D1C" w:rsidR="00B744D2" w:rsidRDefault="00B744D2" w:rsidP="00B744D2">
      <w:pPr>
        <w:pStyle w:val="ListParagraph"/>
        <w:numPr>
          <w:ilvl w:val="1"/>
          <w:numId w:val="1"/>
        </w:numPr>
        <w:spacing w:after="200" w:line="360" w:lineRule="auto"/>
        <w:jc w:val="both"/>
        <w:rPr>
          <w:rFonts w:ascii="Book Antiqua" w:eastAsia="Times New Roman" w:hAnsi="Book Antiqua" w:cs="Times New Roman"/>
          <w:bCs/>
          <w:kern w:val="0"/>
          <w14:ligatures w14:val="none"/>
        </w:rPr>
      </w:pPr>
      <w:r>
        <w:rPr>
          <w:rFonts w:ascii="Book Antiqua" w:eastAsia="Times New Roman" w:hAnsi="Book Antiqua" w:cs="Times New Roman"/>
          <w:bCs/>
          <w:kern w:val="0"/>
          <w14:ligatures w14:val="none"/>
        </w:rPr>
        <w:t>Sustituir todo lo alusivo a la Junta de Calidad Ambiental por Departamento de Recursos Naturales y Ambientales.</w:t>
      </w:r>
      <w:r w:rsidR="00C63D1B">
        <w:rPr>
          <w:rStyle w:val="FootnoteReference"/>
          <w:rFonts w:ascii="Book Antiqua" w:eastAsia="Times New Roman" w:hAnsi="Book Antiqua"/>
          <w:bCs/>
          <w:kern w:val="0"/>
          <w14:ligatures w14:val="none"/>
        </w:rPr>
        <w:footnoteReference w:id="6"/>
      </w:r>
    </w:p>
    <w:p w14:paraId="685A3536" w14:textId="6FD25A41" w:rsidR="00B744D2" w:rsidRDefault="00B744D2" w:rsidP="00B744D2">
      <w:pPr>
        <w:pStyle w:val="ListParagraph"/>
        <w:numPr>
          <w:ilvl w:val="1"/>
          <w:numId w:val="1"/>
        </w:numPr>
        <w:spacing w:after="200" w:line="360" w:lineRule="auto"/>
        <w:jc w:val="both"/>
        <w:rPr>
          <w:rFonts w:ascii="Book Antiqua" w:eastAsia="Times New Roman" w:hAnsi="Book Antiqua" w:cs="Times New Roman"/>
          <w:bCs/>
          <w:kern w:val="0"/>
          <w14:ligatures w14:val="none"/>
        </w:rPr>
      </w:pPr>
      <w:r>
        <w:rPr>
          <w:rFonts w:ascii="Book Antiqua" w:eastAsia="Times New Roman" w:hAnsi="Book Antiqua" w:cs="Times New Roman"/>
          <w:bCs/>
          <w:kern w:val="0"/>
          <w14:ligatures w14:val="none"/>
        </w:rPr>
        <w:t>Ampliar la definición de “zona de tranquilidad” para incluir universidades, colegios y cualquier otro centro educativo, independientemente de su nivel académico.</w:t>
      </w:r>
      <w:r w:rsidR="00C63D1B">
        <w:rPr>
          <w:rStyle w:val="FootnoteReference"/>
          <w:rFonts w:ascii="Book Antiqua" w:eastAsia="Times New Roman" w:hAnsi="Book Antiqua"/>
          <w:bCs/>
          <w:kern w:val="0"/>
          <w14:ligatures w14:val="none"/>
        </w:rPr>
        <w:footnoteReference w:id="7"/>
      </w:r>
    </w:p>
    <w:p w14:paraId="4964BD02" w14:textId="1485F8D0" w:rsidR="00B744D2" w:rsidRDefault="00942268" w:rsidP="00B744D2">
      <w:pPr>
        <w:pStyle w:val="ListParagraph"/>
        <w:numPr>
          <w:ilvl w:val="1"/>
          <w:numId w:val="1"/>
        </w:numPr>
        <w:spacing w:after="200" w:line="360" w:lineRule="auto"/>
        <w:jc w:val="both"/>
        <w:rPr>
          <w:rFonts w:ascii="Book Antiqua" w:eastAsia="Times New Roman" w:hAnsi="Book Antiqua" w:cs="Times New Roman"/>
          <w:bCs/>
          <w:kern w:val="0"/>
          <w14:ligatures w14:val="none"/>
        </w:rPr>
      </w:pPr>
      <w:r>
        <w:rPr>
          <w:rFonts w:ascii="Book Antiqua" w:eastAsia="Times New Roman" w:hAnsi="Book Antiqua" w:cs="Times New Roman"/>
          <w:bCs/>
          <w:kern w:val="0"/>
          <w14:ligatures w14:val="none"/>
        </w:rPr>
        <w:t>Considerar los parámetros del RCCP para regular el ruido en zonas residenciales, atendiendo criterios de salud pública y bienestar comunitario.</w:t>
      </w:r>
      <w:r w:rsidR="00C63D1B">
        <w:rPr>
          <w:rStyle w:val="FootnoteReference"/>
          <w:rFonts w:ascii="Book Antiqua" w:eastAsia="Times New Roman" w:hAnsi="Book Antiqua"/>
          <w:bCs/>
          <w:kern w:val="0"/>
          <w14:ligatures w14:val="none"/>
        </w:rPr>
        <w:footnoteReference w:id="8"/>
      </w:r>
      <w:r>
        <w:rPr>
          <w:rFonts w:ascii="Book Antiqua" w:eastAsia="Times New Roman" w:hAnsi="Book Antiqua" w:cs="Times New Roman"/>
          <w:bCs/>
          <w:kern w:val="0"/>
          <w14:ligatures w14:val="none"/>
        </w:rPr>
        <w:t xml:space="preserve"> De igual modo, </w:t>
      </w:r>
      <w:r w:rsidR="00C63D1B">
        <w:rPr>
          <w:rFonts w:ascii="Book Antiqua" w:eastAsia="Times New Roman" w:hAnsi="Book Antiqua" w:cs="Times New Roman"/>
          <w:bCs/>
          <w:kern w:val="0"/>
          <w14:ligatures w14:val="none"/>
        </w:rPr>
        <w:t>sugirió precisar “desde qué punto se determinará la zona receptora para efectos de realizar la medición de sonometría, ya que la ausencia de criterios técnicos claros puede dificultar la aplicación uniforme de la norma.”</w:t>
      </w:r>
      <w:r w:rsidR="00C63D1B">
        <w:rPr>
          <w:rStyle w:val="FootnoteReference"/>
          <w:rFonts w:ascii="Book Antiqua" w:eastAsia="Times New Roman" w:hAnsi="Book Antiqua"/>
          <w:bCs/>
          <w:kern w:val="0"/>
          <w14:ligatures w14:val="none"/>
        </w:rPr>
        <w:footnoteReference w:id="9"/>
      </w:r>
    </w:p>
    <w:p w14:paraId="67A74FD3" w14:textId="577E7C13" w:rsidR="00C63D1B" w:rsidRDefault="00C63D1B" w:rsidP="00B744D2">
      <w:pPr>
        <w:pStyle w:val="ListParagraph"/>
        <w:numPr>
          <w:ilvl w:val="1"/>
          <w:numId w:val="1"/>
        </w:numPr>
        <w:spacing w:after="200" w:line="360" w:lineRule="auto"/>
        <w:jc w:val="both"/>
        <w:rPr>
          <w:rFonts w:ascii="Book Antiqua" w:eastAsia="Times New Roman" w:hAnsi="Book Antiqua" w:cs="Times New Roman"/>
          <w:bCs/>
          <w:kern w:val="0"/>
          <w14:ligatures w14:val="none"/>
        </w:rPr>
      </w:pPr>
      <w:r>
        <w:rPr>
          <w:rFonts w:ascii="Book Antiqua" w:eastAsia="Times New Roman" w:hAnsi="Book Antiqua" w:cs="Times New Roman"/>
          <w:bCs/>
          <w:kern w:val="0"/>
          <w14:ligatures w14:val="none"/>
        </w:rPr>
        <w:t>Evaluar el esquema de multas progresivas y aquellas conductas tipificadas como delitos menos graves con su interacción con los procesos administrativos llevado</w:t>
      </w:r>
      <w:r w:rsidR="00777FEA">
        <w:rPr>
          <w:rFonts w:ascii="Book Antiqua" w:eastAsia="Times New Roman" w:hAnsi="Book Antiqua" w:cs="Times New Roman"/>
          <w:bCs/>
          <w:kern w:val="0"/>
          <w14:ligatures w14:val="none"/>
        </w:rPr>
        <w:t>s</w:t>
      </w:r>
      <w:r>
        <w:rPr>
          <w:rFonts w:ascii="Book Antiqua" w:eastAsia="Times New Roman" w:hAnsi="Book Antiqua" w:cs="Times New Roman"/>
          <w:bCs/>
          <w:kern w:val="0"/>
          <w14:ligatures w14:val="none"/>
        </w:rPr>
        <w:t xml:space="preserve"> por el DRNA bajo la Ley Núm. 416-2004, según enmendada, conocida como “Ley sobre política Pública Ambiental</w:t>
      </w:r>
      <w:r w:rsidR="00954241">
        <w:rPr>
          <w:rFonts w:ascii="Book Antiqua" w:eastAsia="Times New Roman" w:hAnsi="Book Antiqua" w:cs="Times New Roman"/>
          <w:bCs/>
          <w:kern w:val="0"/>
          <w14:ligatures w14:val="none"/>
        </w:rPr>
        <w:t>”.</w:t>
      </w:r>
      <w:r w:rsidR="00954241">
        <w:rPr>
          <w:rStyle w:val="FootnoteReference"/>
          <w:rFonts w:ascii="Book Antiqua" w:eastAsia="Times New Roman" w:hAnsi="Book Antiqua"/>
          <w:bCs/>
          <w:kern w:val="0"/>
          <w14:ligatures w14:val="none"/>
        </w:rPr>
        <w:footnoteReference w:id="10"/>
      </w:r>
      <w:r w:rsidR="00954241">
        <w:rPr>
          <w:rFonts w:ascii="Book Antiqua" w:eastAsia="Times New Roman" w:hAnsi="Book Antiqua" w:cs="Times New Roman"/>
          <w:bCs/>
          <w:kern w:val="0"/>
          <w14:ligatures w14:val="none"/>
        </w:rPr>
        <w:t xml:space="preserve"> Ello “con el fin de evitar duplicidad de sanciones o conflictos de jurisdicción entre procesos administrativos y procesos penales.”</w:t>
      </w:r>
      <w:r w:rsidR="00954241">
        <w:rPr>
          <w:rStyle w:val="FootnoteReference"/>
          <w:rFonts w:ascii="Book Antiqua" w:eastAsia="Times New Roman" w:hAnsi="Book Antiqua"/>
          <w:bCs/>
          <w:kern w:val="0"/>
          <w14:ligatures w14:val="none"/>
        </w:rPr>
        <w:footnoteReference w:id="11"/>
      </w:r>
    </w:p>
    <w:p w14:paraId="2EDB3B61" w14:textId="389006FE" w:rsidR="00954241" w:rsidRDefault="00954241" w:rsidP="00B744D2">
      <w:pPr>
        <w:pStyle w:val="ListParagraph"/>
        <w:numPr>
          <w:ilvl w:val="1"/>
          <w:numId w:val="1"/>
        </w:numPr>
        <w:spacing w:after="200" w:line="360" w:lineRule="auto"/>
        <w:jc w:val="both"/>
        <w:rPr>
          <w:rFonts w:ascii="Book Antiqua" w:eastAsia="Times New Roman" w:hAnsi="Book Antiqua" w:cs="Times New Roman"/>
          <w:bCs/>
          <w:kern w:val="0"/>
          <w14:ligatures w14:val="none"/>
        </w:rPr>
      </w:pPr>
      <w:r>
        <w:rPr>
          <w:rFonts w:ascii="Book Antiqua" w:eastAsia="Times New Roman" w:hAnsi="Book Antiqua" w:cs="Times New Roman"/>
          <w:bCs/>
          <w:kern w:val="0"/>
          <w14:ligatures w14:val="none"/>
        </w:rPr>
        <w:t>Establecer el destino de las multas recaudadas.</w:t>
      </w:r>
      <w:r>
        <w:rPr>
          <w:rStyle w:val="FootnoteReference"/>
          <w:rFonts w:ascii="Book Antiqua" w:eastAsia="Times New Roman" w:hAnsi="Book Antiqua"/>
          <w:bCs/>
          <w:kern w:val="0"/>
          <w14:ligatures w14:val="none"/>
        </w:rPr>
        <w:footnoteReference w:id="12"/>
      </w:r>
    </w:p>
    <w:p w14:paraId="41C34AC5" w14:textId="34BDFEB6" w:rsidR="00A22B13" w:rsidRDefault="00954241" w:rsidP="00A22B13">
      <w:pPr>
        <w:spacing w:after="200" w:line="360" w:lineRule="auto"/>
        <w:ind w:left="360"/>
        <w:jc w:val="both"/>
        <w:rPr>
          <w:rFonts w:ascii="Book Antiqua" w:eastAsia="Times New Roman" w:hAnsi="Book Antiqua" w:cs="Times New Roman"/>
          <w:bCs/>
          <w:kern w:val="0"/>
          <w14:ligatures w14:val="none"/>
        </w:rPr>
      </w:pPr>
      <w:r>
        <w:rPr>
          <w:rFonts w:ascii="Book Antiqua" w:eastAsia="Times New Roman" w:hAnsi="Book Antiqua" w:cs="Times New Roman"/>
          <w:bCs/>
          <w:kern w:val="0"/>
          <w14:ligatures w14:val="none"/>
        </w:rPr>
        <w:t xml:space="preserve">Considerando lo anterior, </w:t>
      </w:r>
      <w:r w:rsidR="00AC09D2">
        <w:rPr>
          <w:rFonts w:ascii="Book Antiqua" w:eastAsia="Times New Roman" w:hAnsi="Book Antiqua" w:cs="Times New Roman"/>
          <w:bCs/>
          <w:kern w:val="0"/>
          <w14:ligatures w14:val="none"/>
        </w:rPr>
        <w:t>el DRNA favoreció la aprobación del P. de la C. 991, considerando las recomendaciones ofrecidas.</w:t>
      </w:r>
      <w:r w:rsidR="00AC09D2">
        <w:rPr>
          <w:rStyle w:val="FootnoteReference"/>
          <w:rFonts w:ascii="Book Antiqua" w:eastAsia="Times New Roman" w:hAnsi="Book Antiqua"/>
          <w:bCs/>
          <w:kern w:val="0"/>
          <w14:ligatures w14:val="none"/>
        </w:rPr>
        <w:footnoteReference w:id="13"/>
      </w:r>
      <w:r w:rsidR="00AC09D2">
        <w:rPr>
          <w:rFonts w:ascii="Book Antiqua" w:eastAsia="Times New Roman" w:hAnsi="Book Antiqua" w:cs="Times New Roman"/>
          <w:bCs/>
          <w:kern w:val="0"/>
          <w14:ligatures w14:val="none"/>
        </w:rPr>
        <w:t xml:space="preserve"> </w:t>
      </w:r>
    </w:p>
    <w:p w14:paraId="1CD4DC65" w14:textId="77777777" w:rsidR="00A22B13" w:rsidRPr="00AC09D2" w:rsidRDefault="00A22B13" w:rsidP="00A22B13">
      <w:pPr>
        <w:spacing w:after="0" w:line="360" w:lineRule="auto"/>
        <w:ind w:left="360"/>
        <w:jc w:val="both"/>
        <w:rPr>
          <w:rFonts w:ascii="Book Antiqua" w:eastAsia="Times New Roman" w:hAnsi="Book Antiqua" w:cs="Times New Roman"/>
          <w:bCs/>
          <w:kern w:val="0"/>
          <w14:ligatures w14:val="none"/>
        </w:rPr>
      </w:pPr>
    </w:p>
    <w:p w14:paraId="3B676B1C" w14:textId="6D2A43C3" w:rsidR="00433876" w:rsidRPr="00F461C6" w:rsidRDefault="00792C46" w:rsidP="00433876">
      <w:pPr>
        <w:numPr>
          <w:ilvl w:val="0"/>
          <w:numId w:val="1"/>
        </w:numPr>
        <w:spacing w:after="200" w:line="276" w:lineRule="auto"/>
        <w:ind w:left="360"/>
        <w:contextualSpacing/>
        <w:jc w:val="center"/>
        <w:rPr>
          <w:rFonts w:ascii="Book Antiqua" w:eastAsia="Times New Roman" w:hAnsi="Book Antiqua" w:cs="Times New Roman"/>
          <w:bCs/>
          <w:kern w:val="0"/>
          <w:u w:val="single"/>
          <w14:ligatures w14:val="none"/>
        </w:rPr>
      </w:pPr>
      <w:r>
        <w:rPr>
          <w:rFonts w:ascii="Book Antiqua" w:eastAsia="Times New Roman" w:hAnsi="Book Antiqua" w:cs="Times New Roman"/>
          <w:kern w:val="0"/>
          <w:u w:val="single"/>
          <w14:ligatures w14:val="none"/>
        </w:rPr>
        <w:lastRenderedPageBreak/>
        <w:t>Negociado de la Policía de Puerto Rico</w:t>
      </w:r>
    </w:p>
    <w:p w14:paraId="3516F8FA" w14:textId="77777777" w:rsidR="00F461C6" w:rsidRDefault="00F461C6" w:rsidP="00F461C6">
      <w:pPr>
        <w:spacing w:after="200" w:line="276" w:lineRule="auto"/>
        <w:contextualSpacing/>
        <w:rPr>
          <w:rFonts w:ascii="Book Antiqua" w:eastAsia="Times New Roman" w:hAnsi="Book Antiqua" w:cs="Times New Roman"/>
          <w:kern w:val="0"/>
          <w:u w:val="single"/>
          <w14:ligatures w14:val="none"/>
        </w:rPr>
      </w:pPr>
    </w:p>
    <w:p w14:paraId="201D70B1" w14:textId="2CC324CD" w:rsidR="00F461C6" w:rsidRDefault="00F461C6" w:rsidP="00B74E57">
      <w:pPr>
        <w:spacing w:after="200" w:line="360" w:lineRule="auto"/>
        <w:ind w:firstLine="720"/>
        <w:contextualSpacing/>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t>El Negociado de la Policía de Puerto Rico (NPPR)</w:t>
      </w:r>
      <w:r w:rsidR="00B74E57">
        <w:rPr>
          <w:rFonts w:ascii="Book Antiqua" w:eastAsia="Times New Roman" w:hAnsi="Book Antiqua" w:cs="Times New Roman"/>
          <w:kern w:val="0"/>
          <w14:ligatures w14:val="none"/>
        </w:rPr>
        <w:t xml:space="preserve"> </w:t>
      </w:r>
      <w:r w:rsidR="00823C21">
        <w:rPr>
          <w:rFonts w:ascii="Book Antiqua" w:eastAsia="Times New Roman" w:hAnsi="Book Antiqua" w:cs="Times New Roman"/>
          <w:kern w:val="0"/>
          <w14:ligatures w14:val="none"/>
        </w:rPr>
        <w:t>expresó</w:t>
      </w:r>
      <w:r w:rsidR="00B74E57">
        <w:rPr>
          <w:rFonts w:ascii="Book Antiqua" w:eastAsia="Times New Roman" w:hAnsi="Book Antiqua" w:cs="Times New Roman"/>
          <w:kern w:val="0"/>
          <w14:ligatures w14:val="none"/>
        </w:rPr>
        <w:t xml:space="preserve"> que la libertad de expresión y la celebración de actividades culturales deben coexistir con el derecho de las personas al descanso, la privacidad y a un ambiente saludable.</w:t>
      </w:r>
      <w:r w:rsidR="00823C21">
        <w:rPr>
          <w:rStyle w:val="FootnoteReference"/>
          <w:rFonts w:ascii="Book Antiqua" w:eastAsia="Times New Roman" w:hAnsi="Book Antiqua"/>
          <w:kern w:val="0"/>
          <w14:ligatures w14:val="none"/>
        </w:rPr>
        <w:footnoteReference w:id="14"/>
      </w:r>
      <w:r w:rsidR="00823C21">
        <w:rPr>
          <w:rFonts w:ascii="Book Antiqua" w:eastAsia="Times New Roman" w:hAnsi="Book Antiqua" w:cs="Times New Roman"/>
          <w:kern w:val="0"/>
          <w14:ligatures w14:val="none"/>
        </w:rPr>
        <w:t xml:space="preserve"> Asimismo, indicó que el P. de la C. 991 responde “al aumento en la contaminación acústica causado por el crecimiento urbano y el uso de equipos de sonido de alta potencia, lo cual puede afectar la salud física y mental, así como el bienestar social y el ambiente educativo laboral.”</w:t>
      </w:r>
      <w:r w:rsidR="00823C21">
        <w:rPr>
          <w:rStyle w:val="FootnoteReference"/>
          <w:rFonts w:ascii="Book Antiqua" w:eastAsia="Times New Roman" w:hAnsi="Book Antiqua"/>
          <w:kern w:val="0"/>
          <w14:ligatures w14:val="none"/>
        </w:rPr>
        <w:footnoteReference w:id="15"/>
      </w:r>
      <w:r w:rsidR="00CE0FE5">
        <w:rPr>
          <w:rFonts w:ascii="Book Antiqua" w:eastAsia="Times New Roman" w:hAnsi="Book Antiqua" w:cs="Times New Roman"/>
          <w:kern w:val="0"/>
          <w14:ligatures w14:val="none"/>
        </w:rPr>
        <w:t xml:space="preserve"> Añadió que “el ruido excesivo constituye un asunto de salud pública que requiere una regulación clara y efectiva.”</w:t>
      </w:r>
      <w:r w:rsidR="00CE0FE5">
        <w:rPr>
          <w:rStyle w:val="FootnoteReference"/>
          <w:rFonts w:ascii="Book Antiqua" w:eastAsia="Times New Roman" w:hAnsi="Book Antiqua"/>
          <w:kern w:val="0"/>
          <w14:ligatures w14:val="none"/>
        </w:rPr>
        <w:footnoteReference w:id="16"/>
      </w:r>
      <w:r w:rsidR="00BC7974">
        <w:rPr>
          <w:rFonts w:ascii="Book Antiqua" w:eastAsia="Times New Roman" w:hAnsi="Book Antiqua" w:cs="Times New Roman"/>
          <w:kern w:val="0"/>
          <w14:ligatures w14:val="none"/>
        </w:rPr>
        <w:t xml:space="preserve"> </w:t>
      </w:r>
    </w:p>
    <w:p w14:paraId="003C8C97" w14:textId="5B60D97D" w:rsidR="00BC7974" w:rsidRDefault="00BC7974" w:rsidP="00B74E57">
      <w:pPr>
        <w:spacing w:after="200" w:line="360" w:lineRule="auto"/>
        <w:ind w:firstLine="720"/>
        <w:contextualSpacing/>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t>De igual modo, expresó que el P. de la C. 991 “busca derogar y consolida</w:t>
      </w:r>
      <w:r w:rsidR="00777FEA">
        <w:rPr>
          <w:rFonts w:ascii="Book Antiqua" w:eastAsia="Times New Roman" w:hAnsi="Book Antiqua" w:cs="Times New Roman"/>
          <w:kern w:val="0"/>
          <w14:ligatures w14:val="none"/>
        </w:rPr>
        <w:t>r</w:t>
      </w:r>
      <w:r>
        <w:rPr>
          <w:rFonts w:ascii="Book Antiqua" w:eastAsia="Times New Roman" w:hAnsi="Book Antiqua" w:cs="Times New Roman"/>
          <w:kern w:val="0"/>
          <w14:ligatures w14:val="none"/>
        </w:rPr>
        <w:t xml:space="preserve"> varias leyes antiguas en un solo estatuto moderno y uniforme, con el fin de eliminar confusiones, facilitar su aplicación y proveer una certeza jurídica.”</w:t>
      </w:r>
      <w:r>
        <w:rPr>
          <w:rStyle w:val="FootnoteReference"/>
          <w:rFonts w:ascii="Book Antiqua" w:eastAsia="Times New Roman" w:hAnsi="Book Antiqua"/>
          <w:kern w:val="0"/>
          <w14:ligatures w14:val="none"/>
        </w:rPr>
        <w:footnoteReference w:id="17"/>
      </w:r>
      <w:r>
        <w:rPr>
          <w:rFonts w:ascii="Book Antiqua" w:eastAsia="Times New Roman" w:hAnsi="Book Antiqua" w:cs="Times New Roman"/>
          <w:kern w:val="0"/>
          <w14:ligatures w14:val="none"/>
        </w:rPr>
        <w:t xml:space="preserve"> De este modo “establece un marco legal actualizado que permite proteger la tranquilidad pública, promover una convivencia social ordenada y atender de manera efectiva el problema de la contaminación por ruido en Puerto Rico.”</w:t>
      </w:r>
      <w:r>
        <w:rPr>
          <w:rStyle w:val="FootnoteReference"/>
          <w:rFonts w:ascii="Book Antiqua" w:eastAsia="Times New Roman" w:hAnsi="Book Antiqua"/>
          <w:kern w:val="0"/>
          <w14:ligatures w14:val="none"/>
        </w:rPr>
        <w:footnoteReference w:id="18"/>
      </w:r>
      <w:r>
        <w:rPr>
          <w:rFonts w:ascii="Book Antiqua" w:eastAsia="Times New Roman" w:hAnsi="Book Antiqua" w:cs="Times New Roman"/>
          <w:kern w:val="0"/>
          <w14:ligatures w14:val="none"/>
        </w:rPr>
        <w:t xml:space="preserve"> Asimismo, añadió que la modernización del marco legal y la consolidación de varios estatutos relacionados a la regulación del ruido  permitirá una mayor claridad jurídica, más uniformidad en su implantación</w:t>
      </w:r>
      <w:r w:rsidR="00C4278A">
        <w:rPr>
          <w:rFonts w:ascii="Book Antiqua" w:eastAsia="Times New Roman" w:hAnsi="Book Antiqua" w:cs="Times New Roman"/>
          <w:kern w:val="0"/>
          <w14:ligatures w14:val="none"/>
        </w:rPr>
        <w:t>.</w:t>
      </w:r>
      <w:r w:rsidR="00C4278A">
        <w:rPr>
          <w:rStyle w:val="FootnoteReference"/>
          <w:rFonts w:ascii="Book Antiqua" w:eastAsia="Times New Roman" w:hAnsi="Book Antiqua"/>
          <w:kern w:val="0"/>
          <w14:ligatures w14:val="none"/>
        </w:rPr>
        <w:footnoteReference w:id="19"/>
      </w:r>
      <w:r w:rsidR="00C4278A">
        <w:rPr>
          <w:rFonts w:ascii="Book Antiqua" w:eastAsia="Times New Roman" w:hAnsi="Book Antiqua" w:cs="Times New Roman"/>
          <w:kern w:val="0"/>
          <w14:ligatures w14:val="none"/>
        </w:rPr>
        <w:t xml:space="preserve"> De igual modo, indicó que lo propuesto en el P. de la C. 991 </w:t>
      </w:r>
      <w:r>
        <w:rPr>
          <w:rFonts w:ascii="Book Antiqua" w:eastAsia="Times New Roman" w:hAnsi="Book Antiqua" w:cs="Times New Roman"/>
          <w:kern w:val="0"/>
          <w14:ligatures w14:val="none"/>
        </w:rPr>
        <w:t>fortalecerá los esfuerzos por cumplir con los propósitos del ordenamiento jurídico correspondiente.</w:t>
      </w:r>
      <w:r w:rsidR="00C4278A">
        <w:rPr>
          <w:rStyle w:val="FootnoteReference"/>
          <w:rFonts w:ascii="Book Antiqua" w:eastAsia="Times New Roman" w:hAnsi="Book Antiqua"/>
          <w:kern w:val="0"/>
          <w14:ligatures w14:val="none"/>
        </w:rPr>
        <w:footnoteReference w:id="20"/>
      </w:r>
      <w:r>
        <w:rPr>
          <w:rFonts w:ascii="Book Antiqua" w:eastAsia="Times New Roman" w:hAnsi="Book Antiqua" w:cs="Times New Roman"/>
          <w:kern w:val="0"/>
          <w14:ligatures w14:val="none"/>
        </w:rPr>
        <w:t xml:space="preserve"> </w:t>
      </w:r>
    </w:p>
    <w:p w14:paraId="18F8DD04" w14:textId="3CEBF017" w:rsidR="008F0BC3" w:rsidRDefault="008F0BC3" w:rsidP="008F0BC3">
      <w:pPr>
        <w:spacing w:after="200" w:line="360" w:lineRule="auto"/>
        <w:contextualSpacing/>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tab/>
        <w:t xml:space="preserve">Por otra parte, presentó las siguientes recomendaciones: </w:t>
      </w:r>
    </w:p>
    <w:p w14:paraId="6F168E96" w14:textId="55FF78EA" w:rsidR="008F0BC3" w:rsidRDefault="008F0BC3" w:rsidP="008F0BC3">
      <w:pPr>
        <w:pStyle w:val="ListParagraph"/>
        <w:numPr>
          <w:ilvl w:val="0"/>
          <w:numId w:val="8"/>
        </w:numPr>
        <w:spacing w:after="200" w:line="360" w:lineRule="auto"/>
        <w:ind w:left="1440"/>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t>Prestar mayor atención a la definición de “ruido”, a fin de que no se preste a interpretaciones ambiguas y permita una aplicación efectiva de la ley.</w:t>
      </w:r>
      <w:r>
        <w:rPr>
          <w:rStyle w:val="FootnoteReference"/>
          <w:rFonts w:ascii="Book Antiqua" w:eastAsia="Times New Roman" w:hAnsi="Book Antiqua"/>
          <w:kern w:val="0"/>
          <w14:ligatures w14:val="none"/>
        </w:rPr>
        <w:footnoteReference w:id="21"/>
      </w:r>
    </w:p>
    <w:p w14:paraId="625C8339" w14:textId="356AD44B" w:rsidR="008F0BC3" w:rsidRDefault="008F0BC3" w:rsidP="008F0BC3">
      <w:pPr>
        <w:pStyle w:val="ListParagraph"/>
        <w:numPr>
          <w:ilvl w:val="0"/>
          <w:numId w:val="8"/>
        </w:numPr>
        <w:spacing w:after="200" w:line="360" w:lineRule="auto"/>
        <w:ind w:left="1440"/>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lastRenderedPageBreak/>
        <w:t>Que las excepciones contempladas en la ley estén claramente definidas.</w:t>
      </w:r>
      <w:r>
        <w:rPr>
          <w:rStyle w:val="FootnoteReference"/>
          <w:rFonts w:ascii="Book Antiqua" w:eastAsia="Times New Roman" w:hAnsi="Book Antiqua"/>
          <w:kern w:val="0"/>
          <w14:ligatures w14:val="none"/>
        </w:rPr>
        <w:footnoteReference w:id="22"/>
      </w:r>
    </w:p>
    <w:p w14:paraId="13D4E039" w14:textId="15545836" w:rsidR="008F0BC3" w:rsidRDefault="008F0BC3" w:rsidP="008F0BC3">
      <w:pPr>
        <w:pStyle w:val="ListParagraph"/>
        <w:numPr>
          <w:ilvl w:val="0"/>
          <w:numId w:val="8"/>
        </w:numPr>
        <w:spacing w:after="200" w:line="360" w:lineRule="auto"/>
        <w:ind w:left="1440"/>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t>Que se ausculte la posición de otras agencias y entidades con conocimiento técnico y pericial en la materia.</w:t>
      </w:r>
      <w:r>
        <w:rPr>
          <w:rStyle w:val="FootnoteReference"/>
          <w:rFonts w:ascii="Book Antiqua" w:eastAsia="Times New Roman" w:hAnsi="Book Antiqua"/>
          <w:kern w:val="0"/>
          <w14:ligatures w14:val="none"/>
        </w:rPr>
        <w:footnoteReference w:id="23"/>
      </w:r>
      <w:r>
        <w:rPr>
          <w:rFonts w:ascii="Book Antiqua" w:eastAsia="Times New Roman" w:hAnsi="Book Antiqua" w:cs="Times New Roman"/>
          <w:kern w:val="0"/>
          <w14:ligatures w14:val="none"/>
        </w:rPr>
        <w:t xml:space="preserve"> </w:t>
      </w:r>
    </w:p>
    <w:p w14:paraId="67E3E9B6" w14:textId="7D7421DC" w:rsidR="008F0BC3" w:rsidRDefault="008F0BC3" w:rsidP="008F0BC3">
      <w:pPr>
        <w:pStyle w:val="ListParagraph"/>
        <w:numPr>
          <w:ilvl w:val="0"/>
          <w:numId w:val="8"/>
        </w:numPr>
        <w:spacing w:after="200" w:line="360" w:lineRule="auto"/>
        <w:ind w:left="1440"/>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t>Que la vigencia de la ley no fuera inmediata, sino que ello ocurra una vez se adopten los reglamentos necesarios, y se efectúen los procesos necesarios para su evaluación e implementación.</w:t>
      </w:r>
      <w:r>
        <w:rPr>
          <w:rStyle w:val="FootnoteReference"/>
          <w:rFonts w:ascii="Book Antiqua" w:eastAsia="Times New Roman" w:hAnsi="Book Antiqua"/>
          <w:kern w:val="0"/>
          <w14:ligatures w14:val="none"/>
        </w:rPr>
        <w:footnoteReference w:id="24"/>
      </w:r>
    </w:p>
    <w:p w14:paraId="2BB41309" w14:textId="73A79D94" w:rsidR="00F523E4" w:rsidRPr="008D7891" w:rsidRDefault="008F0BC3" w:rsidP="008D7891">
      <w:pPr>
        <w:spacing w:after="200" w:line="360" w:lineRule="auto"/>
        <w:ind w:firstLine="720"/>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t>De este modo, el NPPR apoyó la medida propuesta</w:t>
      </w:r>
      <w:r>
        <w:rPr>
          <w:rStyle w:val="FootnoteReference"/>
          <w:rFonts w:ascii="Book Antiqua" w:eastAsia="Times New Roman" w:hAnsi="Book Antiqua"/>
          <w:kern w:val="0"/>
          <w14:ligatures w14:val="none"/>
        </w:rPr>
        <w:footnoteReference w:id="25"/>
      </w:r>
      <w:r>
        <w:rPr>
          <w:rFonts w:ascii="Book Antiqua" w:eastAsia="Times New Roman" w:hAnsi="Book Antiqua" w:cs="Times New Roman"/>
          <w:kern w:val="0"/>
          <w14:ligatures w14:val="none"/>
        </w:rPr>
        <w:t>, “reconociendo su importancia para fortalecer la tranquilidad pública y proveer un marco legal moderno, claro y uniforme para la regulación del ruido en Puerto Rico.”</w:t>
      </w:r>
      <w:r>
        <w:rPr>
          <w:rStyle w:val="FootnoteReference"/>
          <w:rFonts w:ascii="Book Antiqua" w:eastAsia="Times New Roman" w:hAnsi="Book Antiqua"/>
          <w:kern w:val="0"/>
          <w14:ligatures w14:val="none"/>
        </w:rPr>
        <w:footnoteReference w:id="26"/>
      </w:r>
    </w:p>
    <w:p w14:paraId="7CC8029E" w14:textId="78459672" w:rsidR="00433876" w:rsidRPr="00C4278A" w:rsidRDefault="00B67C4D" w:rsidP="00433876">
      <w:pPr>
        <w:numPr>
          <w:ilvl w:val="0"/>
          <w:numId w:val="1"/>
        </w:numPr>
        <w:spacing w:after="200" w:line="276" w:lineRule="auto"/>
        <w:ind w:left="360"/>
        <w:contextualSpacing/>
        <w:jc w:val="center"/>
        <w:rPr>
          <w:rFonts w:ascii="Book Antiqua" w:eastAsia="Times New Roman" w:hAnsi="Book Antiqua" w:cs="Times New Roman"/>
          <w:bCs/>
          <w:kern w:val="0"/>
          <w:u w:val="single"/>
          <w14:ligatures w14:val="none"/>
        </w:rPr>
      </w:pPr>
      <w:r>
        <w:rPr>
          <w:rFonts w:ascii="Book Antiqua" w:eastAsia="Times New Roman" w:hAnsi="Book Antiqua" w:cs="Times New Roman"/>
          <w:kern w:val="0"/>
          <w:u w:val="single"/>
          <w14:ligatures w14:val="none"/>
        </w:rPr>
        <w:t>Departamento de Justicia</w:t>
      </w:r>
    </w:p>
    <w:p w14:paraId="22E1B98C" w14:textId="77777777" w:rsidR="00C4278A" w:rsidRDefault="00C4278A" w:rsidP="00C4278A">
      <w:pPr>
        <w:spacing w:after="200" w:line="276" w:lineRule="auto"/>
        <w:contextualSpacing/>
        <w:jc w:val="both"/>
        <w:rPr>
          <w:rFonts w:ascii="Book Antiqua" w:eastAsia="Times New Roman" w:hAnsi="Book Antiqua" w:cs="Times New Roman"/>
          <w:kern w:val="0"/>
          <w:u w:val="single"/>
          <w14:ligatures w14:val="none"/>
        </w:rPr>
      </w:pPr>
    </w:p>
    <w:p w14:paraId="1CE4ADFC" w14:textId="0C7B86B9" w:rsidR="007323D1" w:rsidRDefault="00C4278A" w:rsidP="00D120B5">
      <w:pPr>
        <w:spacing w:after="0" w:line="360" w:lineRule="auto"/>
        <w:ind w:firstLine="720"/>
        <w:contextualSpacing/>
        <w:jc w:val="both"/>
        <w:rPr>
          <w:rFonts w:ascii="Book Antiqua" w:eastAsia="Times New Roman" w:hAnsi="Book Antiqua" w:cs="Times New Roman"/>
          <w:bCs/>
          <w:kern w:val="0"/>
          <w14:ligatures w14:val="none"/>
        </w:rPr>
      </w:pPr>
      <w:r>
        <w:rPr>
          <w:rFonts w:ascii="Book Antiqua" w:eastAsia="Times New Roman" w:hAnsi="Book Antiqua" w:cs="Times New Roman"/>
          <w:kern w:val="0"/>
          <w14:ligatures w14:val="none"/>
        </w:rPr>
        <w:t xml:space="preserve">Al momento de evaluarse el presente informe, el Departamento de Justicia no había presentado el </w:t>
      </w:r>
      <w:r w:rsidRPr="008D7891">
        <w:rPr>
          <w:rFonts w:ascii="Book Antiqua" w:eastAsia="Times New Roman" w:hAnsi="Book Antiqua" w:cs="Times New Roman"/>
          <w:i/>
          <w:iCs/>
          <w:kern w:val="0"/>
          <w14:ligatures w14:val="none"/>
        </w:rPr>
        <w:t>Memorial Explicativo</w:t>
      </w:r>
      <w:r>
        <w:rPr>
          <w:rFonts w:ascii="Book Antiqua" w:eastAsia="Times New Roman" w:hAnsi="Book Antiqua" w:cs="Times New Roman"/>
          <w:kern w:val="0"/>
          <w14:ligatures w14:val="none"/>
        </w:rPr>
        <w:t xml:space="preserve"> solicitado. </w:t>
      </w:r>
    </w:p>
    <w:p w14:paraId="73C5465A" w14:textId="77777777" w:rsidR="00D120B5" w:rsidRPr="00B95257" w:rsidRDefault="00D120B5" w:rsidP="00723F48">
      <w:pPr>
        <w:spacing w:after="0" w:line="240" w:lineRule="auto"/>
        <w:ind w:firstLine="720"/>
        <w:contextualSpacing/>
        <w:jc w:val="both"/>
        <w:rPr>
          <w:rFonts w:ascii="Book Antiqua" w:eastAsia="Times New Roman" w:hAnsi="Book Antiqua" w:cs="Times New Roman"/>
          <w:bCs/>
          <w:kern w:val="0"/>
          <w14:ligatures w14:val="none"/>
        </w:rPr>
      </w:pPr>
    </w:p>
    <w:p w14:paraId="0165DE6E" w14:textId="2FD377F7" w:rsidR="00B67C4D" w:rsidRPr="00777FEA" w:rsidRDefault="00792C46" w:rsidP="00D120B5">
      <w:pPr>
        <w:numPr>
          <w:ilvl w:val="0"/>
          <w:numId w:val="1"/>
        </w:numPr>
        <w:spacing w:after="0" w:line="276" w:lineRule="auto"/>
        <w:ind w:left="360"/>
        <w:contextualSpacing/>
        <w:jc w:val="center"/>
        <w:rPr>
          <w:rFonts w:ascii="Book Antiqua" w:eastAsia="Times New Roman" w:hAnsi="Book Antiqua" w:cs="Times New Roman"/>
          <w:bCs/>
          <w:kern w:val="0"/>
          <w:u w:val="single"/>
          <w:lang w:val="es-ES"/>
          <w14:ligatures w14:val="none"/>
        </w:rPr>
      </w:pPr>
      <w:r w:rsidRPr="00777FEA">
        <w:rPr>
          <w:rFonts w:ascii="Book Antiqua" w:eastAsia="Times New Roman" w:hAnsi="Book Antiqua" w:cs="Times New Roman"/>
          <w:kern w:val="0"/>
          <w:u w:val="single"/>
          <w:lang w:val="es-ES"/>
          <w14:ligatures w14:val="none"/>
        </w:rPr>
        <w:t>Oficina de Servicios Legislativos (OSL)</w:t>
      </w:r>
    </w:p>
    <w:p w14:paraId="25B15F99" w14:textId="77777777" w:rsidR="00F523E4" w:rsidRPr="00777FEA" w:rsidRDefault="00F523E4" w:rsidP="00F523E4">
      <w:pPr>
        <w:spacing w:after="200" w:line="276" w:lineRule="auto"/>
        <w:contextualSpacing/>
        <w:rPr>
          <w:rFonts w:ascii="Book Antiqua" w:eastAsia="Times New Roman" w:hAnsi="Book Antiqua" w:cs="Times New Roman"/>
          <w:kern w:val="0"/>
          <w:u w:val="single"/>
          <w:lang w:val="es-ES"/>
          <w14:ligatures w14:val="none"/>
        </w:rPr>
      </w:pPr>
    </w:p>
    <w:p w14:paraId="64DEA6F4" w14:textId="33FE4CBE" w:rsidR="00994562" w:rsidRDefault="007323D1" w:rsidP="007323D1">
      <w:pPr>
        <w:spacing w:after="200" w:line="360" w:lineRule="auto"/>
        <w:ind w:firstLine="720"/>
        <w:contextualSpacing/>
        <w:rPr>
          <w:rFonts w:ascii="Book Antiqua" w:eastAsia="Times New Roman" w:hAnsi="Book Antiqua" w:cs="Times New Roman"/>
          <w:kern w:val="0"/>
          <w14:ligatures w14:val="none"/>
        </w:rPr>
      </w:pPr>
      <w:r w:rsidRPr="007323D1">
        <w:rPr>
          <w:rFonts w:ascii="Book Antiqua" w:eastAsia="Times New Roman" w:hAnsi="Book Antiqua" w:cs="Times New Roman"/>
          <w:kern w:val="0"/>
          <w14:ligatures w14:val="none"/>
        </w:rPr>
        <w:t xml:space="preserve">La Oficina de Servicios </w:t>
      </w:r>
      <w:r>
        <w:rPr>
          <w:rFonts w:ascii="Book Antiqua" w:eastAsia="Times New Roman" w:hAnsi="Book Antiqua" w:cs="Times New Roman"/>
          <w:kern w:val="0"/>
          <w14:ligatures w14:val="none"/>
        </w:rPr>
        <w:t xml:space="preserve">Legislativos (OSL) </w:t>
      </w:r>
      <w:r w:rsidR="00994562">
        <w:rPr>
          <w:rFonts w:ascii="Book Antiqua" w:eastAsia="Times New Roman" w:hAnsi="Book Antiqua" w:cs="Times New Roman"/>
          <w:kern w:val="0"/>
          <w14:ligatures w14:val="none"/>
        </w:rPr>
        <w:t>comenzó expresando que no existía impedimento legal para la aprobación del P. de la C. 991.</w:t>
      </w:r>
      <w:r w:rsidR="00994562">
        <w:rPr>
          <w:rStyle w:val="FootnoteReference"/>
          <w:rFonts w:ascii="Book Antiqua" w:eastAsia="Times New Roman" w:hAnsi="Book Antiqua"/>
          <w:kern w:val="0"/>
          <w14:ligatures w14:val="none"/>
        </w:rPr>
        <w:footnoteReference w:id="27"/>
      </w:r>
      <w:r w:rsidR="00994562">
        <w:rPr>
          <w:rFonts w:ascii="Book Antiqua" w:eastAsia="Times New Roman" w:hAnsi="Book Antiqua" w:cs="Times New Roman"/>
          <w:kern w:val="0"/>
          <w14:ligatures w14:val="none"/>
        </w:rPr>
        <w:t xml:space="preserve"> De igual modo, hace un resumen del Proyecto de Ley, indicando que </w:t>
      </w:r>
    </w:p>
    <w:p w14:paraId="10B38375" w14:textId="72A42CD4" w:rsidR="007323D1" w:rsidRDefault="00994562" w:rsidP="00A22B13">
      <w:pPr>
        <w:spacing w:after="200" w:line="240" w:lineRule="auto"/>
        <w:ind w:left="720" w:right="720"/>
        <w:contextualSpacing/>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t>propone la derogación de las leyes que en la actualidad atienden lo relacionado a los ruidos innecesarios, y en su lugar, establecer un estatuto con una regulación integrada de la materia y con mayor precisión y criterios uniformes, como una herramienta para una mejor intervención de las autoridades competentes. Esto, con el fin de armonizar derechos fundamentales y promover tranquilidad pública.</w:t>
      </w:r>
      <w:r>
        <w:rPr>
          <w:rStyle w:val="FootnoteReference"/>
          <w:rFonts w:ascii="Book Antiqua" w:eastAsia="Times New Roman" w:hAnsi="Book Antiqua"/>
          <w:kern w:val="0"/>
          <w14:ligatures w14:val="none"/>
        </w:rPr>
        <w:footnoteReference w:id="28"/>
      </w:r>
    </w:p>
    <w:p w14:paraId="13E0F2A3" w14:textId="77777777" w:rsidR="007B25DE" w:rsidRDefault="007B25DE" w:rsidP="00994562">
      <w:pPr>
        <w:spacing w:after="200" w:line="276" w:lineRule="auto"/>
        <w:ind w:left="720" w:right="720"/>
        <w:contextualSpacing/>
        <w:jc w:val="both"/>
        <w:rPr>
          <w:rFonts w:ascii="Book Antiqua" w:eastAsia="Times New Roman" w:hAnsi="Book Antiqua" w:cs="Times New Roman"/>
          <w:kern w:val="0"/>
          <w14:ligatures w14:val="none"/>
        </w:rPr>
      </w:pPr>
    </w:p>
    <w:p w14:paraId="0D7F0CD6" w14:textId="1E693D10" w:rsidR="007B25DE" w:rsidRDefault="007B25DE" w:rsidP="007B25DE">
      <w:pPr>
        <w:spacing w:after="200" w:line="360" w:lineRule="auto"/>
        <w:contextualSpacing/>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lastRenderedPageBreak/>
        <w:t>Dentro de las leyes a derogar, identificó las siguientes: Ley Núm. 155 de 15 de mayo de 1937, según enmendada, conocida como “Ley para disponer sobre los amplificadores o altoparlantes cuando afecten la tranquilidad pública”</w:t>
      </w:r>
      <w:r>
        <w:rPr>
          <w:rStyle w:val="FootnoteReference"/>
          <w:rFonts w:ascii="Book Antiqua" w:eastAsia="Times New Roman" w:hAnsi="Book Antiqua"/>
          <w:kern w:val="0"/>
          <w14:ligatures w14:val="none"/>
        </w:rPr>
        <w:footnoteReference w:id="29"/>
      </w:r>
      <w:r>
        <w:rPr>
          <w:rFonts w:ascii="Book Antiqua" w:eastAsia="Times New Roman" w:hAnsi="Book Antiqua" w:cs="Times New Roman"/>
          <w:kern w:val="0"/>
          <w14:ligatures w14:val="none"/>
        </w:rPr>
        <w:t>; Ley Núm. 71 de 26 de abril de 1940, según enmendada, conocida como “Ley para suprimir los ruidos innecesarios”</w:t>
      </w:r>
      <w:r>
        <w:rPr>
          <w:rStyle w:val="FootnoteReference"/>
          <w:rFonts w:ascii="Book Antiqua" w:eastAsia="Times New Roman" w:hAnsi="Book Antiqua"/>
          <w:kern w:val="0"/>
          <w14:ligatures w14:val="none"/>
        </w:rPr>
        <w:footnoteReference w:id="30"/>
      </w:r>
      <w:r>
        <w:rPr>
          <w:rFonts w:ascii="Book Antiqua" w:eastAsia="Times New Roman" w:hAnsi="Book Antiqua" w:cs="Times New Roman"/>
          <w:kern w:val="0"/>
          <w14:ligatures w14:val="none"/>
        </w:rPr>
        <w:t>, y la Ley Núm. 211 de 23 de julio de 1974, conocida como “Ley para prohibir el uso de altoparlantes o amplificadores en la proximidad de l</w:t>
      </w:r>
      <w:r w:rsidR="00763E52">
        <w:rPr>
          <w:rFonts w:ascii="Book Antiqua" w:eastAsia="Times New Roman" w:hAnsi="Book Antiqua" w:cs="Times New Roman"/>
          <w:kern w:val="0"/>
          <w14:ligatures w14:val="none"/>
        </w:rPr>
        <w:t>a</w:t>
      </w:r>
      <w:r>
        <w:rPr>
          <w:rFonts w:ascii="Book Antiqua" w:eastAsia="Times New Roman" w:hAnsi="Book Antiqua" w:cs="Times New Roman"/>
          <w:kern w:val="0"/>
          <w14:ligatures w14:val="none"/>
        </w:rPr>
        <w:t>s escuelas públicas o privadas en Puerto Rico”</w:t>
      </w:r>
      <w:r>
        <w:rPr>
          <w:rStyle w:val="FootnoteReference"/>
          <w:rFonts w:ascii="Book Antiqua" w:eastAsia="Times New Roman" w:hAnsi="Book Antiqua"/>
          <w:kern w:val="0"/>
          <w14:ligatures w14:val="none"/>
        </w:rPr>
        <w:footnoteReference w:id="31"/>
      </w:r>
      <w:r>
        <w:rPr>
          <w:rFonts w:ascii="Book Antiqua" w:eastAsia="Times New Roman" w:hAnsi="Book Antiqua" w:cs="Times New Roman"/>
          <w:kern w:val="0"/>
          <w14:ligatures w14:val="none"/>
        </w:rPr>
        <w:t>.</w:t>
      </w:r>
      <w:r>
        <w:rPr>
          <w:rStyle w:val="FootnoteReference"/>
          <w:rFonts w:ascii="Book Antiqua" w:eastAsia="Times New Roman" w:hAnsi="Book Antiqua"/>
          <w:kern w:val="0"/>
          <w14:ligatures w14:val="none"/>
        </w:rPr>
        <w:footnoteReference w:id="32"/>
      </w:r>
      <w:r w:rsidR="00F7155A">
        <w:rPr>
          <w:rFonts w:ascii="Book Antiqua" w:eastAsia="Times New Roman" w:hAnsi="Book Antiqua" w:cs="Times New Roman"/>
          <w:kern w:val="0"/>
          <w14:ligatures w14:val="none"/>
        </w:rPr>
        <w:t xml:space="preserve"> Referente a las leyes mencionadas indicó</w:t>
      </w:r>
    </w:p>
    <w:p w14:paraId="5375515C" w14:textId="0BEABBD6" w:rsidR="00F7155A" w:rsidRDefault="00F7155A" w:rsidP="00A22B13">
      <w:pPr>
        <w:spacing w:after="200" w:line="240" w:lineRule="auto"/>
        <w:ind w:left="720" w:right="720"/>
        <w:contextualSpacing/>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t>[o]bservamos que las</w:t>
      </w:r>
      <w:r w:rsidR="00104C06">
        <w:rPr>
          <w:rFonts w:ascii="Book Antiqua" w:eastAsia="Times New Roman" w:hAnsi="Book Antiqua" w:cs="Times New Roman"/>
          <w:kern w:val="0"/>
          <w14:ligatures w14:val="none"/>
        </w:rPr>
        <w:t xml:space="preserve"> leyes</w:t>
      </w:r>
      <w:r>
        <w:rPr>
          <w:rFonts w:ascii="Book Antiqua" w:eastAsia="Times New Roman" w:hAnsi="Book Antiqua" w:cs="Times New Roman"/>
          <w:kern w:val="0"/>
          <w14:ligatures w14:val="none"/>
        </w:rPr>
        <w:t xml:space="preserve"> mencionadas, aprobadas en décadas distintas, aunque regulan conductas relacionadas a ruidos excesivos o que podrían afectar la tranquilidad o seguridad pública, operan de manera independiente. Estos estatutos tratan a su vez, circunstancias particulares e imponen multas de diferentees montos como sanción de la conducta prohibida…</w:t>
      </w:r>
      <w:r>
        <w:rPr>
          <w:rStyle w:val="FootnoteReference"/>
          <w:rFonts w:ascii="Book Antiqua" w:eastAsia="Times New Roman" w:hAnsi="Book Antiqua"/>
          <w:kern w:val="0"/>
          <w14:ligatures w14:val="none"/>
        </w:rPr>
        <w:footnoteReference w:id="33"/>
      </w:r>
      <w:r>
        <w:rPr>
          <w:rFonts w:ascii="Book Antiqua" w:eastAsia="Times New Roman" w:hAnsi="Book Antiqua" w:cs="Times New Roman"/>
          <w:kern w:val="0"/>
          <w14:ligatures w14:val="none"/>
        </w:rPr>
        <w:t xml:space="preserve"> </w:t>
      </w:r>
    </w:p>
    <w:p w14:paraId="2BF7CCE5" w14:textId="77777777" w:rsidR="00A22B13" w:rsidRDefault="00A22B13" w:rsidP="00A22B13">
      <w:pPr>
        <w:spacing w:after="200" w:line="240" w:lineRule="auto"/>
        <w:ind w:left="720" w:right="720"/>
        <w:contextualSpacing/>
        <w:jc w:val="both"/>
        <w:rPr>
          <w:rFonts w:ascii="Book Antiqua" w:eastAsia="Times New Roman" w:hAnsi="Book Antiqua" w:cs="Times New Roman"/>
          <w:kern w:val="0"/>
          <w14:ligatures w14:val="none"/>
        </w:rPr>
      </w:pPr>
    </w:p>
    <w:p w14:paraId="5D796583" w14:textId="46585C70" w:rsidR="00EF09E1" w:rsidRDefault="00EF09E1" w:rsidP="00F7155A">
      <w:pPr>
        <w:spacing w:after="200" w:line="360" w:lineRule="auto"/>
        <w:ind w:firstLine="720"/>
        <w:contextualSpacing/>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t>Asimismo, mencionó que el Artículo II de la Constitución de Puerto Rico establece que todo ciudadano tendrá derecho a la libertad de expresión, y que no se aprobará ley alguna que restrinja tal derecho.</w:t>
      </w:r>
      <w:r>
        <w:rPr>
          <w:rStyle w:val="FootnoteReference"/>
          <w:rFonts w:ascii="Book Antiqua" w:eastAsia="Times New Roman" w:hAnsi="Book Antiqua"/>
          <w:kern w:val="0"/>
          <w14:ligatures w14:val="none"/>
        </w:rPr>
        <w:footnoteReference w:id="34"/>
      </w:r>
      <w:r w:rsidR="00A54B52">
        <w:rPr>
          <w:rFonts w:ascii="Book Antiqua" w:eastAsia="Times New Roman" w:hAnsi="Book Antiqua" w:cs="Times New Roman"/>
          <w:kern w:val="0"/>
          <w14:ligatures w14:val="none"/>
        </w:rPr>
        <w:t xml:space="preserve"> </w:t>
      </w:r>
      <w:r w:rsidR="00723F48">
        <w:rPr>
          <w:rFonts w:ascii="Book Antiqua" w:eastAsia="Times New Roman" w:hAnsi="Book Antiqua" w:cs="Times New Roman"/>
          <w:kern w:val="0"/>
          <w14:ligatures w14:val="none"/>
        </w:rPr>
        <w:t>Añadió que, de igual modo, el derecho a la intimidad está protegido por varias disposiciones constitucionales, entre ellas la Sección 8 del Artículo II de la Constitución de Puerto Rico.</w:t>
      </w:r>
      <w:r w:rsidR="00723F48">
        <w:rPr>
          <w:rStyle w:val="FootnoteReference"/>
          <w:rFonts w:ascii="Book Antiqua" w:eastAsia="Times New Roman" w:hAnsi="Book Antiqua"/>
          <w:kern w:val="0"/>
          <w14:ligatures w14:val="none"/>
        </w:rPr>
        <w:footnoteReference w:id="35"/>
      </w:r>
      <w:r w:rsidR="00723F48">
        <w:rPr>
          <w:rFonts w:ascii="Book Antiqua" w:eastAsia="Times New Roman" w:hAnsi="Book Antiqua" w:cs="Times New Roman"/>
          <w:kern w:val="0"/>
          <w14:ligatures w14:val="none"/>
        </w:rPr>
        <w:t xml:space="preserve"> Por su parte, el Tribunal Supremo de Puerto Rico reconoce la primacía del Derecho a la Intimidad, al punto de que reconoce que la protección a lo privado opera </w:t>
      </w:r>
      <w:r w:rsidR="00723F48" w:rsidRPr="0088202B">
        <w:rPr>
          <w:rFonts w:ascii="Book Antiqua" w:eastAsia="Times New Roman" w:hAnsi="Book Antiqua" w:cs="Times New Roman"/>
          <w:i/>
          <w:iCs/>
          <w:kern w:val="0"/>
          <w14:ligatures w14:val="none"/>
        </w:rPr>
        <w:t>ex propio vigore</w:t>
      </w:r>
      <w:r w:rsidR="00723F48">
        <w:rPr>
          <w:rFonts w:ascii="Book Antiqua" w:eastAsia="Times New Roman" w:hAnsi="Book Antiqua" w:cs="Times New Roman"/>
          <w:kern w:val="0"/>
          <w14:ligatures w14:val="none"/>
        </w:rPr>
        <w:t xml:space="preserve"> y puede hacerse vale</w:t>
      </w:r>
      <w:r w:rsidR="00763E52">
        <w:rPr>
          <w:rFonts w:ascii="Book Antiqua" w:eastAsia="Times New Roman" w:hAnsi="Book Antiqua" w:cs="Times New Roman"/>
          <w:kern w:val="0"/>
          <w14:ligatures w14:val="none"/>
        </w:rPr>
        <w:t>r</w:t>
      </w:r>
      <w:r w:rsidR="00723F48">
        <w:rPr>
          <w:rFonts w:ascii="Book Antiqua" w:eastAsia="Times New Roman" w:hAnsi="Book Antiqua" w:cs="Times New Roman"/>
          <w:kern w:val="0"/>
          <w14:ligatures w14:val="none"/>
        </w:rPr>
        <w:t xml:space="preserve"> entre personas privadas.</w:t>
      </w:r>
      <w:r w:rsidR="00723F48">
        <w:rPr>
          <w:rStyle w:val="FootnoteReference"/>
          <w:rFonts w:ascii="Book Antiqua" w:eastAsia="Times New Roman" w:hAnsi="Book Antiqua"/>
          <w:kern w:val="0"/>
          <w14:ligatures w14:val="none"/>
        </w:rPr>
        <w:footnoteReference w:id="36"/>
      </w:r>
      <w:r w:rsidR="00723F48">
        <w:rPr>
          <w:rFonts w:ascii="Book Antiqua" w:eastAsia="Times New Roman" w:hAnsi="Book Antiqua" w:cs="Times New Roman"/>
          <w:kern w:val="0"/>
          <w14:ligatures w14:val="none"/>
        </w:rPr>
        <w:t xml:space="preserve"> </w:t>
      </w:r>
      <w:r w:rsidR="00BA6477">
        <w:rPr>
          <w:rFonts w:ascii="Book Antiqua" w:eastAsia="Times New Roman" w:hAnsi="Book Antiqua" w:cs="Times New Roman"/>
          <w:kern w:val="0"/>
          <w14:ligatures w14:val="none"/>
        </w:rPr>
        <w:t xml:space="preserve"> </w:t>
      </w:r>
    </w:p>
    <w:p w14:paraId="0F3F09B2" w14:textId="24EF41E8" w:rsidR="00104C06" w:rsidRDefault="00104C06" w:rsidP="007B7CBC">
      <w:pPr>
        <w:spacing w:after="200" w:line="276" w:lineRule="auto"/>
        <w:ind w:right="720" w:firstLine="720"/>
        <w:contextualSpacing/>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t>Referente al Proyecto de Ley propuesto, indicó</w:t>
      </w:r>
    </w:p>
    <w:p w14:paraId="29CAF20F" w14:textId="77777777" w:rsidR="00A22B13" w:rsidRDefault="00A22B13" w:rsidP="007B7CBC">
      <w:pPr>
        <w:spacing w:after="200" w:line="276" w:lineRule="auto"/>
        <w:ind w:right="720" w:firstLine="720"/>
        <w:contextualSpacing/>
        <w:jc w:val="both"/>
        <w:rPr>
          <w:rFonts w:ascii="Book Antiqua" w:eastAsia="Times New Roman" w:hAnsi="Book Antiqua" w:cs="Times New Roman"/>
          <w:kern w:val="0"/>
          <w14:ligatures w14:val="none"/>
        </w:rPr>
      </w:pPr>
    </w:p>
    <w:p w14:paraId="5D33472E" w14:textId="53CE7740" w:rsidR="0088202B" w:rsidRDefault="00A22B13" w:rsidP="00A22B13">
      <w:pPr>
        <w:spacing w:after="0" w:line="240" w:lineRule="auto"/>
        <w:ind w:left="720" w:right="720"/>
        <w:contextualSpacing/>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t>[</w:t>
      </w:r>
      <w:r w:rsidR="00104C06">
        <w:rPr>
          <w:rFonts w:ascii="Book Antiqua" w:eastAsia="Times New Roman" w:hAnsi="Book Antiqua" w:cs="Times New Roman"/>
          <w:kern w:val="0"/>
          <w14:ligatures w14:val="none"/>
        </w:rPr>
        <w:t>…</w:t>
      </w:r>
      <w:r>
        <w:rPr>
          <w:rFonts w:ascii="Book Antiqua" w:eastAsia="Times New Roman" w:hAnsi="Book Antiqua" w:cs="Times New Roman"/>
          <w:kern w:val="0"/>
          <w14:ligatures w14:val="none"/>
        </w:rPr>
        <w:t>]</w:t>
      </w:r>
      <w:r w:rsidR="00104C06">
        <w:rPr>
          <w:rFonts w:ascii="Book Antiqua" w:eastAsia="Times New Roman" w:hAnsi="Book Antiqua" w:cs="Times New Roman"/>
          <w:kern w:val="0"/>
          <w14:ligatures w14:val="none"/>
        </w:rPr>
        <w:t xml:space="preserve"> el nuevo estatuto propuesto persigue actualizar y adecuar los alcances del marco regulatorio para proveer a la ciudadanía certeza jurídica en cuanto a sus prohibiciones y sanciones. De esta manera se evita el desasosiego de la sociedad y el que los funcionarios legitimados a atender las controversias relativas a los ruidos o la amplificación son</w:t>
      </w:r>
      <w:r w:rsidR="005F1DDC">
        <w:rPr>
          <w:rFonts w:ascii="Book Antiqua" w:eastAsia="Times New Roman" w:hAnsi="Book Antiqua" w:cs="Times New Roman"/>
          <w:kern w:val="0"/>
          <w14:ligatures w14:val="none"/>
        </w:rPr>
        <w:t>o</w:t>
      </w:r>
      <w:r w:rsidR="00104C06">
        <w:rPr>
          <w:rFonts w:ascii="Book Antiqua" w:eastAsia="Times New Roman" w:hAnsi="Book Antiqua" w:cs="Times New Roman"/>
          <w:kern w:val="0"/>
          <w14:ligatures w14:val="none"/>
        </w:rPr>
        <w:t>ra deban recurrir a distintos textos legales para la ap</w:t>
      </w:r>
      <w:r w:rsidR="001702D3">
        <w:rPr>
          <w:rFonts w:ascii="Book Antiqua" w:eastAsia="Times New Roman" w:hAnsi="Book Antiqua" w:cs="Times New Roman"/>
          <w:kern w:val="0"/>
          <w14:ligatures w14:val="none"/>
        </w:rPr>
        <w:t>l</w:t>
      </w:r>
      <w:r w:rsidR="00104C06">
        <w:rPr>
          <w:rFonts w:ascii="Book Antiqua" w:eastAsia="Times New Roman" w:hAnsi="Book Antiqua" w:cs="Times New Roman"/>
          <w:kern w:val="0"/>
          <w14:ligatures w14:val="none"/>
        </w:rPr>
        <w:t>icación de la norma.</w:t>
      </w:r>
      <w:r w:rsidR="00104C06">
        <w:rPr>
          <w:rStyle w:val="FootnoteReference"/>
          <w:rFonts w:ascii="Book Antiqua" w:eastAsia="Times New Roman" w:hAnsi="Book Antiqua"/>
          <w:kern w:val="0"/>
          <w14:ligatures w14:val="none"/>
        </w:rPr>
        <w:footnoteReference w:id="37"/>
      </w:r>
    </w:p>
    <w:p w14:paraId="601B21C0" w14:textId="77777777" w:rsidR="00A22B13" w:rsidRDefault="00A22B13" w:rsidP="00A22B13">
      <w:pPr>
        <w:spacing w:after="0" w:line="240" w:lineRule="auto"/>
        <w:ind w:left="720" w:right="720"/>
        <w:contextualSpacing/>
        <w:jc w:val="both"/>
        <w:rPr>
          <w:rFonts w:ascii="Book Antiqua" w:eastAsia="Times New Roman" w:hAnsi="Book Antiqua" w:cs="Times New Roman"/>
          <w:kern w:val="0"/>
          <w14:ligatures w14:val="none"/>
        </w:rPr>
      </w:pPr>
    </w:p>
    <w:p w14:paraId="6B979EB3" w14:textId="477E5EBA" w:rsidR="007B7CBC" w:rsidRDefault="007B7CBC" w:rsidP="00D120B5">
      <w:pPr>
        <w:spacing w:after="200" w:line="360" w:lineRule="auto"/>
        <w:contextualSpacing/>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t>Igualmente, expresó que</w:t>
      </w:r>
    </w:p>
    <w:p w14:paraId="126C02CC" w14:textId="6BFB06A3" w:rsidR="007B7CBC" w:rsidRDefault="007B7CBC" w:rsidP="00A22B13">
      <w:pPr>
        <w:spacing w:after="200" w:line="240" w:lineRule="auto"/>
        <w:ind w:left="720" w:right="720"/>
        <w:contextualSpacing/>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t>[o]pinamos, por tanto, que el propósito perseguido en esta pieza legislativa podría tener un imp</w:t>
      </w:r>
      <w:r w:rsidR="001702D3">
        <w:rPr>
          <w:rFonts w:ascii="Book Antiqua" w:eastAsia="Times New Roman" w:hAnsi="Book Antiqua" w:cs="Times New Roman"/>
          <w:kern w:val="0"/>
          <w14:ligatures w14:val="none"/>
        </w:rPr>
        <w:t>a</w:t>
      </w:r>
      <w:r>
        <w:rPr>
          <w:rFonts w:ascii="Book Antiqua" w:eastAsia="Times New Roman" w:hAnsi="Book Antiqua" w:cs="Times New Roman"/>
          <w:kern w:val="0"/>
          <w14:ligatures w14:val="none"/>
        </w:rPr>
        <w:t xml:space="preserve">cto positivo tanto para las autoridades concernientes que atienden lo atinente al asunto tratado, como para una mejor comprensión de la ciudadanía en la manera en que sería regulada la uniformidad de la normativa que prohíbe la amplificación sonora. Esto pudiese ser ventajoso en respuesta de las necesidades y circunstancias de hoy día. </w:t>
      </w:r>
    </w:p>
    <w:p w14:paraId="5174846B" w14:textId="77777777" w:rsidR="00796F2B" w:rsidRDefault="00796F2B" w:rsidP="00A22B13">
      <w:pPr>
        <w:spacing w:after="200" w:line="240" w:lineRule="auto"/>
        <w:ind w:left="720" w:right="720"/>
        <w:contextualSpacing/>
        <w:jc w:val="both"/>
        <w:rPr>
          <w:rFonts w:ascii="Book Antiqua" w:eastAsia="Times New Roman" w:hAnsi="Book Antiqua" w:cs="Times New Roman"/>
          <w:kern w:val="0"/>
          <w14:ligatures w14:val="none"/>
        </w:rPr>
      </w:pPr>
    </w:p>
    <w:p w14:paraId="77BFF58F" w14:textId="4A2D68F3" w:rsidR="00995B25" w:rsidRDefault="00995B25" w:rsidP="00A22B13">
      <w:pPr>
        <w:spacing w:after="200" w:line="240" w:lineRule="auto"/>
        <w:ind w:left="720" w:right="720"/>
        <w:contextualSpacing/>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t xml:space="preserve">Razonamos que la aplicación de esta pieza legislativa, de en la eventualidad convertirse en ley, conllevaría, por parte de las autoridades concernientes, la compra, utilización o mantenimiento de equipo especializado para cuantificar la emisión de decibeles para dar cumplimiento a lo en ella </w:t>
      </w:r>
      <w:proofErr w:type="gramStart"/>
      <w:r>
        <w:rPr>
          <w:rFonts w:ascii="Book Antiqua" w:eastAsia="Times New Roman" w:hAnsi="Book Antiqua" w:cs="Times New Roman"/>
          <w:kern w:val="0"/>
          <w14:ligatures w14:val="none"/>
        </w:rPr>
        <w:t>ordenado</w:t>
      </w:r>
      <w:r w:rsidR="00A22B13">
        <w:rPr>
          <w:rFonts w:ascii="Book Antiqua" w:eastAsia="Times New Roman" w:hAnsi="Book Antiqua" w:cs="Times New Roman"/>
          <w:kern w:val="0"/>
          <w14:ligatures w14:val="none"/>
        </w:rPr>
        <w:t>[</w:t>
      </w:r>
      <w:proofErr w:type="gramEnd"/>
      <w:r>
        <w:rPr>
          <w:rFonts w:ascii="Book Antiqua" w:eastAsia="Times New Roman" w:hAnsi="Book Antiqua" w:cs="Times New Roman"/>
          <w:kern w:val="0"/>
          <w14:ligatures w14:val="none"/>
        </w:rPr>
        <w:t>…</w:t>
      </w:r>
      <w:r w:rsidR="00A22B13">
        <w:rPr>
          <w:rFonts w:ascii="Book Antiqua" w:eastAsia="Times New Roman" w:hAnsi="Book Antiqua" w:cs="Times New Roman"/>
          <w:kern w:val="0"/>
          <w14:ligatures w14:val="none"/>
        </w:rPr>
        <w:t>]</w:t>
      </w:r>
      <w:r>
        <w:rPr>
          <w:rStyle w:val="FootnoteReference"/>
          <w:rFonts w:ascii="Book Antiqua" w:eastAsia="Times New Roman" w:hAnsi="Book Antiqua"/>
          <w:kern w:val="0"/>
          <w14:ligatures w14:val="none"/>
        </w:rPr>
        <w:footnoteReference w:id="38"/>
      </w:r>
    </w:p>
    <w:p w14:paraId="73D640ED" w14:textId="77777777" w:rsidR="00995B25" w:rsidRDefault="00995B25" w:rsidP="00995B25">
      <w:pPr>
        <w:spacing w:after="200" w:line="276" w:lineRule="auto"/>
        <w:ind w:right="720"/>
        <w:contextualSpacing/>
        <w:jc w:val="both"/>
        <w:rPr>
          <w:rFonts w:ascii="Book Antiqua" w:eastAsia="Times New Roman" w:hAnsi="Book Antiqua" w:cs="Times New Roman"/>
          <w:kern w:val="0"/>
          <w14:ligatures w14:val="none"/>
        </w:rPr>
      </w:pPr>
    </w:p>
    <w:p w14:paraId="62C81013" w14:textId="6CDD8DC6" w:rsidR="00995B25" w:rsidRPr="007323D1" w:rsidRDefault="00995B25" w:rsidP="00995B25">
      <w:pPr>
        <w:spacing w:after="200" w:line="360" w:lineRule="auto"/>
        <w:ind w:firstLine="360"/>
        <w:contextualSpacing/>
        <w:jc w:val="both"/>
        <w:rPr>
          <w:rFonts w:ascii="Book Antiqua" w:eastAsia="Times New Roman" w:hAnsi="Book Antiqua" w:cs="Times New Roman"/>
          <w:kern w:val="0"/>
          <w14:ligatures w14:val="none"/>
        </w:rPr>
      </w:pPr>
      <w:r>
        <w:rPr>
          <w:rFonts w:ascii="Book Antiqua" w:eastAsia="Times New Roman" w:hAnsi="Book Antiqua" w:cs="Times New Roman"/>
          <w:kern w:val="0"/>
          <w14:ligatures w14:val="none"/>
        </w:rPr>
        <w:t>Finalmente, sugirió que se consultara a la Oficina de Presupuesto de la Asamblea Legislativa (OPAL) lo relativo al impacto económico de la medida, y presentó un entirillado con diversas sugerencias con relación al texto de la pieza legislativa.</w:t>
      </w:r>
      <w:r>
        <w:rPr>
          <w:rStyle w:val="FootnoteReference"/>
          <w:rFonts w:ascii="Book Antiqua" w:eastAsia="Times New Roman" w:hAnsi="Book Antiqua"/>
          <w:kern w:val="0"/>
          <w14:ligatures w14:val="none"/>
        </w:rPr>
        <w:footnoteReference w:id="39"/>
      </w:r>
      <w:r>
        <w:rPr>
          <w:rFonts w:ascii="Book Antiqua" w:eastAsia="Times New Roman" w:hAnsi="Book Antiqua" w:cs="Times New Roman"/>
          <w:kern w:val="0"/>
          <w14:ligatures w14:val="none"/>
        </w:rPr>
        <w:t xml:space="preserve"> </w:t>
      </w:r>
    </w:p>
    <w:p w14:paraId="2B9E4C04" w14:textId="690E9978" w:rsidR="006B79E0" w:rsidRPr="00CB1979" w:rsidRDefault="006B79E0" w:rsidP="006B79E0">
      <w:pPr>
        <w:pStyle w:val="ListParagraph"/>
        <w:numPr>
          <w:ilvl w:val="0"/>
          <w:numId w:val="2"/>
        </w:numPr>
        <w:spacing w:after="200" w:line="360" w:lineRule="auto"/>
        <w:jc w:val="center"/>
        <w:rPr>
          <w:rFonts w:ascii="Book Antiqua" w:eastAsia="Times New Roman" w:hAnsi="Book Antiqua" w:cs="Times New Roman"/>
          <w:bCs/>
          <w:i/>
          <w:iCs/>
          <w:kern w:val="0"/>
          <w14:ligatures w14:val="none"/>
        </w:rPr>
      </w:pPr>
      <w:bookmarkStart w:id="1" w:name="_Hlk191473974"/>
      <w:r w:rsidRPr="00CB1979">
        <w:rPr>
          <w:rFonts w:ascii="Book Antiqua" w:eastAsia="Times New Roman" w:hAnsi="Book Antiqua" w:cs="Times New Roman"/>
          <w:bCs/>
          <w:i/>
          <w:iCs/>
          <w:kern w:val="0"/>
          <w14:ligatures w14:val="none"/>
        </w:rPr>
        <w:t>Informes</w:t>
      </w:r>
    </w:p>
    <w:p w14:paraId="3880AAAD" w14:textId="29CD4036" w:rsidR="006B79E0" w:rsidRDefault="006B79E0" w:rsidP="006B79E0">
      <w:pPr>
        <w:pStyle w:val="ListParagraph"/>
        <w:numPr>
          <w:ilvl w:val="0"/>
          <w:numId w:val="5"/>
        </w:numPr>
        <w:spacing w:after="200" w:line="360" w:lineRule="auto"/>
        <w:ind w:left="360"/>
        <w:jc w:val="center"/>
        <w:rPr>
          <w:rFonts w:ascii="Book Antiqua" w:eastAsia="Times New Roman" w:hAnsi="Book Antiqua" w:cs="Times New Roman"/>
          <w:bCs/>
          <w:kern w:val="0"/>
          <w:u w:val="single"/>
          <w14:ligatures w14:val="none"/>
        </w:rPr>
      </w:pPr>
      <w:r w:rsidRPr="00CB1979">
        <w:rPr>
          <w:rFonts w:ascii="Book Antiqua" w:eastAsia="Times New Roman" w:hAnsi="Book Antiqua" w:cs="Times New Roman"/>
          <w:bCs/>
          <w:kern w:val="0"/>
          <w:u w:val="single"/>
          <w14:ligatures w14:val="none"/>
        </w:rPr>
        <w:t>Oficina de Presupuesto de la Asamblea Legislativa (OPAL)</w:t>
      </w:r>
    </w:p>
    <w:p w14:paraId="02291B00" w14:textId="62FF4F39" w:rsidR="00B95257" w:rsidRDefault="00B95257" w:rsidP="00773E0B">
      <w:pPr>
        <w:pStyle w:val="ListParagraph"/>
        <w:spacing w:after="200" w:line="360" w:lineRule="auto"/>
        <w:ind w:left="0" w:firstLine="720"/>
        <w:jc w:val="both"/>
        <w:rPr>
          <w:rFonts w:ascii="Book Antiqua" w:eastAsia="Times New Roman" w:hAnsi="Book Antiqua" w:cs="Times New Roman"/>
          <w:bCs/>
          <w:kern w:val="0"/>
          <w14:ligatures w14:val="none"/>
        </w:rPr>
      </w:pPr>
      <w:r w:rsidRPr="00B95257">
        <w:rPr>
          <w:rFonts w:ascii="Book Antiqua" w:eastAsia="Times New Roman" w:hAnsi="Book Antiqua" w:cs="Times New Roman"/>
          <w:bCs/>
          <w:kern w:val="0"/>
          <w14:ligatures w14:val="none"/>
        </w:rPr>
        <w:t>La OPAL</w:t>
      </w:r>
      <w:r>
        <w:rPr>
          <w:rFonts w:ascii="Book Antiqua" w:eastAsia="Times New Roman" w:hAnsi="Book Antiqua" w:cs="Times New Roman"/>
          <w:bCs/>
          <w:kern w:val="0"/>
          <w14:ligatures w14:val="none"/>
        </w:rPr>
        <w:t xml:space="preserve"> sintetizó la pieza legislativa al expresar que “l</w:t>
      </w:r>
      <w:r w:rsidRPr="00B95257">
        <w:rPr>
          <w:rFonts w:ascii="Book Antiqua" w:eastAsia="Times New Roman" w:hAnsi="Book Antiqua" w:cs="Times New Roman"/>
          <w:bCs/>
          <w:kern w:val="0"/>
          <w14:ligatures w14:val="none"/>
        </w:rPr>
        <w:t xml:space="preserve">a Medida busca establecer en una sola legislación las prohibiciones sobre ruidos innecesarios que afecten la tranquilidad ciudadana, establece prohibiciones por zonas y por decibeles. La medida, </w:t>
      </w:r>
      <w:r w:rsidRPr="00B95257">
        <w:rPr>
          <w:rFonts w:ascii="Book Antiqua" w:eastAsia="Times New Roman" w:hAnsi="Book Antiqua" w:cs="Times New Roman"/>
          <w:bCs/>
          <w:kern w:val="0"/>
          <w14:ligatures w14:val="none"/>
        </w:rPr>
        <w:lastRenderedPageBreak/>
        <w:t>además, establece multas por incumplimientos.</w:t>
      </w:r>
      <w:r>
        <w:rPr>
          <w:rFonts w:ascii="Book Antiqua" w:eastAsia="Times New Roman" w:hAnsi="Book Antiqua" w:cs="Times New Roman"/>
          <w:bCs/>
          <w:kern w:val="0"/>
          <w14:ligatures w14:val="none"/>
        </w:rPr>
        <w:t>”</w:t>
      </w:r>
      <w:r>
        <w:rPr>
          <w:rStyle w:val="FootnoteReference"/>
          <w:rFonts w:ascii="Book Antiqua" w:eastAsia="Times New Roman" w:hAnsi="Book Antiqua"/>
          <w:bCs/>
          <w:kern w:val="0"/>
          <w14:ligatures w14:val="none"/>
        </w:rPr>
        <w:footnoteReference w:id="40"/>
      </w:r>
      <w:r w:rsidR="00773E0B">
        <w:rPr>
          <w:rFonts w:ascii="Book Antiqua" w:eastAsia="Times New Roman" w:hAnsi="Book Antiqua" w:cs="Times New Roman"/>
          <w:bCs/>
          <w:kern w:val="0"/>
          <w14:ligatures w14:val="none"/>
        </w:rPr>
        <w:t xml:space="preserve"> Con relación al impacto económico indicó: </w:t>
      </w:r>
    </w:p>
    <w:p w14:paraId="386E9BD3" w14:textId="348D0003" w:rsidR="00773E0B" w:rsidRDefault="00773E0B" w:rsidP="00773E0B">
      <w:pPr>
        <w:spacing w:after="200" w:line="240" w:lineRule="auto"/>
        <w:ind w:left="720" w:right="720"/>
        <w:jc w:val="both"/>
        <w:rPr>
          <w:rFonts w:ascii="Book Antiqua" w:eastAsia="Times New Roman" w:hAnsi="Book Antiqua" w:cs="Times New Roman"/>
          <w:bCs/>
          <w:kern w:val="0"/>
          <w14:ligatures w14:val="none"/>
        </w:rPr>
      </w:pPr>
      <w:r>
        <w:rPr>
          <w:rFonts w:ascii="Book Antiqua" w:eastAsia="Times New Roman" w:hAnsi="Book Antiqua" w:cs="Times New Roman"/>
          <w:bCs/>
          <w:kern w:val="0"/>
          <w14:ligatures w14:val="none"/>
        </w:rPr>
        <w:t xml:space="preserve">Evaluado el </w:t>
      </w:r>
      <w:r w:rsidR="00DA1B24">
        <w:rPr>
          <w:rFonts w:ascii="Book Antiqua" w:eastAsia="Times New Roman" w:hAnsi="Book Antiqua" w:cs="Times New Roman"/>
          <w:bCs/>
          <w:kern w:val="0"/>
          <w14:ligatures w14:val="none"/>
        </w:rPr>
        <w:t>P</w:t>
      </w:r>
      <w:r>
        <w:rPr>
          <w:rFonts w:ascii="Book Antiqua" w:eastAsia="Times New Roman" w:hAnsi="Book Antiqua" w:cs="Times New Roman"/>
          <w:bCs/>
          <w:kern w:val="0"/>
          <w14:ligatures w14:val="none"/>
        </w:rPr>
        <w:t>. de la C. 991, la OPAL concluye que su aprobación no conlleva costo fiscal sobre el Fondo General. Se trata de una medida que regula la conducta de la ciudadanía con respecto a la contaminación de ruido. Las prohibiciones que recoge la medida son reguladas en la actualidad por diversas legislaciones; las funciones delegadas a los</w:t>
      </w:r>
      <w:r w:rsidR="00B068A6">
        <w:rPr>
          <w:rFonts w:ascii="Book Antiqua" w:eastAsia="Times New Roman" w:hAnsi="Book Antiqua" w:cs="Times New Roman"/>
          <w:bCs/>
          <w:kern w:val="0"/>
          <w14:ligatures w14:val="none"/>
        </w:rPr>
        <w:t xml:space="preserve"> </w:t>
      </w:r>
      <w:r>
        <w:rPr>
          <w:rFonts w:ascii="Book Antiqua" w:eastAsia="Times New Roman" w:hAnsi="Book Antiqua" w:cs="Times New Roman"/>
          <w:bCs/>
          <w:kern w:val="0"/>
          <w14:ligatures w14:val="none"/>
        </w:rPr>
        <w:t xml:space="preserve">agentes de orden público forman parte de las funciones ministeriales y son ejecutadas por éstos en la actualidad, por lo que </w:t>
      </w:r>
      <w:r w:rsidRPr="00773E0B">
        <w:rPr>
          <w:rFonts w:ascii="Book Antiqua" w:eastAsia="Times New Roman" w:hAnsi="Book Antiqua" w:cs="Times New Roman"/>
          <w:b/>
          <w:kern w:val="0"/>
          <w14:ligatures w14:val="none"/>
        </w:rPr>
        <w:t>su aprobación no conlleva costos adicionales al fisco</w:t>
      </w:r>
      <w:r>
        <w:rPr>
          <w:rFonts w:ascii="Book Antiqua" w:eastAsia="Times New Roman" w:hAnsi="Book Antiqua" w:cs="Times New Roman"/>
          <w:bCs/>
          <w:kern w:val="0"/>
          <w14:ligatures w14:val="none"/>
        </w:rPr>
        <w:t xml:space="preserve">. </w:t>
      </w:r>
    </w:p>
    <w:p w14:paraId="0A1EF1C4" w14:textId="67B8DBAB" w:rsidR="00884D33" w:rsidRPr="00CB1979" w:rsidRDefault="00773E0B" w:rsidP="007F28C0">
      <w:pPr>
        <w:spacing w:after="200" w:line="240" w:lineRule="auto"/>
        <w:ind w:left="720" w:right="720"/>
        <w:jc w:val="both"/>
        <w:rPr>
          <w:rFonts w:ascii="Book Antiqua" w:eastAsia="Times New Roman" w:hAnsi="Book Antiqua" w:cs="Times New Roman"/>
          <w:bCs/>
          <w:kern w:val="0"/>
          <w14:ligatures w14:val="none"/>
        </w:rPr>
      </w:pPr>
      <w:r>
        <w:rPr>
          <w:rFonts w:ascii="Book Antiqua" w:eastAsia="Times New Roman" w:hAnsi="Book Antiqua" w:cs="Times New Roman"/>
          <w:bCs/>
          <w:kern w:val="0"/>
          <w14:ligatures w14:val="none"/>
        </w:rPr>
        <w:t>La autorización a las agencias y municipios para promulgar reglamentación más estricta no conlleva erogación material de fondos, al ser consistente con las funciones actuales de la autoridad correspondiente.</w:t>
      </w:r>
      <w:r w:rsidR="007F28C0">
        <w:rPr>
          <w:rFonts w:ascii="Book Antiqua" w:eastAsia="Times New Roman" w:hAnsi="Book Antiqua" w:cs="Times New Roman"/>
          <w:bCs/>
          <w:kern w:val="0"/>
          <w14:ligatures w14:val="none"/>
        </w:rPr>
        <w:t xml:space="preserve"> (Negrillas añadidas).</w:t>
      </w:r>
      <w:r>
        <w:rPr>
          <w:rStyle w:val="FootnoteReference"/>
          <w:rFonts w:ascii="Book Antiqua" w:eastAsia="Times New Roman" w:hAnsi="Book Antiqua"/>
          <w:bCs/>
          <w:kern w:val="0"/>
          <w14:ligatures w14:val="none"/>
        </w:rPr>
        <w:footnoteReference w:id="41"/>
      </w:r>
    </w:p>
    <w:bookmarkEnd w:id="1"/>
    <w:p w14:paraId="1FB3A56A" w14:textId="068DD491" w:rsidR="00A54AF0" w:rsidRPr="00CB1979" w:rsidRDefault="00A54AF0" w:rsidP="00A54AF0">
      <w:pPr>
        <w:spacing w:after="0" w:line="240" w:lineRule="auto"/>
        <w:jc w:val="center"/>
        <w:rPr>
          <w:rFonts w:ascii="Book Antiqua" w:eastAsia="Times New Roman" w:hAnsi="Book Antiqua" w:cs="Times New Roman"/>
          <w:b/>
          <w:kern w:val="0"/>
          <w14:ligatures w14:val="none"/>
        </w:rPr>
      </w:pPr>
      <w:r w:rsidRPr="00CB1979">
        <w:rPr>
          <w:rFonts w:ascii="Book Antiqua" w:eastAsia="Times New Roman" w:hAnsi="Book Antiqua" w:cs="Times New Roman"/>
          <w:b/>
          <w:kern w:val="0"/>
          <w14:ligatures w14:val="none"/>
        </w:rPr>
        <w:t>VISTA PÚBLICA</w:t>
      </w:r>
    </w:p>
    <w:p w14:paraId="523D9D94" w14:textId="77777777" w:rsidR="00A54AF0" w:rsidRPr="00CB1979" w:rsidRDefault="00A54AF0" w:rsidP="00A54AF0">
      <w:pPr>
        <w:spacing w:after="0" w:line="240" w:lineRule="auto"/>
        <w:jc w:val="center"/>
        <w:rPr>
          <w:rFonts w:ascii="Book Antiqua" w:eastAsia="Times New Roman" w:hAnsi="Book Antiqua" w:cs="Times New Roman"/>
          <w:b/>
          <w:kern w:val="0"/>
          <w14:ligatures w14:val="none"/>
        </w:rPr>
      </w:pPr>
    </w:p>
    <w:p w14:paraId="41BB334A" w14:textId="515BCB31" w:rsidR="00A54AF0" w:rsidRPr="00CB1979" w:rsidRDefault="00A54AF0" w:rsidP="009D7DC8">
      <w:pPr>
        <w:spacing w:after="0" w:line="360" w:lineRule="auto"/>
        <w:ind w:firstLine="720"/>
        <w:jc w:val="both"/>
        <w:rPr>
          <w:rFonts w:ascii="Book Antiqua" w:eastAsia="Times New Roman" w:hAnsi="Book Antiqua" w:cs="Times New Roman"/>
          <w:kern w:val="0"/>
          <w14:ligatures w14:val="none"/>
        </w:rPr>
      </w:pPr>
      <w:r w:rsidRPr="00CB1979">
        <w:rPr>
          <w:rFonts w:ascii="Book Antiqua" w:eastAsia="Times New Roman" w:hAnsi="Book Antiqua" w:cs="Times New Roman"/>
          <w:kern w:val="0"/>
          <w14:ligatures w14:val="none"/>
        </w:rPr>
        <w:t xml:space="preserve">Esta Comisión decidió no realizar Vistas Públicas, toda vez que la información proporcionada por las entidades </w:t>
      </w:r>
      <w:r w:rsidR="00433876" w:rsidRPr="00CB1979">
        <w:rPr>
          <w:rFonts w:ascii="Book Antiqua" w:eastAsia="Times New Roman" w:hAnsi="Book Antiqua" w:cs="Times New Roman"/>
          <w:kern w:val="0"/>
          <w14:ligatures w14:val="none"/>
        </w:rPr>
        <w:t>que remitieron Memoriales Explicativos</w:t>
      </w:r>
      <w:r w:rsidRPr="00CB1979">
        <w:rPr>
          <w:rFonts w:ascii="Book Antiqua" w:eastAsia="Times New Roman" w:hAnsi="Book Antiqua" w:cs="Times New Roman"/>
          <w:kern w:val="0"/>
          <w14:ligatures w14:val="none"/>
        </w:rPr>
        <w:t xml:space="preserve"> resultó suficiente para ponderar el alcance del proyecto de ley, aprovechando y utilizando así los recursos del Gobierno de Puerto Rico, y en particular la Asamblea Legislativa, de la manera más eficiente y costo-efectiva posible. </w:t>
      </w:r>
    </w:p>
    <w:p w14:paraId="4C745D19" w14:textId="77777777" w:rsidR="00A54AF0" w:rsidRPr="00CB1979" w:rsidRDefault="00A54AF0" w:rsidP="00A54AF0">
      <w:pPr>
        <w:spacing w:after="0" w:line="276" w:lineRule="auto"/>
        <w:jc w:val="both"/>
        <w:rPr>
          <w:rFonts w:ascii="Book Antiqua" w:eastAsia="Times New Roman" w:hAnsi="Book Antiqua" w:cs="Times New Roman"/>
          <w:kern w:val="0"/>
          <w14:ligatures w14:val="none"/>
        </w:rPr>
      </w:pPr>
    </w:p>
    <w:p w14:paraId="69BBB4F1" w14:textId="6FC7FE81" w:rsidR="00433876" w:rsidRPr="00CB1979" w:rsidRDefault="00433876" w:rsidP="00433876">
      <w:pPr>
        <w:spacing w:after="0" w:line="276" w:lineRule="auto"/>
        <w:jc w:val="center"/>
        <w:rPr>
          <w:rFonts w:ascii="Book Antiqua" w:eastAsia="Times New Roman" w:hAnsi="Book Antiqua" w:cs="Times New Roman"/>
          <w:b/>
          <w:bCs/>
          <w:kern w:val="0"/>
          <w14:ligatures w14:val="none"/>
        </w:rPr>
      </w:pPr>
      <w:r w:rsidRPr="00CB1979">
        <w:rPr>
          <w:rFonts w:ascii="Book Antiqua" w:eastAsia="Times New Roman" w:hAnsi="Book Antiqua" w:cs="Times New Roman"/>
          <w:b/>
          <w:bCs/>
          <w:kern w:val="0"/>
          <w14:ligatures w14:val="none"/>
        </w:rPr>
        <w:t>IMPACTO ECONÓMICO</w:t>
      </w:r>
    </w:p>
    <w:p w14:paraId="2DED5907" w14:textId="77777777" w:rsidR="00433876" w:rsidRPr="00CB1979" w:rsidRDefault="00433876" w:rsidP="00433876">
      <w:pPr>
        <w:spacing w:after="0" w:line="276" w:lineRule="auto"/>
        <w:jc w:val="center"/>
        <w:rPr>
          <w:rFonts w:ascii="Book Antiqua" w:eastAsia="Times New Roman" w:hAnsi="Book Antiqua" w:cs="Times New Roman"/>
          <w:b/>
          <w:bCs/>
          <w:kern w:val="0"/>
          <w14:ligatures w14:val="none"/>
        </w:rPr>
      </w:pPr>
    </w:p>
    <w:p w14:paraId="183DDC07" w14:textId="77777777" w:rsidR="00796F2B" w:rsidRDefault="00796F2B" w:rsidP="00D03212">
      <w:pPr>
        <w:spacing w:after="0" w:line="360" w:lineRule="auto"/>
        <w:jc w:val="both"/>
        <w:rPr>
          <w:rFonts w:ascii="Book Antiqua" w:eastAsia="Times New Roman" w:hAnsi="Book Antiqua" w:cs="Times New Roman"/>
          <w:bCs/>
          <w:kern w:val="0"/>
          <w14:ligatures w14:val="none"/>
        </w:rPr>
      </w:pPr>
      <w:r>
        <w:rPr>
          <w:rFonts w:ascii="Book Antiqua" w:eastAsia="Times New Roman" w:hAnsi="Book Antiqua" w:cs="Times New Roman"/>
          <w:bCs/>
          <w:kern w:val="0"/>
          <w14:ligatures w14:val="none"/>
        </w:rPr>
        <w:tab/>
        <w:t xml:space="preserve">De conformidad con lo expresado por la OPAL, la medida </w:t>
      </w:r>
    </w:p>
    <w:p w14:paraId="04D0ADC2" w14:textId="4FE4205A" w:rsidR="00796F2B" w:rsidRDefault="00796F2B" w:rsidP="00A22B13">
      <w:pPr>
        <w:spacing w:after="0" w:line="240" w:lineRule="auto"/>
        <w:ind w:left="720" w:right="720"/>
        <w:jc w:val="both"/>
        <w:rPr>
          <w:rFonts w:ascii="Book Antiqua" w:eastAsia="Times New Roman" w:hAnsi="Book Antiqua" w:cs="Times New Roman"/>
          <w:bCs/>
          <w:kern w:val="0"/>
          <w14:ligatures w14:val="none"/>
        </w:rPr>
      </w:pPr>
      <w:r>
        <w:rPr>
          <w:rFonts w:ascii="Book Antiqua" w:eastAsia="Times New Roman" w:hAnsi="Book Antiqua" w:cs="Times New Roman"/>
          <w:bCs/>
          <w:kern w:val="0"/>
          <w14:ligatures w14:val="none"/>
        </w:rPr>
        <w:t xml:space="preserve">… no conlleva impacto fiscal sobre el Fondo General pues se trata de una medida que regula la conducta ciudadana, sin que sus disposiciones generen costos en su implementación. La medida deroga diversa legislación que regula conductas estrechamente vinculadas entre sí, por lo que la medida busca consolidar en una sola legislación prohibiciones ya existentes. Aquellas responsabilidades que se delegan a los oficiales del </w:t>
      </w:r>
      <w:r>
        <w:rPr>
          <w:rFonts w:ascii="Book Antiqua" w:eastAsia="Times New Roman" w:hAnsi="Book Antiqua" w:cs="Times New Roman"/>
          <w:bCs/>
          <w:kern w:val="0"/>
          <w14:ligatures w14:val="none"/>
        </w:rPr>
        <w:lastRenderedPageBreak/>
        <w:t>orden público forman parte de sus funciones ministeriales, por lo cual, pueden ser asumidas con recursos existentes…</w:t>
      </w:r>
      <w:r w:rsidR="00E5218B">
        <w:rPr>
          <w:rStyle w:val="FootnoteReference"/>
          <w:rFonts w:ascii="Book Antiqua" w:eastAsia="Times New Roman" w:hAnsi="Book Antiqua"/>
          <w:bCs/>
          <w:kern w:val="0"/>
          <w14:ligatures w14:val="none"/>
        </w:rPr>
        <w:footnoteReference w:id="42"/>
      </w:r>
      <w:r>
        <w:rPr>
          <w:rFonts w:ascii="Book Antiqua" w:eastAsia="Times New Roman" w:hAnsi="Book Antiqua" w:cs="Times New Roman"/>
          <w:bCs/>
          <w:kern w:val="0"/>
          <w14:ligatures w14:val="none"/>
        </w:rPr>
        <w:t xml:space="preserve"> </w:t>
      </w:r>
    </w:p>
    <w:p w14:paraId="75F6AA01" w14:textId="77777777" w:rsidR="00FC5548" w:rsidRPr="00CB1979" w:rsidRDefault="00FC5548" w:rsidP="00FC5548">
      <w:pPr>
        <w:spacing w:after="0" w:line="276" w:lineRule="auto"/>
        <w:ind w:left="720" w:right="720"/>
        <w:jc w:val="both"/>
        <w:rPr>
          <w:rFonts w:ascii="Book Antiqua" w:eastAsia="Times New Roman" w:hAnsi="Book Antiqua" w:cs="Times New Roman"/>
          <w:bCs/>
          <w:kern w:val="0"/>
          <w14:ligatures w14:val="none"/>
        </w:rPr>
      </w:pPr>
    </w:p>
    <w:p w14:paraId="27245D47" w14:textId="498F04A5" w:rsidR="00A54AF0" w:rsidRDefault="00A54AF0" w:rsidP="00A54AF0">
      <w:pPr>
        <w:spacing w:after="0" w:line="240" w:lineRule="auto"/>
        <w:jc w:val="center"/>
        <w:rPr>
          <w:rFonts w:ascii="Book Antiqua" w:eastAsia="Times New Roman" w:hAnsi="Book Antiqua" w:cs="Times New Roman"/>
          <w:b/>
          <w:kern w:val="0"/>
          <w14:ligatures w14:val="none"/>
        </w:rPr>
      </w:pPr>
      <w:r w:rsidRPr="00CB1979">
        <w:rPr>
          <w:rFonts w:ascii="Book Antiqua" w:eastAsia="Times New Roman" w:hAnsi="Book Antiqua" w:cs="Times New Roman"/>
          <w:b/>
          <w:kern w:val="0"/>
          <w14:ligatures w14:val="none"/>
        </w:rPr>
        <w:t>ANÁLISIS DE LA MEDIDA</w:t>
      </w:r>
    </w:p>
    <w:p w14:paraId="5DDD875A" w14:textId="77777777" w:rsidR="008330D0" w:rsidRPr="00CB1979" w:rsidRDefault="008330D0" w:rsidP="00A54AF0">
      <w:pPr>
        <w:spacing w:after="0" w:line="240" w:lineRule="auto"/>
        <w:jc w:val="center"/>
        <w:rPr>
          <w:rFonts w:ascii="Book Antiqua" w:eastAsia="Times New Roman" w:hAnsi="Book Antiqua" w:cs="Times New Roman"/>
          <w:b/>
          <w:kern w:val="0"/>
          <w14:ligatures w14:val="none"/>
        </w:rPr>
      </w:pPr>
    </w:p>
    <w:p w14:paraId="115914DA" w14:textId="7DB9F8DB" w:rsidR="006736F9" w:rsidRDefault="0011500D" w:rsidP="0011500D">
      <w:pPr>
        <w:spacing w:after="0" w:line="360" w:lineRule="auto"/>
        <w:jc w:val="both"/>
        <w:rPr>
          <w:rFonts w:ascii="Book Antiqua" w:eastAsia="Times New Roman" w:hAnsi="Book Antiqua" w:cs="Times New Roman"/>
          <w:bCs/>
          <w:kern w:val="0"/>
          <w14:ligatures w14:val="none"/>
        </w:rPr>
      </w:pPr>
      <w:r>
        <w:rPr>
          <w:rFonts w:ascii="Book Antiqua" w:eastAsia="Times New Roman" w:hAnsi="Book Antiqua" w:cs="Times New Roman"/>
          <w:b/>
          <w:kern w:val="0"/>
          <w14:ligatures w14:val="none"/>
        </w:rPr>
        <w:tab/>
      </w:r>
      <w:r>
        <w:rPr>
          <w:rFonts w:ascii="Book Antiqua" w:eastAsia="Times New Roman" w:hAnsi="Book Antiqua" w:cs="Times New Roman"/>
          <w:bCs/>
          <w:kern w:val="0"/>
          <w14:ligatures w14:val="none"/>
        </w:rPr>
        <w:t>El P. de la C. 991 busca consolidar las leyes que regulan la emisión de ruidos bajo un solo estatuto, simplificando así su aplicación y entendimient</w:t>
      </w:r>
      <w:r w:rsidR="000916F8">
        <w:rPr>
          <w:rFonts w:ascii="Book Antiqua" w:eastAsia="Times New Roman" w:hAnsi="Book Antiqua" w:cs="Times New Roman"/>
          <w:bCs/>
          <w:kern w:val="0"/>
          <w14:ligatures w14:val="none"/>
        </w:rPr>
        <w:t>o</w:t>
      </w:r>
      <w:r>
        <w:rPr>
          <w:rFonts w:ascii="Book Antiqua" w:eastAsia="Times New Roman" w:hAnsi="Book Antiqua" w:cs="Times New Roman"/>
          <w:bCs/>
          <w:kern w:val="0"/>
          <w14:ligatures w14:val="none"/>
        </w:rPr>
        <w:t xml:space="preserve"> tanto por la ciudadanía como por los funcionarios y entidades llamados a ponerle en vigor. De igual modo busca reducir – e incluso eliminar- la posibilidad de resultados inconsistentes en su aplicación ante el escenario -hoy día posible- de que apliquen distintas disposiciones a una situación. </w:t>
      </w:r>
    </w:p>
    <w:p w14:paraId="5D547C8E" w14:textId="22E80578" w:rsidR="0011500D" w:rsidRDefault="0011500D" w:rsidP="0011500D">
      <w:pPr>
        <w:spacing w:after="0" w:line="360" w:lineRule="auto"/>
        <w:jc w:val="both"/>
        <w:rPr>
          <w:rFonts w:ascii="Book Antiqua" w:eastAsia="Times New Roman" w:hAnsi="Book Antiqua" w:cs="Times New Roman"/>
          <w:bCs/>
          <w:kern w:val="0"/>
          <w14:ligatures w14:val="none"/>
        </w:rPr>
      </w:pPr>
      <w:r>
        <w:rPr>
          <w:rFonts w:ascii="Book Antiqua" w:eastAsia="Times New Roman" w:hAnsi="Book Antiqua" w:cs="Times New Roman"/>
          <w:bCs/>
          <w:kern w:val="0"/>
          <w14:ligatures w14:val="none"/>
        </w:rPr>
        <w:tab/>
        <w:t>Las agencias y entidades que presentaron sus Memoriales Explicativos expresaron su apoyo a la medida. Algunas, incluso, brindaron sugerencias para modificar el texto, con el propósito de incrementar su efectividad y claridad. Esta Comisión evaluó cuidadosamente las sugerencias y comentarios presentad</w:t>
      </w:r>
      <w:r w:rsidR="003277A2">
        <w:rPr>
          <w:rFonts w:ascii="Book Antiqua" w:eastAsia="Times New Roman" w:hAnsi="Book Antiqua" w:cs="Times New Roman"/>
          <w:bCs/>
          <w:kern w:val="0"/>
          <w14:ligatures w14:val="none"/>
        </w:rPr>
        <w:t>o</w:t>
      </w:r>
      <w:r>
        <w:rPr>
          <w:rFonts w:ascii="Book Antiqua" w:eastAsia="Times New Roman" w:hAnsi="Book Antiqua" w:cs="Times New Roman"/>
          <w:bCs/>
          <w:kern w:val="0"/>
          <w14:ligatures w14:val="none"/>
        </w:rPr>
        <w:t xml:space="preserve">s y adoptó aquellas que propendían a perfeccionar la medida sin alejarse de la intención original de esta. </w:t>
      </w:r>
    </w:p>
    <w:p w14:paraId="1B8425D7" w14:textId="6CDD7653" w:rsidR="0011500D" w:rsidRPr="0011500D" w:rsidRDefault="00FC5548" w:rsidP="00FC5548">
      <w:pPr>
        <w:spacing w:after="0" w:line="360" w:lineRule="auto"/>
        <w:jc w:val="both"/>
        <w:rPr>
          <w:rFonts w:ascii="Book Antiqua" w:eastAsia="Times New Roman" w:hAnsi="Book Antiqua" w:cs="Times New Roman"/>
          <w:bCs/>
          <w:kern w:val="0"/>
          <w14:ligatures w14:val="none"/>
        </w:rPr>
      </w:pPr>
      <w:r>
        <w:rPr>
          <w:rFonts w:ascii="Book Antiqua" w:eastAsia="Times New Roman" w:hAnsi="Book Antiqua" w:cs="Times New Roman"/>
          <w:bCs/>
          <w:kern w:val="0"/>
          <w14:ligatures w14:val="none"/>
        </w:rPr>
        <w:tab/>
        <w:t xml:space="preserve">Entendemos que la medida impactaría favorablemente el ordenamiento jurídico puertorriqueño, actualizando y consolidando todas aquellas disposiciones que actualmente se encuentras dispersas y con una alta posibilidad de contradicción e incongruencia. </w:t>
      </w:r>
    </w:p>
    <w:p w14:paraId="6AA413CC" w14:textId="67047936" w:rsidR="00A54AF0" w:rsidRPr="00CB1979" w:rsidRDefault="00A54AF0" w:rsidP="00A54AF0">
      <w:pPr>
        <w:keepNext/>
        <w:spacing w:after="0" w:line="240" w:lineRule="auto"/>
        <w:jc w:val="center"/>
        <w:outlineLvl w:val="2"/>
        <w:rPr>
          <w:rFonts w:ascii="Book Antiqua" w:eastAsia="Times New Roman" w:hAnsi="Book Antiqua" w:cs="Times New Roman"/>
          <w:b/>
          <w:bCs/>
          <w:spacing w:val="-3"/>
          <w:kern w:val="0"/>
          <w:lang w:val="es-ES" w:eastAsia="x-none"/>
          <w14:ligatures w14:val="none"/>
        </w:rPr>
      </w:pPr>
      <w:r w:rsidRPr="00CB1979">
        <w:rPr>
          <w:rFonts w:ascii="Book Antiqua" w:eastAsia="Times New Roman" w:hAnsi="Book Antiqua" w:cs="Times New Roman"/>
          <w:b/>
          <w:bCs/>
          <w:spacing w:val="-3"/>
          <w:kern w:val="0"/>
          <w:lang w:val="es-ES" w:eastAsia="x-none"/>
          <w14:ligatures w14:val="none"/>
        </w:rPr>
        <w:t>CONCLUSIÓN</w:t>
      </w:r>
    </w:p>
    <w:p w14:paraId="339877AA" w14:textId="77777777" w:rsidR="00A54AF0" w:rsidRPr="00CB1979" w:rsidRDefault="00A54AF0" w:rsidP="00A54AF0">
      <w:pPr>
        <w:spacing w:after="0" w:line="240" w:lineRule="auto"/>
        <w:jc w:val="both"/>
        <w:rPr>
          <w:rFonts w:ascii="Book Antiqua" w:eastAsia="Times New Roman" w:hAnsi="Book Antiqua" w:cs="Times New Roman"/>
          <w:kern w:val="0"/>
          <w14:ligatures w14:val="none"/>
        </w:rPr>
      </w:pPr>
    </w:p>
    <w:p w14:paraId="5B22E6B3" w14:textId="4533D749" w:rsidR="00E4286A" w:rsidRPr="00CB1979" w:rsidRDefault="00A54AF0" w:rsidP="00E4286A">
      <w:pPr>
        <w:spacing w:after="0" w:line="360" w:lineRule="auto"/>
        <w:ind w:firstLine="720"/>
        <w:jc w:val="both"/>
        <w:rPr>
          <w:rFonts w:ascii="Book Antiqua" w:eastAsia="Times New Roman" w:hAnsi="Book Antiqua" w:cs="Times New Roman"/>
          <w:kern w:val="0"/>
          <w14:ligatures w14:val="none"/>
        </w:rPr>
      </w:pPr>
      <w:r w:rsidRPr="00CB1979">
        <w:rPr>
          <w:rFonts w:ascii="Book Antiqua" w:eastAsia="Times New Roman" w:hAnsi="Book Antiqua" w:cs="Times New Roman"/>
          <w:kern w:val="0"/>
          <w14:ligatures w14:val="none"/>
        </w:rPr>
        <w:t xml:space="preserve">Por los fundamentos antes expuestos, la </w:t>
      </w:r>
      <w:r w:rsidRPr="00CB1979">
        <w:rPr>
          <w:rFonts w:ascii="Book Antiqua" w:eastAsia="Times New Roman" w:hAnsi="Book Antiqua" w:cs="Times New Roman"/>
          <w:i/>
          <w:iCs/>
          <w:kern w:val="0"/>
          <w:lang w:val="es-ES"/>
          <w14:ligatures w14:val="none"/>
        </w:rPr>
        <w:t>Comisión de Reorganización, Eficiencia y Diligencia</w:t>
      </w:r>
      <w:r w:rsidRPr="00CB1979">
        <w:rPr>
          <w:rFonts w:ascii="Book Antiqua" w:eastAsia="Times New Roman" w:hAnsi="Book Antiqua" w:cs="Times New Roman"/>
          <w:kern w:val="0"/>
          <w14:ligatures w14:val="none"/>
        </w:rPr>
        <w:t xml:space="preserve"> somete </w:t>
      </w:r>
      <w:r w:rsidR="007F28C0">
        <w:rPr>
          <w:rFonts w:ascii="Book Antiqua" w:eastAsia="Times New Roman" w:hAnsi="Book Antiqua" w:cs="Times New Roman"/>
          <w:kern w:val="0"/>
          <w14:ligatures w14:val="none"/>
        </w:rPr>
        <w:t xml:space="preserve">este </w:t>
      </w:r>
      <w:r w:rsidR="007F28C0" w:rsidRPr="007F28C0">
        <w:rPr>
          <w:rFonts w:ascii="Book Antiqua" w:eastAsia="Times New Roman" w:hAnsi="Book Antiqua" w:cs="Times New Roman"/>
          <w:kern w:val="0"/>
          <w:u w:val="single"/>
          <w14:ligatures w14:val="none"/>
        </w:rPr>
        <w:t>Informe positivo</w:t>
      </w:r>
      <w:r w:rsidRPr="00CB1979">
        <w:rPr>
          <w:rFonts w:ascii="Book Antiqua" w:eastAsia="Times New Roman" w:hAnsi="Book Antiqua" w:cs="Times New Roman"/>
          <w:kern w:val="0"/>
          <w14:ligatures w14:val="none"/>
        </w:rPr>
        <w:t xml:space="preserve"> en el que </w:t>
      </w:r>
      <w:r w:rsidR="00E4286A">
        <w:rPr>
          <w:rFonts w:ascii="Book Antiqua" w:eastAsia="Times New Roman" w:hAnsi="Book Antiqua" w:cs="Times New Roman"/>
          <w:kern w:val="0"/>
          <w:u w:val="single"/>
          <w14:ligatures w14:val="none"/>
        </w:rPr>
        <w:t>recomienda</w:t>
      </w:r>
      <w:r w:rsidRPr="00CB1979">
        <w:rPr>
          <w:rFonts w:ascii="Book Antiqua" w:eastAsia="Times New Roman" w:hAnsi="Book Antiqua" w:cs="Times New Roman"/>
          <w:kern w:val="0"/>
          <w14:ligatures w14:val="none"/>
        </w:rPr>
        <w:t xml:space="preserve"> a esta Cámara de Representantes que </w:t>
      </w:r>
      <w:r w:rsidR="00E4286A">
        <w:rPr>
          <w:rFonts w:ascii="Book Antiqua" w:eastAsia="Times New Roman" w:hAnsi="Book Antiqua" w:cs="Times New Roman"/>
          <w:kern w:val="0"/>
          <w:u w:val="single"/>
          <w14:ligatures w14:val="none"/>
        </w:rPr>
        <w:t xml:space="preserve">apruebe </w:t>
      </w:r>
      <w:r w:rsidRPr="00CB1979">
        <w:rPr>
          <w:rFonts w:ascii="Book Antiqua" w:eastAsia="Times New Roman" w:hAnsi="Book Antiqua" w:cs="Times New Roman"/>
          <w:kern w:val="0"/>
          <w14:ligatures w14:val="none"/>
        </w:rPr>
        <w:t xml:space="preserve">el </w:t>
      </w:r>
      <w:r w:rsidRPr="00CB1979">
        <w:rPr>
          <w:rFonts w:ascii="Book Antiqua" w:eastAsia="Times New Roman" w:hAnsi="Book Antiqua" w:cs="Times New Roman"/>
          <w:b/>
          <w:bCs/>
          <w:kern w:val="0"/>
          <w14:ligatures w14:val="none"/>
        </w:rPr>
        <w:t xml:space="preserve">Proyecto de la Cámara </w:t>
      </w:r>
      <w:r w:rsidR="00792C46">
        <w:rPr>
          <w:rFonts w:ascii="Book Antiqua" w:eastAsia="Times New Roman" w:hAnsi="Book Antiqua" w:cs="Times New Roman"/>
          <w:b/>
          <w:bCs/>
          <w:kern w:val="0"/>
          <w14:ligatures w14:val="none"/>
        </w:rPr>
        <w:t>991</w:t>
      </w:r>
      <w:r w:rsidR="00E4286A">
        <w:rPr>
          <w:rFonts w:ascii="Book Antiqua" w:eastAsia="Times New Roman" w:hAnsi="Book Antiqua" w:cs="Times New Roman"/>
          <w:b/>
          <w:bCs/>
          <w:kern w:val="0"/>
          <w14:ligatures w14:val="none"/>
        </w:rPr>
        <w:t xml:space="preserve">, </w:t>
      </w:r>
      <w:r w:rsidR="00E4286A">
        <w:rPr>
          <w:rFonts w:ascii="Book Antiqua" w:eastAsia="Times New Roman" w:hAnsi="Book Antiqua" w:cs="Times New Roman"/>
          <w:kern w:val="0"/>
          <w14:ligatures w14:val="none"/>
        </w:rPr>
        <w:t>con las enmiendas propuestas en el entirillado</w:t>
      </w:r>
      <w:r w:rsidR="00B95257">
        <w:rPr>
          <w:rFonts w:ascii="Book Antiqua" w:eastAsia="Times New Roman" w:hAnsi="Book Antiqua" w:cs="Times New Roman"/>
          <w:kern w:val="0"/>
          <w14:ligatures w14:val="none"/>
        </w:rPr>
        <w:t xml:space="preserve"> electrónico</w:t>
      </w:r>
      <w:r w:rsidR="00E4286A">
        <w:rPr>
          <w:rFonts w:ascii="Book Antiqua" w:eastAsia="Times New Roman" w:hAnsi="Book Antiqua" w:cs="Times New Roman"/>
          <w:kern w:val="0"/>
          <w14:ligatures w14:val="none"/>
        </w:rPr>
        <w:t xml:space="preserve"> que se acompaña.  </w:t>
      </w:r>
    </w:p>
    <w:p w14:paraId="02BEC319" w14:textId="77777777" w:rsidR="00A54AF0" w:rsidRPr="00CB1979" w:rsidRDefault="00A54AF0" w:rsidP="00A54AF0">
      <w:pPr>
        <w:spacing w:after="0" w:line="240" w:lineRule="auto"/>
        <w:rPr>
          <w:rFonts w:ascii="Book Antiqua" w:eastAsia="Times New Roman" w:hAnsi="Book Antiqua" w:cs="Times New Roman"/>
          <w:kern w:val="0"/>
          <w:lang w:eastAsia="x-none"/>
          <w14:ligatures w14:val="none"/>
        </w:rPr>
      </w:pPr>
    </w:p>
    <w:p w14:paraId="6B4F35C6" w14:textId="77777777" w:rsidR="00A54AF0" w:rsidRPr="00CB1979" w:rsidRDefault="00A54AF0" w:rsidP="00AC29DB">
      <w:pPr>
        <w:spacing w:after="0" w:line="240" w:lineRule="auto"/>
        <w:ind w:firstLine="720"/>
        <w:rPr>
          <w:rFonts w:ascii="Book Antiqua" w:eastAsia="Times New Roman" w:hAnsi="Book Antiqua" w:cs="Times New Roman"/>
          <w:kern w:val="0"/>
          <w:lang w:eastAsia="x-none"/>
          <w14:ligatures w14:val="none"/>
        </w:rPr>
      </w:pPr>
      <w:r w:rsidRPr="00CB1979">
        <w:rPr>
          <w:rFonts w:ascii="Book Antiqua" w:eastAsia="Times New Roman" w:hAnsi="Book Antiqua" w:cs="Times New Roman"/>
          <w:kern w:val="0"/>
          <w:lang w:eastAsia="x-none"/>
          <w14:ligatures w14:val="none"/>
        </w:rPr>
        <w:t>Respetuosamente sometido,</w:t>
      </w:r>
    </w:p>
    <w:p w14:paraId="58CEE6C4" w14:textId="77777777" w:rsidR="00A54AF0" w:rsidRPr="00CB1979" w:rsidRDefault="00A54AF0" w:rsidP="00A54AF0">
      <w:pPr>
        <w:spacing w:after="0" w:line="240" w:lineRule="auto"/>
        <w:rPr>
          <w:rFonts w:ascii="Book Antiqua" w:eastAsia="Times New Roman" w:hAnsi="Book Antiqua" w:cs="Times New Roman"/>
          <w:kern w:val="0"/>
          <w:sz w:val="22"/>
          <w:szCs w:val="22"/>
          <w:lang w:eastAsia="x-none"/>
          <w14:ligatures w14:val="none"/>
        </w:rPr>
      </w:pPr>
    </w:p>
    <w:p w14:paraId="615F6C7E" w14:textId="77777777" w:rsidR="00AB7D4B" w:rsidRPr="00CB1979" w:rsidRDefault="00AB7D4B" w:rsidP="00AC29DB">
      <w:pPr>
        <w:spacing w:after="0" w:line="240" w:lineRule="auto"/>
        <w:jc w:val="both"/>
        <w:rPr>
          <w:rFonts w:ascii="Book Antiqua" w:eastAsia="Times New Roman" w:hAnsi="Book Antiqua" w:cs="Times New Roman"/>
          <w:kern w:val="0"/>
          <w:sz w:val="22"/>
          <w:szCs w:val="22"/>
          <w:lang w:eastAsia="x-none"/>
          <w14:ligatures w14:val="none"/>
        </w:rPr>
      </w:pPr>
    </w:p>
    <w:p w14:paraId="2B509771" w14:textId="77777777" w:rsidR="00AB7D4B" w:rsidRPr="00CB1979" w:rsidRDefault="00AB7D4B" w:rsidP="00AC29DB">
      <w:pPr>
        <w:spacing w:after="0" w:line="240" w:lineRule="auto"/>
        <w:jc w:val="both"/>
        <w:rPr>
          <w:rFonts w:ascii="Book Antiqua" w:eastAsia="Times New Roman" w:hAnsi="Book Antiqua" w:cs="Times New Roman"/>
          <w:kern w:val="0"/>
          <w:sz w:val="22"/>
          <w:szCs w:val="22"/>
          <w:lang w:eastAsia="x-none"/>
          <w14:ligatures w14:val="none"/>
        </w:rPr>
      </w:pPr>
    </w:p>
    <w:p w14:paraId="5AE1325A" w14:textId="24D21A88" w:rsidR="00A54AF0" w:rsidRPr="00CB1979" w:rsidRDefault="00A54AF0" w:rsidP="00AC29DB">
      <w:pPr>
        <w:spacing w:after="0" w:line="240" w:lineRule="auto"/>
        <w:jc w:val="both"/>
        <w:rPr>
          <w:rFonts w:ascii="Book Antiqua" w:eastAsia="Times New Roman" w:hAnsi="Book Antiqua" w:cs="Times New Roman"/>
          <w:b/>
          <w:bCs/>
          <w:kern w:val="0"/>
          <w:sz w:val="22"/>
          <w:szCs w:val="22"/>
          <w:lang w:eastAsia="x-none"/>
          <w14:ligatures w14:val="none"/>
        </w:rPr>
      </w:pPr>
      <w:r w:rsidRPr="00CB1979">
        <w:rPr>
          <w:rFonts w:ascii="Book Antiqua" w:eastAsia="Times New Roman" w:hAnsi="Book Antiqua" w:cs="Times New Roman"/>
          <w:b/>
          <w:bCs/>
          <w:kern w:val="0"/>
          <w:sz w:val="22"/>
          <w:szCs w:val="22"/>
          <w:lang w:eastAsia="x-none"/>
          <w14:ligatures w14:val="none"/>
        </w:rPr>
        <w:t>Hon. Ángel A. Morey Noble</w:t>
      </w:r>
      <w:r w:rsidRPr="00CB1979">
        <w:rPr>
          <w:rFonts w:ascii="Book Antiqua" w:eastAsia="Times New Roman" w:hAnsi="Book Antiqua" w:cs="Times New Roman"/>
          <w:b/>
          <w:bCs/>
          <w:kern w:val="0"/>
          <w:sz w:val="22"/>
          <w:szCs w:val="22"/>
          <w:lang w:eastAsia="x-none"/>
          <w14:ligatures w14:val="none"/>
        </w:rPr>
        <w:tab/>
        <w:t xml:space="preserve"> </w:t>
      </w:r>
    </w:p>
    <w:p w14:paraId="0C55918C" w14:textId="77777777" w:rsidR="00A54AF0" w:rsidRPr="00CB1979" w:rsidRDefault="00A54AF0" w:rsidP="00AC29DB">
      <w:pPr>
        <w:spacing w:after="0" w:line="240" w:lineRule="auto"/>
        <w:jc w:val="both"/>
        <w:rPr>
          <w:rFonts w:ascii="Book Antiqua" w:eastAsia="Times New Roman" w:hAnsi="Book Antiqua" w:cs="Times New Roman"/>
          <w:i/>
          <w:iCs/>
          <w:kern w:val="0"/>
          <w:sz w:val="22"/>
          <w:szCs w:val="22"/>
          <w:lang w:eastAsia="x-none"/>
          <w14:ligatures w14:val="none"/>
        </w:rPr>
      </w:pPr>
      <w:r w:rsidRPr="00CB1979">
        <w:rPr>
          <w:rFonts w:ascii="Book Antiqua" w:eastAsia="Times New Roman" w:hAnsi="Book Antiqua" w:cs="Times New Roman"/>
          <w:i/>
          <w:iCs/>
          <w:kern w:val="0"/>
          <w:sz w:val="22"/>
          <w:szCs w:val="22"/>
          <w:lang w:eastAsia="x-none"/>
          <w14:ligatures w14:val="none"/>
        </w:rPr>
        <w:t>Presidente</w:t>
      </w:r>
      <w:r w:rsidRPr="00CB1979">
        <w:rPr>
          <w:rFonts w:ascii="Book Antiqua" w:eastAsia="Times New Roman" w:hAnsi="Book Antiqua" w:cs="Times New Roman"/>
          <w:i/>
          <w:iCs/>
          <w:kern w:val="0"/>
          <w:sz w:val="22"/>
          <w:szCs w:val="22"/>
          <w:lang w:eastAsia="x-none"/>
          <w14:ligatures w14:val="none"/>
        </w:rPr>
        <w:tab/>
      </w:r>
      <w:r w:rsidRPr="00CB1979">
        <w:rPr>
          <w:rFonts w:ascii="Book Antiqua" w:eastAsia="Times New Roman" w:hAnsi="Book Antiqua" w:cs="Times New Roman"/>
          <w:i/>
          <w:iCs/>
          <w:kern w:val="0"/>
          <w:sz w:val="22"/>
          <w:szCs w:val="22"/>
          <w:lang w:eastAsia="x-none"/>
          <w14:ligatures w14:val="none"/>
        </w:rPr>
        <w:tab/>
      </w:r>
      <w:r w:rsidRPr="00CB1979">
        <w:rPr>
          <w:rFonts w:ascii="Book Antiqua" w:eastAsia="Times New Roman" w:hAnsi="Book Antiqua" w:cs="Times New Roman"/>
          <w:i/>
          <w:iCs/>
          <w:kern w:val="0"/>
          <w:sz w:val="22"/>
          <w:szCs w:val="22"/>
          <w:lang w:eastAsia="x-none"/>
          <w14:ligatures w14:val="none"/>
        </w:rPr>
        <w:tab/>
      </w:r>
      <w:r w:rsidRPr="00CB1979">
        <w:rPr>
          <w:rFonts w:ascii="Book Antiqua" w:eastAsia="Times New Roman" w:hAnsi="Book Antiqua" w:cs="Times New Roman"/>
          <w:i/>
          <w:iCs/>
          <w:kern w:val="0"/>
          <w:sz w:val="22"/>
          <w:szCs w:val="22"/>
          <w:lang w:eastAsia="x-none"/>
          <w14:ligatures w14:val="none"/>
        </w:rPr>
        <w:tab/>
      </w:r>
      <w:r w:rsidRPr="00CB1979">
        <w:rPr>
          <w:rFonts w:ascii="Book Antiqua" w:eastAsia="Times New Roman" w:hAnsi="Book Antiqua" w:cs="Times New Roman"/>
          <w:i/>
          <w:iCs/>
          <w:kern w:val="0"/>
          <w:sz w:val="22"/>
          <w:szCs w:val="22"/>
          <w:lang w:eastAsia="x-none"/>
          <w14:ligatures w14:val="none"/>
        </w:rPr>
        <w:tab/>
      </w:r>
      <w:r w:rsidRPr="00CB1979">
        <w:rPr>
          <w:rFonts w:ascii="Book Antiqua" w:eastAsia="Times New Roman" w:hAnsi="Book Antiqua" w:cs="Times New Roman"/>
          <w:i/>
          <w:iCs/>
          <w:kern w:val="0"/>
          <w:sz w:val="22"/>
          <w:szCs w:val="22"/>
          <w:lang w:eastAsia="x-none"/>
          <w14:ligatures w14:val="none"/>
        </w:rPr>
        <w:tab/>
      </w:r>
      <w:r w:rsidRPr="00CB1979">
        <w:rPr>
          <w:rFonts w:ascii="Book Antiqua" w:eastAsia="Times New Roman" w:hAnsi="Book Antiqua" w:cs="Times New Roman"/>
          <w:i/>
          <w:iCs/>
          <w:kern w:val="0"/>
          <w:sz w:val="22"/>
          <w:szCs w:val="22"/>
          <w:lang w:eastAsia="x-none"/>
          <w14:ligatures w14:val="none"/>
        </w:rPr>
        <w:tab/>
      </w:r>
      <w:r w:rsidRPr="00CB1979">
        <w:rPr>
          <w:rFonts w:ascii="Book Antiqua" w:eastAsia="Times New Roman" w:hAnsi="Book Antiqua" w:cs="Times New Roman"/>
          <w:i/>
          <w:iCs/>
          <w:kern w:val="0"/>
          <w:sz w:val="22"/>
          <w:szCs w:val="22"/>
          <w:lang w:eastAsia="x-none"/>
          <w14:ligatures w14:val="none"/>
        </w:rPr>
        <w:tab/>
      </w:r>
      <w:r w:rsidRPr="00CB1979">
        <w:rPr>
          <w:rFonts w:ascii="Book Antiqua" w:eastAsia="Times New Roman" w:hAnsi="Book Antiqua" w:cs="Times New Roman"/>
          <w:i/>
          <w:iCs/>
          <w:kern w:val="0"/>
          <w:sz w:val="22"/>
          <w:szCs w:val="22"/>
          <w:lang w:eastAsia="x-none"/>
          <w14:ligatures w14:val="none"/>
        </w:rPr>
        <w:tab/>
      </w:r>
      <w:r w:rsidRPr="00CB1979">
        <w:rPr>
          <w:rFonts w:ascii="Book Antiqua" w:eastAsia="Times New Roman" w:hAnsi="Book Antiqua" w:cs="Times New Roman"/>
          <w:i/>
          <w:iCs/>
          <w:kern w:val="0"/>
          <w:sz w:val="22"/>
          <w:szCs w:val="22"/>
          <w:lang w:eastAsia="x-none"/>
          <w14:ligatures w14:val="none"/>
        </w:rPr>
        <w:tab/>
      </w:r>
    </w:p>
    <w:p w14:paraId="60E9B1BB" w14:textId="047D4680" w:rsidR="00A54AF0" w:rsidRPr="00CB1979" w:rsidRDefault="00A54AF0" w:rsidP="00AC29DB">
      <w:pPr>
        <w:spacing w:after="0" w:line="240" w:lineRule="auto"/>
        <w:ind w:left="5760" w:hanging="5760"/>
        <w:jc w:val="both"/>
        <w:rPr>
          <w:rFonts w:ascii="Book Antiqua" w:eastAsia="Times New Roman" w:hAnsi="Book Antiqua" w:cs="Times New Roman"/>
          <w:kern w:val="0"/>
          <w:sz w:val="22"/>
          <w:szCs w:val="22"/>
          <w:lang w:eastAsia="x-none"/>
          <w14:ligatures w14:val="none"/>
        </w:rPr>
      </w:pPr>
      <w:r w:rsidRPr="00CB1979">
        <w:rPr>
          <w:rFonts w:ascii="Book Antiqua" w:eastAsia="Times New Roman" w:hAnsi="Book Antiqua" w:cs="Times New Roman"/>
          <w:kern w:val="0"/>
          <w:sz w:val="22"/>
          <w:szCs w:val="22"/>
          <w:lang w:val="es-ES" w:eastAsia="x-none"/>
          <w14:ligatures w14:val="none"/>
        </w:rPr>
        <w:t>Comisión de Reorganización Eficiencia y Diligencia</w:t>
      </w:r>
    </w:p>
    <w:sectPr w:rsidR="00A54AF0" w:rsidRPr="00CB1979">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A5AD21" w14:textId="77777777" w:rsidR="0034479D" w:rsidRDefault="0034479D" w:rsidP="00A54AF0">
      <w:pPr>
        <w:spacing w:after="0" w:line="240" w:lineRule="auto"/>
      </w:pPr>
      <w:r>
        <w:separator/>
      </w:r>
    </w:p>
  </w:endnote>
  <w:endnote w:type="continuationSeparator" w:id="0">
    <w:p w14:paraId="705C61A2" w14:textId="77777777" w:rsidR="0034479D" w:rsidRDefault="0034479D" w:rsidP="00A54A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5145132"/>
      <w:docPartObj>
        <w:docPartGallery w:val="Page Numbers (Bottom of Page)"/>
        <w:docPartUnique/>
      </w:docPartObj>
    </w:sdtPr>
    <w:sdtEndPr>
      <w:rPr>
        <w:noProof/>
      </w:rPr>
    </w:sdtEndPr>
    <w:sdtContent>
      <w:p w14:paraId="2E9CC3E1" w14:textId="26FDF672" w:rsidR="00E97F9B" w:rsidRDefault="00E97F9B">
        <w:pPr>
          <w:pStyle w:val="Footer"/>
          <w:jc w:val="center"/>
        </w:pPr>
        <w:r w:rsidRPr="009D7122">
          <w:rPr>
            <w:rFonts w:ascii="Book Antiqua" w:hAnsi="Book Antiqua"/>
          </w:rPr>
          <w:fldChar w:fldCharType="begin"/>
        </w:r>
        <w:r w:rsidRPr="009D7122">
          <w:rPr>
            <w:rFonts w:ascii="Book Antiqua" w:hAnsi="Book Antiqua"/>
          </w:rPr>
          <w:instrText xml:space="preserve"> PAGE   \* MERGEFORMAT </w:instrText>
        </w:r>
        <w:r w:rsidRPr="009D7122">
          <w:rPr>
            <w:rFonts w:ascii="Book Antiqua" w:hAnsi="Book Antiqua"/>
          </w:rPr>
          <w:fldChar w:fldCharType="separate"/>
        </w:r>
        <w:r w:rsidRPr="009D7122">
          <w:rPr>
            <w:rFonts w:ascii="Book Antiqua" w:hAnsi="Book Antiqua"/>
            <w:noProof/>
          </w:rPr>
          <w:t>2</w:t>
        </w:r>
        <w:r w:rsidRPr="009D7122">
          <w:rPr>
            <w:rFonts w:ascii="Book Antiqua" w:hAnsi="Book Antiqua"/>
            <w:noProof/>
          </w:rPr>
          <w:fldChar w:fldCharType="end"/>
        </w:r>
      </w:p>
    </w:sdtContent>
  </w:sdt>
  <w:p w14:paraId="1A90F815" w14:textId="77777777" w:rsidR="00E97F9B" w:rsidRDefault="00E97F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BF07FF" w14:textId="77777777" w:rsidR="0034479D" w:rsidRDefault="0034479D" w:rsidP="00A54AF0">
      <w:pPr>
        <w:spacing w:after="0" w:line="240" w:lineRule="auto"/>
      </w:pPr>
      <w:r>
        <w:separator/>
      </w:r>
    </w:p>
  </w:footnote>
  <w:footnote w:type="continuationSeparator" w:id="0">
    <w:p w14:paraId="28AD7FA4" w14:textId="77777777" w:rsidR="0034479D" w:rsidRDefault="0034479D" w:rsidP="00A54AF0">
      <w:pPr>
        <w:spacing w:after="0" w:line="240" w:lineRule="auto"/>
      </w:pPr>
      <w:r>
        <w:continuationSeparator/>
      </w:r>
    </w:p>
  </w:footnote>
  <w:footnote w:id="1">
    <w:p w14:paraId="497A55B3" w14:textId="2EF71F63" w:rsidR="0086387D" w:rsidRPr="008D7891" w:rsidRDefault="0086387D" w:rsidP="00723F48">
      <w:pPr>
        <w:pStyle w:val="FootnoteText"/>
        <w:ind w:left="720" w:hanging="720"/>
        <w:jc w:val="both"/>
        <w:rPr>
          <w:rFonts w:ascii="Book Antiqua" w:hAnsi="Book Antiqua" w:cs="Times New Roman"/>
        </w:rPr>
      </w:pPr>
      <w:r w:rsidRPr="008D7891">
        <w:rPr>
          <w:rStyle w:val="FootnoteReference"/>
          <w:rFonts w:ascii="Book Antiqua" w:hAnsi="Book Antiqua"/>
        </w:rPr>
        <w:footnoteRef/>
      </w:r>
      <w:r w:rsidRPr="008D7891">
        <w:rPr>
          <w:rFonts w:ascii="Book Antiqua" w:hAnsi="Book Antiqua" w:cs="Times New Roman"/>
        </w:rPr>
        <w:t xml:space="preserve"> </w:t>
      </w:r>
      <w:r w:rsidRPr="008D7891">
        <w:rPr>
          <w:rFonts w:ascii="Book Antiqua" w:hAnsi="Book Antiqua" w:cs="Times New Roman"/>
        </w:rPr>
        <w:tab/>
        <w:t>Departamento de Recursos Naturales y Ambientales (DRNA)</w:t>
      </w:r>
      <w:r w:rsidR="000C24DA" w:rsidRPr="008D7891">
        <w:rPr>
          <w:rFonts w:ascii="Book Antiqua" w:hAnsi="Book Antiqua" w:cs="Times New Roman"/>
        </w:rPr>
        <w:t xml:space="preserve">, </w:t>
      </w:r>
      <w:r w:rsidR="000C24DA" w:rsidRPr="008D7891">
        <w:rPr>
          <w:rFonts w:ascii="Book Antiqua" w:hAnsi="Book Antiqua" w:cs="Times New Roman"/>
          <w:i/>
          <w:iCs/>
        </w:rPr>
        <w:t>Memorial Explicativo P. de la C. 991</w:t>
      </w:r>
      <w:r w:rsidR="000C24DA" w:rsidRPr="008D7891">
        <w:rPr>
          <w:rFonts w:ascii="Book Antiqua" w:hAnsi="Book Antiqua" w:cs="Times New Roman"/>
        </w:rPr>
        <w:t xml:space="preserve">, pág. 2 (3 de marzo de 2026). </w:t>
      </w:r>
    </w:p>
  </w:footnote>
  <w:footnote w:id="2">
    <w:p w14:paraId="0B5698DE" w14:textId="3AD22ADF" w:rsidR="0086387D" w:rsidRPr="008D7891" w:rsidRDefault="0086387D" w:rsidP="00723F48">
      <w:pPr>
        <w:pStyle w:val="FootnoteText"/>
        <w:ind w:left="720" w:hanging="720"/>
        <w:jc w:val="both"/>
        <w:rPr>
          <w:rFonts w:ascii="Book Antiqua" w:hAnsi="Book Antiqua"/>
        </w:rPr>
      </w:pPr>
      <w:r w:rsidRPr="008D7891">
        <w:rPr>
          <w:rStyle w:val="FootnoteReference"/>
          <w:rFonts w:ascii="Book Antiqua" w:hAnsi="Book Antiqua"/>
        </w:rPr>
        <w:footnoteRef/>
      </w:r>
      <w:r w:rsidRPr="008D7891">
        <w:rPr>
          <w:rFonts w:ascii="Book Antiqua" w:hAnsi="Book Antiqua"/>
        </w:rPr>
        <w:t xml:space="preserve"> </w:t>
      </w:r>
      <w:r w:rsidR="00075E43" w:rsidRPr="008D7891">
        <w:rPr>
          <w:rFonts w:ascii="Book Antiqua" w:hAnsi="Book Antiqua"/>
        </w:rPr>
        <w:tab/>
      </w:r>
      <w:r w:rsidR="00075E43" w:rsidRPr="008D7891">
        <w:rPr>
          <w:rFonts w:ascii="Book Antiqua" w:hAnsi="Book Antiqua"/>
          <w:i/>
          <w:iCs/>
        </w:rPr>
        <w:t>Íd.</w:t>
      </w:r>
    </w:p>
  </w:footnote>
  <w:footnote w:id="3">
    <w:p w14:paraId="584180BB" w14:textId="49EE876D" w:rsidR="00075E43" w:rsidRPr="007323D1" w:rsidRDefault="00075E43" w:rsidP="00723F48">
      <w:pPr>
        <w:pStyle w:val="FootnoteText"/>
        <w:jc w:val="both"/>
      </w:pPr>
      <w:r w:rsidRPr="008D7891">
        <w:rPr>
          <w:rStyle w:val="FootnoteReference"/>
          <w:rFonts w:ascii="Book Antiqua" w:hAnsi="Book Antiqua"/>
        </w:rPr>
        <w:footnoteRef/>
      </w:r>
      <w:r w:rsidRPr="008D7891">
        <w:rPr>
          <w:rFonts w:ascii="Book Antiqua" w:hAnsi="Book Antiqua"/>
        </w:rPr>
        <w:t xml:space="preserve"> </w:t>
      </w:r>
      <w:r w:rsidRPr="007323D1">
        <w:rPr>
          <w:rFonts w:ascii="Book Antiqua" w:hAnsi="Book Antiqua"/>
        </w:rPr>
        <w:tab/>
      </w:r>
      <w:r w:rsidRPr="007323D1">
        <w:rPr>
          <w:rFonts w:ascii="Book Antiqua" w:hAnsi="Book Antiqua"/>
          <w:i/>
          <w:iCs/>
        </w:rPr>
        <w:t>Íd.</w:t>
      </w:r>
    </w:p>
  </w:footnote>
  <w:footnote w:id="4">
    <w:p w14:paraId="7A2FD9DE" w14:textId="02AA4419" w:rsidR="00075E43" w:rsidRPr="007323D1" w:rsidRDefault="00075E43" w:rsidP="00723F48">
      <w:pPr>
        <w:pStyle w:val="FootnoteText"/>
        <w:jc w:val="both"/>
        <w:rPr>
          <w:rFonts w:ascii="Book Antiqua" w:hAnsi="Book Antiqua"/>
        </w:rPr>
      </w:pPr>
      <w:r w:rsidRPr="00954241">
        <w:rPr>
          <w:rStyle w:val="FootnoteReference"/>
          <w:rFonts w:ascii="Book Antiqua" w:hAnsi="Book Antiqua"/>
        </w:rPr>
        <w:footnoteRef/>
      </w:r>
      <w:r w:rsidRPr="00954241">
        <w:rPr>
          <w:rFonts w:ascii="Book Antiqua" w:hAnsi="Book Antiqua"/>
        </w:rPr>
        <w:t xml:space="preserve"> </w:t>
      </w:r>
      <w:r w:rsidRPr="007323D1">
        <w:rPr>
          <w:rFonts w:ascii="Book Antiqua" w:hAnsi="Book Antiqua"/>
        </w:rPr>
        <w:tab/>
      </w:r>
      <w:r w:rsidRPr="007323D1">
        <w:rPr>
          <w:rFonts w:ascii="Book Antiqua" w:hAnsi="Book Antiqua"/>
          <w:i/>
          <w:iCs/>
        </w:rPr>
        <w:t>Íd.</w:t>
      </w:r>
    </w:p>
  </w:footnote>
  <w:footnote w:id="5">
    <w:p w14:paraId="38DAFD29" w14:textId="255CBF47" w:rsidR="00C63D1B" w:rsidRPr="00954241" w:rsidRDefault="00C63D1B" w:rsidP="00723F48">
      <w:pPr>
        <w:pStyle w:val="FootnoteText"/>
        <w:jc w:val="both"/>
        <w:rPr>
          <w:rFonts w:ascii="Book Antiqua" w:hAnsi="Book Antiqua"/>
          <w:lang w:val="pt-BR"/>
        </w:rPr>
      </w:pPr>
      <w:r w:rsidRPr="00954241">
        <w:rPr>
          <w:rStyle w:val="FootnoteReference"/>
          <w:rFonts w:ascii="Book Antiqua" w:hAnsi="Book Antiqua"/>
        </w:rPr>
        <w:footnoteRef/>
      </w:r>
      <w:r w:rsidRPr="00954241">
        <w:rPr>
          <w:rFonts w:ascii="Book Antiqua" w:hAnsi="Book Antiqua"/>
          <w:lang w:val="pt-BR"/>
        </w:rPr>
        <w:t xml:space="preserve"> </w:t>
      </w:r>
      <w:r w:rsidRPr="00954241">
        <w:rPr>
          <w:rFonts w:ascii="Book Antiqua" w:hAnsi="Book Antiqua"/>
          <w:lang w:val="pt-BR"/>
        </w:rPr>
        <w:tab/>
      </w:r>
      <w:r w:rsidRPr="00954241">
        <w:rPr>
          <w:rFonts w:ascii="Book Antiqua" w:hAnsi="Book Antiqua"/>
          <w:i/>
          <w:iCs/>
          <w:lang w:val="pt-BR"/>
        </w:rPr>
        <w:t>Íd</w:t>
      </w:r>
      <w:r w:rsidRPr="00954241">
        <w:rPr>
          <w:rFonts w:ascii="Book Antiqua" w:hAnsi="Book Antiqua"/>
          <w:lang w:val="pt-BR"/>
        </w:rPr>
        <w:t xml:space="preserve">., pág. 3. </w:t>
      </w:r>
    </w:p>
  </w:footnote>
  <w:footnote w:id="6">
    <w:p w14:paraId="0AC5CA4D" w14:textId="67F05999" w:rsidR="00C63D1B" w:rsidRPr="00954241" w:rsidRDefault="00C63D1B" w:rsidP="00723F48">
      <w:pPr>
        <w:pStyle w:val="FootnoteText"/>
        <w:jc w:val="both"/>
        <w:rPr>
          <w:rFonts w:ascii="Book Antiqua" w:hAnsi="Book Antiqua"/>
          <w:lang w:val="pt-BR"/>
        </w:rPr>
      </w:pPr>
      <w:r w:rsidRPr="00954241">
        <w:rPr>
          <w:rStyle w:val="FootnoteReference"/>
          <w:rFonts w:ascii="Book Antiqua" w:hAnsi="Book Antiqua"/>
        </w:rPr>
        <w:footnoteRef/>
      </w:r>
      <w:r w:rsidRPr="00954241">
        <w:rPr>
          <w:rFonts w:ascii="Book Antiqua" w:hAnsi="Book Antiqua"/>
          <w:lang w:val="pt-BR"/>
        </w:rPr>
        <w:t xml:space="preserve"> </w:t>
      </w:r>
      <w:r w:rsidRPr="00954241">
        <w:rPr>
          <w:rFonts w:ascii="Book Antiqua" w:hAnsi="Book Antiqua"/>
          <w:lang w:val="pt-BR"/>
        </w:rPr>
        <w:tab/>
        <w:t xml:space="preserve">DRNA, </w:t>
      </w:r>
      <w:r w:rsidRPr="00954241">
        <w:rPr>
          <w:rFonts w:ascii="Book Antiqua" w:hAnsi="Book Antiqua"/>
          <w:i/>
          <w:iCs/>
          <w:lang w:val="pt-BR"/>
        </w:rPr>
        <w:t>supra</w:t>
      </w:r>
      <w:r w:rsidRPr="00954241">
        <w:rPr>
          <w:rFonts w:ascii="Book Antiqua" w:hAnsi="Book Antiqua"/>
          <w:lang w:val="pt-BR"/>
        </w:rPr>
        <w:t xml:space="preserve">, pág. 3. </w:t>
      </w:r>
    </w:p>
  </w:footnote>
  <w:footnote w:id="7">
    <w:p w14:paraId="73DD4FD2" w14:textId="4215FD45" w:rsidR="00C63D1B" w:rsidRPr="007323D1" w:rsidRDefault="00C63D1B" w:rsidP="00723F48">
      <w:pPr>
        <w:pStyle w:val="FootnoteText"/>
        <w:jc w:val="both"/>
        <w:rPr>
          <w:rFonts w:ascii="Book Antiqua" w:hAnsi="Book Antiqua"/>
        </w:rPr>
      </w:pPr>
      <w:r w:rsidRPr="00954241">
        <w:rPr>
          <w:rStyle w:val="FootnoteReference"/>
          <w:rFonts w:ascii="Book Antiqua" w:hAnsi="Book Antiqua"/>
        </w:rPr>
        <w:footnoteRef/>
      </w:r>
      <w:r w:rsidRPr="007323D1">
        <w:rPr>
          <w:rFonts w:ascii="Book Antiqua" w:hAnsi="Book Antiqua"/>
        </w:rPr>
        <w:t xml:space="preserve"> </w:t>
      </w:r>
      <w:r w:rsidRPr="007323D1">
        <w:rPr>
          <w:rFonts w:ascii="Book Antiqua" w:hAnsi="Book Antiqua"/>
        </w:rPr>
        <w:tab/>
      </w:r>
      <w:r w:rsidRPr="007323D1">
        <w:rPr>
          <w:rFonts w:ascii="Book Antiqua" w:hAnsi="Book Antiqua"/>
          <w:i/>
          <w:iCs/>
        </w:rPr>
        <w:t>Íd</w:t>
      </w:r>
      <w:r w:rsidRPr="007323D1">
        <w:rPr>
          <w:rFonts w:ascii="Book Antiqua" w:hAnsi="Book Antiqua"/>
        </w:rPr>
        <w:t>.</w:t>
      </w:r>
    </w:p>
  </w:footnote>
  <w:footnote w:id="8">
    <w:p w14:paraId="72A70220" w14:textId="31BA7F83" w:rsidR="00C63D1B" w:rsidRPr="007323D1" w:rsidRDefault="00C63D1B" w:rsidP="00723F48">
      <w:pPr>
        <w:pStyle w:val="FootnoteText"/>
        <w:jc w:val="both"/>
        <w:rPr>
          <w:rFonts w:ascii="Book Antiqua" w:hAnsi="Book Antiqua"/>
        </w:rPr>
      </w:pPr>
      <w:r w:rsidRPr="00954241">
        <w:rPr>
          <w:rStyle w:val="FootnoteReference"/>
          <w:rFonts w:ascii="Book Antiqua" w:hAnsi="Book Antiqua"/>
        </w:rPr>
        <w:footnoteRef/>
      </w:r>
      <w:r w:rsidRPr="007323D1">
        <w:rPr>
          <w:rFonts w:ascii="Book Antiqua" w:hAnsi="Book Antiqua"/>
        </w:rPr>
        <w:t xml:space="preserve"> </w:t>
      </w:r>
      <w:r w:rsidRPr="007323D1">
        <w:rPr>
          <w:rFonts w:ascii="Book Antiqua" w:hAnsi="Book Antiqua"/>
        </w:rPr>
        <w:tab/>
      </w:r>
      <w:r w:rsidRPr="007323D1">
        <w:rPr>
          <w:rFonts w:ascii="Book Antiqua" w:hAnsi="Book Antiqua"/>
          <w:i/>
          <w:iCs/>
        </w:rPr>
        <w:t>Íd</w:t>
      </w:r>
      <w:r w:rsidRPr="007323D1">
        <w:rPr>
          <w:rFonts w:ascii="Book Antiqua" w:hAnsi="Book Antiqua"/>
        </w:rPr>
        <w:t>.</w:t>
      </w:r>
    </w:p>
  </w:footnote>
  <w:footnote w:id="9">
    <w:p w14:paraId="7ABC1CF4" w14:textId="7073E9BC" w:rsidR="00C63D1B" w:rsidRPr="007323D1" w:rsidRDefault="00C63D1B" w:rsidP="00723F48">
      <w:pPr>
        <w:pStyle w:val="FootnoteText"/>
        <w:jc w:val="both"/>
        <w:rPr>
          <w:rFonts w:ascii="Book Antiqua" w:hAnsi="Book Antiqua"/>
        </w:rPr>
      </w:pPr>
      <w:r w:rsidRPr="00954241">
        <w:rPr>
          <w:rStyle w:val="FootnoteReference"/>
          <w:rFonts w:ascii="Book Antiqua" w:hAnsi="Book Antiqua"/>
        </w:rPr>
        <w:footnoteRef/>
      </w:r>
      <w:r w:rsidRPr="007323D1">
        <w:rPr>
          <w:rFonts w:ascii="Book Antiqua" w:hAnsi="Book Antiqua"/>
        </w:rPr>
        <w:t xml:space="preserve"> </w:t>
      </w:r>
      <w:r w:rsidRPr="007323D1">
        <w:rPr>
          <w:rFonts w:ascii="Book Antiqua" w:hAnsi="Book Antiqua"/>
        </w:rPr>
        <w:tab/>
      </w:r>
      <w:r w:rsidRPr="007323D1">
        <w:rPr>
          <w:rFonts w:ascii="Book Antiqua" w:hAnsi="Book Antiqua"/>
          <w:i/>
          <w:iCs/>
        </w:rPr>
        <w:t>Íd</w:t>
      </w:r>
      <w:r w:rsidRPr="007323D1">
        <w:rPr>
          <w:rFonts w:ascii="Book Antiqua" w:hAnsi="Book Antiqua"/>
        </w:rPr>
        <w:t>.</w:t>
      </w:r>
    </w:p>
  </w:footnote>
  <w:footnote w:id="10">
    <w:p w14:paraId="42C91A71" w14:textId="77940454" w:rsidR="00954241" w:rsidRPr="007323D1" w:rsidRDefault="00954241" w:rsidP="00723F48">
      <w:pPr>
        <w:pStyle w:val="FootnoteText"/>
        <w:jc w:val="both"/>
        <w:rPr>
          <w:rFonts w:ascii="Book Antiqua" w:hAnsi="Book Antiqua"/>
        </w:rPr>
      </w:pPr>
      <w:r w:rsidRPr="00954241">
        <w:rPr>
          <w:rStyle w:val="FootnoteReference"/>
          <w:rFonts w:ascii="Book Antiqua" w:hAnsi="Book Antiqua"/>
        </w:rPr>
        <w:footnoteRef/>
      </w:r>
      <w:r w:rsidRPr="00954241">
        <w:rPr>
          <w:rFonts w:ascii="Book Antiqua" w:hAnsi="Book Antiqua"/>
        </w:rPr>
        <w:t xml:space="preserve"> </w:t>
      </w:r>
      <w:r w:rsidRPr="007323D1">
        <w:rPr>
          <w:rFonts w:ascii="Book Antiqua" w:hAnsi="Book Antiqua"/>
        </w:rPr>
        <w:tab/>
      </w:r>
      <w:r w:rsidRPr="007323D1">
        <w:rPr>
          <w:rFonts w:ascii="Book Antiqua" w:hAnsi="Book Antiqua"/>
          <w:i/>
          <w:iCs/>
        </w:rPr>
        <w:t>Íd</w:t>
      </w:r>
      <w:r w:rsidRPr="007323D1">
        <w:rPr>
          <w:rFonts w:ascii="Book Antiqua" w:hAnsi="Book Antiqua"/>
        </w:rPr>
        <w:t>.</w:t>
      </w:r>
    </w:p>
  </w:footnote>
  <w:footnote w:id="11">
    <w:p w14:paraId="4431C30B" w14:textId="145F6F32" w:rsidR="00954241" w:rsidRPr="007323D1" w:rsidRDefault="00954241" w:rsidP="00723F48">
      <w:pPr>
        <w:pStyle w:val="FootnoteText"/>
        <w:jc w:val="both"/>
        <w:rPr>
          <w:rFonts w:ascii="Book Antiqua" w:hAnsi="Book Antiqua"/>
        </w:rPr>
      </w:pPr>
      <w:r w:rsidRPr="00954241">
        <w:rPr>
          <w:rStyle w:val="FootnoteReference"/>
          <w:rFonts w:ascii="Book Antiqua" w:hAnsi="Book Antiqua"/>
        </w:rPr>
        <w:footnoteRef/>
      </w:r>
      <w:r w:rsidRPr="00954241">
        <w:rPr>
          <w:rFonts w:ascii="Book Antiqua" w:hAnsi="Book Antiqua"/>
        </w:rPr>
        <w:t xml:space="preserve"> </w:t>
      </w:r>
      <w:r w:rsidRPr="007323D1">
        <w:rPr>
          <w:rFonts w:ascii="Book Antiqua" w:hAnsi="Book Antiqua"/>
        </w:rPr>
        <w:tab/>
        <w:t xml:space="preserve">DRNA, </w:t>
      </w:r>
      <w:r w:rsidRPr="007323D1">
        <w:rPr>
          <w:rFonts w:ascii="Book Antiqua" w:hAnsi="Book Antiqua"/>
          <w:i/>
          <w:iCs/>
        </w:rPr>
        <w:t>supra</w:t>
      </w:r>
      <w:r w:rsidRPr="007323D1">
        <w:rPr>
          <w:rFonts w:ascii="Book Antiqua" w:hAnsi="Book Antiqua"/>
        </w:rPr>
        <w:t xml:space="preserve">, págs. 3-4. </w:t>
      </w:r>
    </w:p>
  </w:footnote>
  <w:footnote w:id="12">
    <w:p w14:paraId="086907EF" w14:textId="589B49C1" w:rsidR="00954241" w:rsidRPr="007323D1" w:rsidRDefault="00954241" w:rsidP="00723F48">
      <w:pPr>
        <w:pStyle w:val="FootnoteText"/>
        <w:jc w:val="both"/>
      </w:pPr>
      <w:r w:rsidRPr="00954241">
        <w:rPr>
          <w:rStyle w:val="FootnoteReference"/>
          <w:rFonts w:ascii="Book Antiqua" w:hAnsi="Book Antiqua"/>
        </w:rPr>
        <w:footnoteRef/>
      </w:r>
      <w:r w:rsidRPr="00954241">
        <w:rPr>
          <w:rFonts w:ascii="Book Antiqua" w:hAnsi="Book Antiqua"/>
        </w:rPr>
        <w:t xml:space="preserve"> </w:t>
      </w:r>
      <w:r w:rsidRPr="007323D1">
        <w:rPr>
          <w:rFonts w:ascii="Book Antiqua" w:hAnsi="Book Antiqua"/>
        </w:rPr>
        <w:tab/>
      </w:r>
      <w:r w:rsidRPr="007323D1">
        <w:rPr>
          <w:rFonts w:ascii="Book Antiqua" w:hAnsi="Book Antiqua"/>
          <w:i/>
          <w:iCs/>
        </w:rPr>
        <w:t>Íd</w:t>
      </w:r>
      <w:r w:rsidRPr="007323D1">
        <w:rPr>
          <w:rFonts w:ascii="Book Antiqua" w:hAnsi="Book Antiqua"/>
        </w:rPr>
        <w:t>., págs. 4.</w:t>
      </w:r>
      <w:r w:rsidRPr="007323D1">
        <w:t xml:space="preserve"> </w:t>
      </w:r>
    </w:p>
  </w:footnote>
  <w:footnote w:id="13">
    <w:p w14:paraId="317F0368" w14:textId="4A585AB4" w:rsidR="00AC09D2" w:rsidRPr="007323D1" w:rsidRDefault="00AC09D2" w:rsidP="00723F48">
      <w:pPr>
        <w:pStyle w:val="FootnoteText"/>
        <w:ind w:left="720" w:hanging="720"/>
        <w:jc w:val="both"/>
        <w:rPr>
          <w:rFonts w:ascii="Book Antiqua" w:hAnsi="Book Antiqua"/>
        </w:rPr>
      </w:pPr>
      <w:r w:rsidRPr="00C4278A">
        <w:rPr>
          <w:rStyle w:val="FootnoteReference"/>
          <w:rFonts w:ascii="Book Antiqua" w:hAnsi="Book Antiqua"/>
        </w:rPr>
        <w:footnoteRef/>
      </w:r>
      <w:r w:rsidRPr="00C4278A">
        <w:rPr>
          <w:rFonts w:ascii="Book Antiqua" w:hAnsi="Book Antiqua"/>
        </w:rPr>
        <w:t xml:space="preserve"> </w:t>
      </w:r>
      <w:r w:rsidRPr="007323D1">
        <w:rPr>
          <w:rFonts w:ascii="Book Antiqua" w:hAnsi="Book Antiqua"/>
        </w:rPr>
        <w:tab/>
      </w:r>
      <w:r w:rsidRPr="007323D1">
        <w:rPr>
          <w:rFonts w:ascii="Book Antiqua" w:hAnsi="Book Antiqua"/>
          <w:i/>
          <w:iCs/>
        </w:rPr>
        <w:t>Íd</w:t>
      </w:r>
      <w:r w:rsidRPr="007323D1">
        <w:rPr>
          <w:rFonts w:ascii="Book Antiqua" w:hAnsi="Book Antiqua"/>
        </w:rPr>
        <w:t>.</w:t>
      </w:r>
    </w:p>
  </w:footnote>
  <w:footnote w:id="14">
    <w:p w14:paraId="3CDC4103" w14:textId="6EE0EEBF" w:rsidR="00823C21" w:rsidRPr="00C4278A" w:rsidRDefault="00823C21" w:rsidP="00723F48">
      <w:pPr>
        <w:pStyle w:val="FootnoteText"/>
        <w:ind w:left="720" w:hanging="720"/>
        <w:jc w:val="both"/>
        <w:rPr>
          <w:rFonts w:ascii="Book Antiqua" w:hAnsi="Book Antiqua"/>
        </w:rPr>
      </w:pPr>
      <w:r w:rsidRPr="00C4278A">
        <w:rPr>
          <w:rStyle w:val="FootnoteReference"/>
          <w:rFonts w:ascii="Book Antiqua" w:hAnsi="Book Antiqua"/>
        </w:rPr>
        <w:footnoteRef/>
      </w:r>
      <w:r w:rsidRPr="00C4278A">
        <w:rPr>
          <w:rFonts w:ascii="Book Antiqua" w:hAnsi="Book Antiqua"/>
        </w:rPr>
        <w:t xml:space="preserve"> </w:t>
      </w:r>
      <w:r w:rsidRPr="00C4278A">
        <w:rPr>
          <w:rFonts w:ascii="Book Antiqua" w:hAnsi="Book Antiqua"/>
        </w:rPr>
        <w:tab/>
        <w:t xml:space="preserve">Negociado de la Policía de Puerto Rico (NPPR), </w:t>
      </w:r>
      <w:r w:rsidRPr="00C4278A">
        <w:rPr>
          <w:rFonts w:ascii="Book Antiqua" w:hAnsi="Book Antiqua"/>
          <w:i/>
          <w:iCs/>
        </w:rPr>
        <w:t>Memorial Explicativo sobre el P. de la C. 991</w:t>
      </w:r>
      <w:r w:rsidRPr="00C4278A">
        <w:rPr>
          <w:rFonts w:ascii="Book Antiqua" w:hAnsi="Book Antiqua"/>
        </w:rPr>
        <w:t>, pág. 2 (9 de febrero de 2026)</w:t>
      </w:r>
    </w:p>
  </w:footnote>
  <w:footnote w:id="15">
    <w:p w14:paraId="6E455F02" w14:textId="00A31289" w:rsidR="00823C21" w:rsidRPr="007323D1" w:rsidRDefault="00823C21" w:rsidP="00723F48">
      <w:pPr>
        <w:pStyle w:val="FootnoteText"/>
        <w:jc w:val="both"/>
        <w:rPr>
          <w:rFonts w:ascii="Book Antiqua" w:hAnsi="Book Antiqua"/>
        </w:rPr>
      </w:pPr>
      <w:r w:rsidRPr="00C4278A">
        <w:rPr>
          <w:rStyle w:val="FootnoteReference"/>
          <w:rFonts w:ascii="Book Antiqua" w:hAnsi="Book Antiqua"/>
        </w:rPr>
        <w:footnoteRef/>
      </w:r>
      <w:r w:rsidRPr="00C4278A">
        <w:rPr>
          <w:rFonts w:ascii="Book Antiqua" w:hAnsi="Book Antiqua"/>
        </w:rPr>
        <w:t xml:space="preserve"> </w:t>
      </w:r>
      <w:r w:rsidRPr="00C4278A">
        <w:rPr>
          <w:rFonts w:ascii="Book Antiqua" w:hAnsi="Book Antiqua"/>
        </w:rPr>
        <w:tab/>
      </w:r>
      <w:r w:rsidRPr="00C4278A">
        <w:rPr>
          <w:rFonts w:ascii="Book Antiqua" w:hAnsi="Book Antiqua"/>
          <w:i/>
          <w:iCs/>
        </w:rPr>
        <w:t>Íd</w:t>
      </w:r>
      <w:r w:rsidRPr="00C4278A">
        <w:rPr>
          <w:rFonts w:ascii="Book Antiqua" w:hAnsi="Book Antiqua"/>
        </w:rPr>
        <w:t>.</w:t>
      </w:r>
    </w:p>
  </w:footnote>
  <w:footnote w:id="16">
    <w:p w14:paraId="68E1251F" w14:textId="1E74A0ED" w:rsidR="00CE0FE5" w:rsidRPr="007323D1" w:rsidRDefault="00CE0FE5" w:rsidP="00723F48">
      <w:pPr>
        <w:pStyle w:val="FootnoteText"/>
        <w:jc w:val="both"/>
        <w:rPr>
          <w:rFonts w:ascii="Book Antiqua" w:hAnsi="Book Antiqua"/>
        </w:rPr>
      </w:pPr>
      <w:r w:rsidRPr="00C4278A">
        <w:rPr>
          <w:rStyle w:val="FootnoteReference"/>
          <w:rFonts w:ascii="Book Antiqua" w:hAnsi="Book Antiqua"/>
        </w:rPr>
        <w:footnoteRef/>
      </w:r>
      <w:r w:rsidRPr="00C4278A">
        <w:rPr>
          <w:rFonts w:ascii="Book Antiqua" w:hAnsi="Book Antiqua"/>
        </w:rPr>
        <w:t xml:space="preserve"> </w:t>
      </w:r>
      <w:r w:rsidRPr="007323D1">
        <w:rPr>
          <w:rFonts w:ascii="Book Antiqua" w:hAnsi="Book Antiqua"/>
        </w:rPr>
        <w:tab/>
      </w:r>
      <w:r w:rsidRPr="007323D1">
        <w:rPr>
          <w:rFonts w:ascii="Book Antiqua" w:hAnsi="Book Antiqua"/>
          <w:i/>
          <w:iCs/>
        </w:rPr>
        <w:t>Íd</w:t>
      </w:r>
      <w:r w:rsidRPr="007323D1">
        <w:rPr>
          <w:rFonts w:ascii="Book Antiqua" w:hAnsi="Book Antiqua"/>
        </w:rPr>
        <w:t>.</w:t>
      </w:r>
    </w:p>
  </w:footnote>
  <w:footnote w:id="17">
    <w:p w14:paraId="5EFDF201" w14:textId="12B52931" w:rsidR="00BC7974" w:rsidRPr="007323D1" w:rsidRDefault="00BC7974" w:rsidP="00723F48">
      <w:pPr>
        <w:pStyle w:val="FootnoteText"/>
        <w:jc w:val="both"/>
        <w:rPr>
          <w:rFonts w:ascii="Book Antiqua" w:hAnsi="Book Antiqua"/>
        </w:rPr>
      </w:pPr>
      <w:r w:rsidRPr="00C4278A">
        <w:rPr>
          <w:rStyle w:val="FootnoteReference"/>
          <w:rFonts w:ascii="Book Antiqua" w:hAnsi="Book Antiqua"/>
        </w:rPr>
        <w:footnoteRef/>
      </w:r>
      <w:r w:rsidRPr="00C4278A">
        <w:rPr>
          <w:rFonts w:ascii="Book Antiqua" w:hAnsi="Book Antiqua"/>
        </w:rPr>
        <w:t xml:space="preserve"> </w:t>
      </w:r>
      <w:r w:rsidRPr="007323D1">
        <w:rPr>
          <w:rFonts w:ascii="Book Antiqua" w:hAnsi="Book Antiqua"/>
        </w:rPr>
        <w:tab/>
      </w:r>
      <w:r w:rsidRPr="007323D1">
        <w:rPr>
          <w:rFonts w:ascii="Book Antiqua" w:hAnsi="Book Antiqua"/>
          <w:i/>
          <w:iCs/>
        </w:rPr>
        <w:t>Íd</w:t>
      </w:r>
      <w:r w:rsidRPr="007323D1">
        <w:rPr>
          <w:rFonts w:ascii="Book Antiqua" w:hAnsi="Book Antiqua"/>
        </w:rPr>
        <w:t>.</w:t>
      </w:r>
    </w:p>
  </w:footnote>
  <w:footnote w:id="18">
    <w:p w14:paraId="1D8F68C9" w14:textId="006DD5D4" w:rsidR="00BC7974" w:rsidRPr="007323D1" w:rsidRDefault="00BC7974" w:rsidP="00723F48">
      <w:pPr>
        <w:pStyle w:val="FootnoteText"/>
        <w:jc w:val="both"/>
        <w:rPr>
          <w:rFonts w:ascii="Book Antiqua" w:hAnsi="Book Antiqua"/>
        </w:rPr>
      </w:pPr>
      <w:r w:rsidRPr="00C4278A">
        <w:rPr>
          <w:rStyle w:val="FootnoteReference"/>
          <w:rFonts w:ascii="Book Antiqua" w:hAnsi="Book Antiqua"/>
        </w:rPr>
        <w:footnoteRef/>
      </w:r>
      <w:r w:rsidRPr="00C4278A">
        <w:rPr>
          <w:rFonts w:ascii="Book Antiqua" w:hAnsi="Book Antiqua"/>
        </w:rPr>
        <w:t xml:space="preserve"> </w:t>
      </w:r>
      <w:r w:rsidRPr="007323D1">
        <w:rPr>
          <w:rFonts w:ascii="Book Antiqua" w:hAnsi="Book Antiqua"/>
        </w:rPr>
        <w:tab/>
      </w:r>
      <w:r w:rsidRPr="007323D1">
        <w:rPr>
          <w:rFonts w:ascii="Book Antiqua" w:hAnsi="Book Antiqua"/>
          <w:i/>
          <w:iCs/>
        </w:rPr>
        <w:t>Íd</w:t>
      </w:r>
      <w:r w:rsidRPr="007323D1">
        <w:rPr>
          <w:rFonts w:ascii="Book Antiqua" w:hAnsi="Book Antiqua"/>
        </w:rPr>
        <w:t>.</w:t>
      </w:r>
    </w:p>
  </w:footnote>
  <w:footnote w:id="19">
    <w:p w14:paraId="02FECBB2" w14:textId="0B7A489A" w:rsidR="00C4278A" w:rsidRPr="007323D1" w:rsidRDefault="00C4278A" w:rsidP="00723F48">
      <w:pPr>
        <w:pStyle w:val="FootnoteText"/>
        <w:jc w:val="both"/>
        <w:rPr>
          <w:rFonts w:ascii="Book Antiqua" w:hAnsi="Book Antiqua"/>
        </w:rPr>
      </w:pPr>
      <w:r w:rsidRPr="00C4278A">
        <w:rPr>
          <w:rStyle w:val="FootnoteReference"/>
          <w:rFonts w:ascii="Book Antiqua" w:hAnsi="Book Antiqua"/>
        </w:rPr>
        <w:footnoteRef/>
      </w:r>
      <w:r w:rsidRPr="00C4278A">
        <w:rPr>
          <w:rFonts w:ascii="Book Antiqua" w:hAnsi="Book Antiqua"/>
        </w:rPr>
        <w:t xml:space="preserve"> </w:t>
      </w:r>
      <w:r w:rsidRPr="00C4278A">
        <w:rPr>
          <w:rFonts w:ascii="Book Antiqua" w:hAnsi="Book Antiqua"/>
        </w:rPr>
        <w:tab/>
        <w:t xml:space="preserve">NPPR, </w:t>
      </w:r>
      <w:r w:rsidRPr="00C4278A">
        <w:rPr>
          <w:rFonts w:ascii="Book Antiqua" w:hAnsi="Book Antiqua"/>
          <w:i/>
          <w:iCs/>
        </w:rPr>
        <w:t>supra</w:t>
      </w:r>
      <w:r w:rsidRPr="00C4278A">
        <w:rPr>
          <w:rFonts w:ascii="Book Antiqua" w:hAnsi="Book Antiqua"/>
        </w:rPr>
        <w:t xml:space="preserve">, pág. 2. </w:t>
      </w:r>
    </w:p>
  </w:footnote>
  <w:footnote w:id="20">
    <w:p w14:paraId="023F9537" w14:textId="0370BABE" w:rsidR="00C4278A" w:rsidRPr="007323D1" w:rsidRDefault="00C4278A" w:rsidP="00723F48">
      <w:pPr>
        <w:pStyle w:val="FootnoteText"/>
        <w:jc w:val="both"/>
      </w:pPr>
      <w:r w:rsidRPr="00C4278A">
        <w:rPr>
          <w:rStyle w:val="FootnoteReference"/>
          <w:rFonts w:ascii="Book Antiqua" w:hAnsi="Book Antiqua"/>
        </w:rPr>
        <w:footnoteRef/>
      </w:r>
      <w:r w:rsidRPr="00C4278A">
        <w:rPr>
          <w:rFonts w:ascii="Book Antiqua" w:hAnsi="Book Antiqua"/>
        </w:rPr>
        <w:t xml:space="preserve"> </w:t>
      </w:r>
      <w:r w:rsidRPr="00C4278A">
        <w:rPr>
          <w:rFonts w:ascii="Book Antiqua" w:hAnsi="Book Antiqua"/>
        </w:rPr>
        <w:tab/>
      </w:r>
      <w:r w:rsidRPr="00C4278A">
        <w:rPr>
          <w:rFonts w:ascii="Book Antiqua" w:hAnsi="Book Antiqua"/>
          <w:i/>
          <w:iCs/>
        </w:rPr>
        <w:t>Íd</w:t>
      </w:r>
      <w:r w:rsidRPr="00C4278A">
        <w:rPr>
          <w:rFonts w:ascii="Book Antiqua" w:hAnsi="Book Antiqua"/>
        </w:rPr>
        <w:t>.</w:t>
      </w:r>
    </w:p>
  </w:footnote>
  <w:footnote w:id="21">
    <w:p w14:paraId="44CE89AA" w14:textId="6298C04B" w:rsidR="008F0BC3" w:rsidRPr="00723F48" w:rsidRDefault="008F0BC3" w:rsidP="00723F48">
      <w:pPr>
        <w:pStyle w:val="FootnoteText"/>
        <w:ind w:left="720" w:hanging="720"/>
        <w:jc w:val="both"/>
        <w:rPr>
          <w:rFonts w:ascii="Book Antiqua" w:hAnsi="Book Antiqua"/>
        </w:rPr>
      </w:pPr>
      <w:r w:rsidRPr="00723F48">
        <w:rPr>
          <w:rStyle w:val="FootnoteReference"/>
          <w:rFonts w:ascii="Book Antiqua" w:hAnsi="Book Antiqua"/>
        </w:rPr>
        <w:footnoteRef/>
      </w:r>
      <w:r w:rsidRPr="00723F48">
        <w:rPr>
          <w:rFonts w:ascii="Book Antiqua" w:hAnsi="Book Antiqua"/>
        </w:rPr>
        <w:t xml:space="preserve"> </w:t>
      </w:r>
      <w:r w:rsidRPr="00723F48">
        <w:rPr>
          <w:rFonts w:ascii="Book Antiqua" w:hAnsi="Book Antiqua"/>
        </w:rPr>
        <w:tab/>
      </w:r>
      <w:r w:rsidRPr="00723F48">
        <w:rPr>
          <w:rFonts w:ascii="Book Antiqua" w:hAnsi="Book Antiqua"/>
          <w:i/>
          <w:iCs/>
        </w:rPr>
        <w:t>Íd</w:t>
      </w:r>
      <w:r w:rsidRPr="00723F48">
        <w:rPr>
          <w:rFonts w:ascii="Book Antiqua" w:hAnsi="Book Antiqua"/>
        </w:rPr>
        <w:t>., pág. 3</w:t>
      </w:r>
    </w:p>
  </w:footnote>
  <w:footnote w:id="22">
    <w:p w14:paraId="5E5EFF6F" w14:textId="309BC111" w:rsidR="008F0BC3" w:rsidRPr="00A22B13" w:rsidRDefault="008F0BC3" w:rsidP="00723F48">
      <w:pPr>
        <w:pStyle w:val="FootnoteText"/>
        <w:ind w:left="720" w:hanging="720"/>
        <w:jc w:val="both"/>
        <w:rPr>
          <w:rFonts w:ascii="Book Antiqua" w:hAnsi="Book Antiqua"/>
        </w:rPr>
      </w:pPr>
      <w:r w:rsidRPr="00723F48">
        <w:rPr>
          <w:rStyle w:val="FootnoteReference"/>
          <w:rFonts w:ascii="Book Antiqua" w:hAnsi="Book Antiqua"/>
        </w:rPr>
        <w:footnoteRef/>
      </w:r>
      <w:r w:rsidRPr="00A22B13">
        <w:rPr>
          <w:rFonts w:ascii="Book Antiqua" w:hAnsi="Book Antiqua"/>
        </w:rPr>
        <w:t xml:space="preserve"> </w:t>
      </w:r>
      <w:r w:rsidRPr="00A22B13">
        <w:rPr>
          <w:rFonts w:ascii="Book Antiqua" w:hAnsi="Book Antiqua"/>
        </w:rPr>
        <w:tab/>
      </w:r>
      <w:r w:rsidRPr="00A22B13">
        <w:rPr>
          <w:rFonts w:ascii="Book Antiqua" w:hAnsi="Book Antiqua"/>
          <w:i/>
          <w:iCs/>
        </w:rPr>
        <w:t>Íd</w:t>
      </w:r>
      <w:r w:rsidRPr="00A22B13">
        <w:rPr>
          <w:rFonts w:ascii="Book Antiqua" w:hAnsi="Book Antiqua"/>
        </w:rPr>
        <w:t>.</w:t>
      </w:r>
    </w:p>
  </w:footnote>
  <w:footnote w:id="23">
    <w:p w14:paraId="5FC8D67F" w14:textId="5898EEAD" w:rsidR="008F0BC3" w:rsidRPr="00A22B13" w:rsidRDefault="008F0BC3" w:rsidP="00723F48">
      <w:pPr>
        <w:pStyle w:val="FootnoteText"/>
        <w:ind w:left="720" w:hanging="720"/>
        <w:jc w:val="both"/>
        <w:rPr>
          <w:rFonts w:ascii="Book Antiqua" w:hAnsi="Book Antiqua"/>
        </w:rPr>
      </w:pPr>
      <w:r w:rsidRPr="00723F48">
        <w:rPr>
          <w:rStyle w:val="FootnoteReference"/>
          <w:rFonts w:ascii="Book Antiqua" w:hAnsi="Book Antiqua"/>
        </w:rPr>
        <w:footnoteRef/>
      </w:r>
      <w:r w:rsidRPr="00A22B13">
        <w:rPr>
          <w:rFonts w:ascii="Book Antiqua" w:hAnsi="Book Antiqua"/>
        </w:rPr>
        <w:t xml:space="preserve"> </w:t>
      </w:r>
      <w:r w:rsidRPr="00A22B13">
        <w:rPr>
          <w:rFonts w:ascii="Book Antiqua" w:hAnsi="Book Antiqua"/>
        </w:rPr>
        <w:tab/>
      </w:r>
      <w:r w:rsidRPr="00A22B13">
        <w:rPr>
          <w:rFonts w:ascii="Book Antiqua" w:hAnsi="Book Antiqua"/>
          <w:i/>
          <w:iCs/>
        </w:rPr>
        <w:t>Íd</w:t>
      </w:r>
      <w:r w:rsidRPr="00A22B13">
        <w:rPr>
          <w:rFonts w:ascii="Book Antiqua" w:hAnsi="Book Antiqua"/>
        </w:rPr>
        <w:t>.</w:t>
      </w:r>
    </w:p>
  </w:footnote>
  <w:footnote w:id="24">
    <w:p w14:paraId="0F5AE286" w14:textId="2CB0DCE9" w:rsidR="008F0BC3" w:rsidRPr="00A22B13" w:rsidRDefault="008F0BC3" w:rsidP="00723F48">
      <w:pPr>
        <w:pStyle w:val="FootnoteText"/>
        <w:ind w:left="720" w:hanging="720"/>
        <w:jc w:val="both"/>
        <w:rPr>
          <w:rFonts w:ascii="Book Antiqua" w:hAnsi="Book Antiqua"/>
        </w:rPr>
      </w:pPr>
      <w:r w:rsidRPr="00723F48">
        <w:rPr>
          <w:rStyle w:val="FootnoteReference"/>
          <w:rFonts w:ascii="Book Antiqua" w:hAnsi="Book Antiqua"/>
        </w:rPr>
        <w:footnoteRef/>
      </w:r>
      <w:r w:rsidRPr="00A22B13">
        <w:rPr>
          <w:rFonts w:ascii="Book Antiqua" w:hAnsi="Book Antiqua"/>
        </w:rPr>
        <w:t xml:space="preserve"> </w:t>
      </w:r>
      <w:r w:rsidRPr="00A22B13">
        <w:rPr>
          <w:rFonts w:ascii="Book Antiqua" w:hAnsi="Book Antiqua"/>
        </w:rPr>
        <w:tab/>
        <w:t xml:space="preserve">NPPR, </w:t>
      </w:r>
      <w:r w:rsidRPr="00A22B13">
        <w:rPr>
          <w:rFonts w:ascii="Book Antiqua" w:hAnsi="Book Antiqua"/>
          <w:i/>
          <w:iCs/>
        </w:rPr>
        <w:t>supra</w:t>
      </w:r>
      <w:r w:rsidRPr="00A22B13">
        <w:rPr>
          <w:rFonts w:ascii="Book Antiqua" w:hAnsi="Book Antiqua"/>
        </w:rPr>
        <w:t>, pág. 3</w:t>
      </w:r>
    </w:p>
  </w:footnote>
  <w:footnote w:id="25">
    <w:p w14:paraId="234D229B" w14:textId="36B92275" w:rsidR="008F0BC3" w:rsidRPr="00723F48" w:rsidRDefault="008F0BC3" w:rsidP="00723F48">
      <w:pPr>
        <w:pStyle w:val="FootnoteText"/>
        <w:ind w:left="720" w:hanging="720"/>
        <w:jc w:val="both"/>
        <w:rPr>
          <w:rFonts w:ascii="Book Antiqua" w:hAnsi="Book Antiqua"/>
        </w:rPr>
      </w:pPr>
      <w:r w:rsidRPr="00723F48">
        <w:rPr>
          <w:rStyle w:val="FootnoteReference"/>
          <w:rFonts w:ascii="Book Antiqua" w:hAnsi="Book Antiqua"/>
        </w:rPr>
        <w:footnoteRef/>
      </w:r>
      <w:r w:rsidRPr="00723F48">
        <w:rPr>
          <w:rFonts w:ascii="Book Antiqua" w:hAnsi="Book Antiqua"/>
        </w:rPr>
        <w:t xml:space="preserve"> </w:t>
      </w:r>
      <w:r w:rsidRPr="00723F48">
        <w:rPr>
          <w:rFonts w:ascii="Book Antiqua" w:hAnsi="Book Antiqua"/>
        </w:rPr>
        <w:tab/>
      </w:r>
      <w:r w:rsidRPr="00723F48">
        <w:rPr>
          <w:rFonts w:ascii="Book Antiqua" w:hAnsi="Book Antiqua"/>
          <w:i/>
          <w:iCs/>
        </w:rPr>
        <w:t>Íd</w:t>
      </w:r>
      <w:r w:rsidRPr="00723F48">
        <w:rPr>
          <w:rFonts w:ascii="Book Antiqua" w:hAnsi="Book Antiqua"/>
        </w:rPr>
        <w:t xml:space="preserve">., págs. 2 y 4. </w:t>
      </w:r>
    </w:p>
  </w:footnote>
  <w:footnote w:id="26">
    <w:p w14:paraId="4647DE59" w14:textId="6B6638D9" w:rsidR="008F0BC3" w:rsidRPr="00723F48" w:rsidRDefault="008F0BC3" w:rsidP="00723F48">
      <w:pPr>
        <w:pStyle w:val="FootnoteText"/>
        <w:ind w:left="720" w:hanging="720"/>
        <w:jc w:val="both"/>
        <w:rPr>
          <w:rFonts w:ascii="Book Antiqua" w:hAnsi="Book Antiqua"/>
        </w:rPr>
      </w:pPr>
      <w:r w:rsidRPr="00723F48">
        <w:rPr>
          <w:rStyle w:val="FootnoteReference"/>
          <w:rFonts w:ascii="Book Antiqua" w:hAnsi="Book Antiqua"/>
        </w:rPr>
        <w:footnoteRef/>
      </w:r>
      <w:r w:rsidRPr="00723F48">
        <w:rPr>
          <w:rFonts w:ascii="Book Antiqua" w:hAnsi="Book Antiqua"/>
        </w:rPr>
        <w:t xml:space="preserve"> </w:t>
      </w:r>
      <w:r w:rsidRPr="00723F48">
        <w:rPr>
          <w:rFonts w:ascii="Book Antiqua" w:hAnsi="Book Antiqua"/>
        </w:rPr>
        <w:tab/>
      </w:r>
      <w:r w:rsidRPr="00723F48">
        <w:rPr>
          <w:rFonts w:ascii="Book Antiqua" w:hAnsi="Book Antiqua"/>
          <w:i/>
          <w:iCs/>
        </w:rPr>
        <w:t>Íd</w:t>
      </w:r>
      <w:r w:rsidRPr="00723F48">
        <w:rPr>
          <w:rFonts w:ascii="Book Antiqua" w:hAnsi="Book Antiqua"/>
        </w:rPr>
        <w:t xml:space="preserve">., pág. 4. </w:t>
      </w:r>
    </w:p>
  </w:footnote>
  <w:footnote w:id="27">
    <w:p w14:paraId="565494AC" w14:textId="45154C96" w:rsidR="00994562" w:rsidRPr="00994562" w:rsidRDefault="00994562" w:rsidP="00723F48">
      <w:pPr>
        <w:pStyle w:val="FootnoteText"/>
        <w:ind w:left="720" w:hanging="720"/>
        <w:jc w:val="both"/>
      </w:pPr>
      <w:r w:rsidRPr="00723F48">
        <w:rPr>
          <w:rStyle w:val="FootnoteReference"/>
          <w:rFonts w:ascii="Book Antiqua" w:hAnsi="Book Antiqua"/>
        </w:rPr>
        <w:footnoteRef/>
      </w:r>
      <w:r w:rsidRPr="00723F48">
        <w:rPr>
          <w:rFonts w:ascii="Book Antiqua" w:hAnsi="Book Antiqua"/>
        </w:rPr>
        <w:t xml:space="preserve"> </w:t>
      </w:r>
      <w:r w:rsidRPr="00723F48">
        <w:rPr>
          <w:rFonts w:ascii="Book Antiqua" w:hAnsi="Book Antiqua"/>
        </w:rPr>
        <w:tab/>
        <w:t xml:space="preserve">Oficina de Servicios Legislativos (OSL), </w:t>
      </w:r>
      <w:r w:rsidRPr="00723F48">
        <w:rPr>
          <w:rFonts w:ascii="Book Antiqua" w:hAnsi="Book Antiqua"/>
          <w:i/>
          <w:iCs/>
        </w:rPr>
        <w:t>Memorial Explicativo sobre el P. de la C. 991</w:t>
      </w:r>
      <w:r w:rsidRPr="00723F48">
        <w:rPr>
          <w:rFonts w:ascii="Book Antiqua" w:hAnsi="Book Antiqua"/>
        </w:rPr>
        <w:t>, pág. 1 (20 de febrero de 2026)</w:t>
      </w:r>
    </w:p>
  </w:footnote>
  <w:footnote w:id="28">
    <w:p w14:paraId="1F58B9F4" w14:textId="1BE96C70" w:rsidR="00994562" w:rsidRPr="00104C06" w:rsidRDefault="00994562" w:rsidP="00F7155A">
      <w:pPr>
        <w:pStyle w:val="FootnoteText"/>
        <w:ind w:left="720" w:hanging="720"/>
        <w:jc w:val="both"/>
        <w:rPr>
          <w:rFonts w:ascii="Book Antiqua" w:hAnsi="Book Antiqua"/>
        </w:rPr>
      </w:pPr>
      <w:r w:rsidRPr="00104C06">
        <w:rPr>
          <w:rStyle w:val="FootnoteReference"/>
          <w:rFonts w:ascii="Book Antiqua" w:hAnsi="Book Antiqua"/>
        </w:rPr>
        <w:footnoteRef/>
      </w:r>
      <w:r w:rsidRPr="00104C06">
        <w:rPr>
          <w:rFonts w:ascii="Book Antiqua" w:hAnsi="Book Antiqua"/>
        </w:rPr>
        <w:t xml:space="preserve"> </w:t>
      </w:r>
      <w:r w:rsidRPr="00104C06">
        <w:rPr>
          <w:rFonts w:ascii="Book Antiqua" w:hAnsi="Book Antiqua"/>
        </w:rPr>
        <w:tab/>
      </w:r>
      <w:r w:rsidRPr="00104C06">
        <w:rPr>
          <w:rFonts w:ascii="Book Antiqua" w:hAnsi="Book Antiqua"/>
          <w:i/>
          <w:iCs/>
        </w:rPr>
        <w:t>Íd</w:t>
      </w:r>
      <w:r w:rsidRPr="00104C06">
        <w:rPr>
          <w:rFonts w:ascii="Book Antiqua" w:hAnsi="Book Antiqua"/>
        </w:rPr>
        <w:t xml:space="preserve">., pág. 2. </w:t>
      </w:r>
    </w:p>
  </w:footnote>
  <w:footnote w:id="29">
    <w:p w14:paraId="2BB484D9" w14:textId="34344969" w:rsidR="007B25DE" w:rsidRPr="00777FEA" w:rsidRDefault="007B25DE" w:rsidP="00F7155A">
      <w:pPr>
        <w:pStyle w:val="FootnoteText"/>
        <w:ind w:left="720" w:hanging="720"/>
        <w:jc w:val="both"/>
        <w:rPr>
          <w:rFonts w:ascii="Book Antiqua" w:hAnsi="Book Antiqua"/>
          <w:lang w:val="es-ES"/>
        </w:rPr>
      </w:pPr>
      <w:r w:rsidRPr="00104C06">
        <w:rPr>
          <w:rStyle w:val="FootnoteReference"/>
          <w:rFonts w:ascii="Book Antiqua" w:hAnsi="Book Antiqua"/>
        </w:rPr>
        <w:footnoteRef/>
      </w:r>
      <w:r w:rsidRPr="00104C06">
        <w:rPr>
          <w:rFonts w:ascii="Book Antiqua" w:hAnsi="Book Antiqua"/>
        </w:rPr>
        <w:t xml:space="preserve"> </w:t>
      </w:r>
      <w:r w:rsidRPr="00777FEA">
        <w:rPr>
          <w:rFonts w:ascii="Book Antiqua" w:hAnsi="Book Antiqua"/>
          <w:lang w:val="es-ES"/>
        </w:rPr>
        <w:tab/>
      </w:r>
      <w:r w:rsidR="00F7155A" w:rsidRPr="00104C06">
        <w:rPr>
          <w:rFonts w:ascii="Book Antiqua" w:eastAsia="Times New Roman" w:hAnsi="Book Antiqua" w:cs="Times New Roman"/>
          <w:kern w:val="0"/>
          <w14:ligatures w14:val="none"/>
        </w:rPr>
        <w:t xml:space="preserve">Ley Núm. 155 de 15 de mayo de 1937, según enmendada, conocida como “Ley para disponer sobre los amplificadores o altoparlantes cuando afecten la tranquilidad pública”, 13 LPRA sec. 2101 </w:t>
      </w:r>
      <w:r w:rsidR="00F7155A" w:rsidRPr="00104C06">
        <w:rPr>
          <w:rFonts w:ascii="Book Antiqua" w:eastAsia="Times New Roman" w:hAnsi="Book Antiqua" w:cs="Times New Roman"/>
          <w:i/>
          <w:iCs/>
          <w:kern w:val="0"/>
          <w14:ligatures w14:val="none"/>
        </w:rPr>
        <w:t>et seq</w:t>
      </w:r>
      <w:r w:rsidR="00F7155A" w:rsidRPr="00104C06">
        <w:rPr>
          <w:rFonts w:ascii="Book Antiqua" w:eastAsia="Times New Roman" w:hAnsi="Book Antiqua" w:cs="Times New Roman"/>
          <w:kern w:val="0"/>
          <w14:ligatures w14:val="none"/>
        </w:rPr>
        <w:t>.</w:t>
      </w:r>
    </w:p>
  </w:footnote>
  <w:footnote w:id="30">
    <w:p w14:paraId="20C7B026" w14:textId="07B0E5F8" w:rsidR="007B25DE" w:rsidRPr="00777FEA" w:rsidRDefault="007B25DE" w:rsidP="00F7155A">
      <w:pPr>
        <w:pStyle w:val="FootnoteText"/>
        <w:ind w:left="720" w:hanging="720"/>
        <w:jc w:val="both"/>
        <w:rPr>
          <w:rFonts w:ascii="Book Antiqua" w:hAnsi="Book Antiqua"/>
          <w:lang w:val="es-ES"/>
        </w:rPr>
      </w:pPr>
      <w:r w:rsidRPr="00104C06">
        <w:rPr>
          <w:rStyle w:val="FootnoteReference"/>
          <w:rFonts w:ascii="Book Antiqua" w:hAnsi="Book Antiqua"/>
        </w:rPr>
        <w:footnoteRef/>
      </w:r>
      <w:r w:rsidRPr="00104C06">
        <w:rPr>
          <w:rFonts w:ascii="Book Antiqua" w:hAnsi="Book Antiqua"/>
        </w:rPr>
        <w:t xml:space="preserve"> </w:t>
      </w:r>
      <w:r w:rsidR="00F7155A" w:rsidRPr="00104C06">
        <w:rPr>
          <w:rFonts w:ascii="Book Antiqua" w:hAnsi="Book Antiqua"/>
        </w:rPr>
        <w:tab/>
      </w:r>
      <w:r w:rsidR="00F7155A" w:rsidRPr="00104C06">
        <w:rPr>
          <w:rFonts w:ascii="Book Antiqua" w:eastAsia="Times New Roman" w:hAnsi="Book Antiqua" w:cs="Times New Roman"/>
          <w:kern w:val="0"/>
          <w14:ligatures w14:val="none"/>
        </w:rPr>
        <w:t xml:space="preserve">Ley Núm. 71 de 26 de abril de 1940, según enmendada, conocida como “Ley para suprimir los ruidos innecesarios”, 33 LPRA sec. 1443. </w:t>
      </w:r>
    </w:p>
  </w:footnote>
  <w:footnote w:id="31">
    <w:p w14:paraId="53B06AD9" w14:textId="52D4F5CA" w:rsidR="007B25DE" w:rsidRPr="00777FEA" w:rsidRDefault="007B25DE" w:rsidP="007B25DE">
      <w:pPr>
        <w:pStyle w:val="FootnoteText"/>
        <w:ind w:left="720" w:hanging="720"/>
        <w:jc w:val="both"/>
        <w:rPr>
          <w:rFonts w:ascii="Book Antiqua" w:hAnsi="Book Antiqua"/>
          <w:lang w:val="es-ES"/>
        </w:rPr>
      </w:pPr>
      <w:r w:rsidRPr="00104C06">
        <w:rPr>
          <w:rStyle w:val="FootnoteReference"/>
          <w:rFonts w:ascii="Book Antiqua" w:hAnsi="Book Antiqua"/>
        </w:rPr>
        <w:footnoteRef/>
      </w:r>
      <w:r w:rsidRPr="00104C06">
        <w:rPr>
          <w:rFonts w:ascii="Book Antiqua" w:hAnsi="Book Antiqua"/>
        </w:rPr>
        <w:t xml:space="preserve"> </w:t>
      </w:r>
      <w:r w:rsidRPr="00777FEA">
        <w:rPr>
          <w:rFonts w:ascii="Book Antiqua" w:hAnsi="Book Antiqua"/>
          <w:lang w:val="es-ES"/>
        </w:rPr>
        <w:tab/>
      </w:r>
      <w:r w:rsidRPr="00104C06">
        <w:rPr>
          <w:rFonts w:ascii="Book Antiqua" w:eastAsia="Times New Roman" w:hAnsi="Book Antiqua" w:cs="Times New Roman"/>
          <w:kern w:val="0"/>
          <w14:ligatures w14:val="none"/>
        </w:rPr>
        <w:t xml:space="preserve">Ley Núm. 211 de 23 de julio de 1974, conocida como “Ley para prohibir el uso de altoparlantes o amplificadores en la proximidad de las escuelas públicas o privadas en Puerto Rico”, 18 LPRA sec. 128(a) </w:t>
      </w:r>
      <w:r w:rsidRPr="00104C06">
        <w:rPr>
          <w:rFonts w:ascii="Book Antiqua" w:eastAsia="Times New Roman" w:hAnsi="Book Antiqua" w:cs="Times New Roman"/>
          <w:i/>
          <w:iCs/>
          <w:kern w:val="0"/>
          <w14:ligatures w14:val="none"/>
        </w:rPr>
        <w:t>et seq</w:t>
      </w:r>
      <w:r w:rsidRPr="00104C06">
        <w:rPr>
          <w:rFonts w:ascii="Book Antiqua" w:eastAsia="Times New Roman" w:hAnsi="Book Antiqua" w:cs="Times New Roman"/>
          <w:kern w:val="0"/>
          <w14:ligatures w14:val="none"/>
        </w:rPr>
        <w:t>.</w:t>
      </w:r>
    </w:p>
  </w:footnote>
  <w:footnote w:id="32">
    <w:p w14:paraId="733B0ABD" w14:textId="46D040C5" w:rsidR="007B25DE" w:rsidRPr="00777FEA" w:rsidRDefault="007B25DE">
      <w:pPr>
        <w:pStyle w:val="FootnoteText"/>
        <w:rPr>
          <w:rFonts w:ascii="Book Antiqua" w:hAnsi="Book Antiqua"/>
          <w:lang w:val="es-ES"/>
        </w:rPr>
      </w:pPr>
      <w:r w:rsidRPr="00104C06">
        <w:rPr>
          <w:rStyle w:val="FootnoteReference"/>
          <w:rFonts w:ascii="Book Antiqua" w:hAnsi="Book Antiqua"/>
        </w:rPr>
        <w:footnoteRef/>
      </w:r>
      <w:r w:rsidRPr="00104C06">
        <w:rPr>
          <w:rFonts w:ascii="Book Antiqua" w:hAnsi="Book Antiqua"/>
        </w:rPr>
        <w:t xml:space="preserve"> </w:t>
      </w:r>
      <w:r w:rsidRPr="00777FEA">
        <w:rPr>
          <w:rFonts w:ascii="Book Antiqua" w:hAnsi="Book Antiqua"/>
          <w:lang w:val="es-ES"/>
        </w:rPr>
        <w:tab/>
        <w:t>OSL,</w:t>
      </w:r>
      <w:r w:rsidRPr="00777FEA">
        <w:rPr>
          <w:rFonts w:ascii="Book Antiqua" w:hAnsi="Book Antiqua"/>
          <w:i/>
          <w:iCs/>
          <w:lang w:val="es-ES"/>
        </w:rPr>
        <w:t xml:space="preserve"> supra,</w:t>
      </w:r>
      <w:r w:rsidRPr="00777FEA">
        <w:rPr>
          <w:rFonts w:ascii="Book Antiqua" w:hAnsi="Book Antiqua"/>
          <w:lang w:val="es-ES"/>
        </w:rPr>
        <w:t xml:space="preserve"> pág. 3 y 4. </w:t>
      </w:r>
    </w:p>
  </w:footnote>
  <w:footnote w:id="33">
    <w:p w14:paraId="41659FE9" w14:textId="4499E2A7" w:rsidR="00F7155A" w:rsidRPr="00777FEA" w:rsidRDefault="00F7155A">
      <w:pPr>
        <w:pStyle w:val="FootnoteText"/>
        <w:rPr>
          <w:rFonts w:ascii="Book Antiqua" w:hAnsi="Book Antiqua"/>
          <w:lang w:val="es-ES"/>
        </w:rPr>
      </w:pPr>
      <w:r w:rsidRPr="00104C06">
        <w:rPr>
          <w:rStyle w:val="FootnoteReference"/>
          <w:rFonts w:ascii="Book Antiqua" w:hAnsi="Book Antiqua"/>
        </w:rPr>
        <w:footnoteRef/>
      </w:r>
      <w:r w:rsidRPr="00104C06">
        <w:rPr>
          <w:rFonts w:ascii="Book Antiqua" w:hAnsi="Book Antiqua"/>
        </w:rPr>
        <w:t xml:space="preserve"> </w:t>
      </w:r>
      <w:r w:rsidRPr="00777FEA">
        <w:rPr>
          <w:rFonts w:ascii="Book Antiqua" w:hAnsi="Book Antiqua"/>
          <w:lang w:val="es-ES"/>
        </w:rPr>
        <w:tab/>
      </w:r>
      <w:r w:rsidRPr="00777FEA">
        <w:rPr>
          <w:rFonts w:ascii="Book Antiqua" w:hAnsi="Book Antiqua"/>
          <w:i/>
          <w:iCs/>
          <w:lang w:val="es-ES"/>
        </w:rPr>
        <w:t>Íd</w:t>
      </w:r>
      <w:r w:rsidRPr="00777FEA">
        <w:rPr>
          <w:rFonts w:ascii="Book Antiqua" w:hAnsi="Book Antiqua"/>
          <w:lang w:val="es-ES"/>
        </w:rPr>
        <w:t xml:space="preserve">., pág. 4. </w:t>
      </w:r>
    </w:p>
  </w:footnote>
  <w:footnote w:id="34">
    <w:p w14:paraId="4B44E990" w14:textId="57E4CF81" w:rsidR="00EF09E1" w:rsidRPr="00723F48" w:rsidRDefault="00EF09E1" w:rsidP="00723F48">
      <w:pPr>
        <w:pStyle w:val="FootnoteText"/>
        <w:jc w:val="both"/>
        <w:rPr>
          <w:rFonts w:ascii="Book Antiqua" w:hAnsi="Book Antiqua"/>
          <w:lang w:val="pt-BR"/>
        </w:rPr>
      </w:pPr>
      <w:r w:rsidRPr="00723F48">
        <w:rPr>
          <w:rStyle w:val="FootnoteReference"/>
          <w:rFonts w:ascii="Book Antiqua" w:hAnsi="Book Antiqua"/>
        </w:rPr>
        <w:footnoteRef/>
      </w:r>
      <w:r w:rsidRPr="00A22B13">
        <w:rPr>
          <w:rFonts w:ascii="Book Antiqua" w:hAnsi="Book Antiqua"/>
          <w:lang w:val="pt-BR"/>
        </w:rPr>
        <w:t xml:space="preserve"> </w:t>
      </w:r>
      <w:r w:rsidRPr="00A22B13">
        <w:rPr>
          <w:rFonts w:ascii="Book Antiqua" w:hAnsi="Book Antiqua"/>
          <w:lang w:val="pt-BR"/>
        </w:rPr>
        <w:tab/>
        <w:t xml:space="preserve">Const. PR, Art. </w:t>
      </w:r>
      <w:r w:rsidRPr="00723F48">
        <w:rPr>
          <w:rFonts w:ascii="Book Antiqua" w:hAnsi="Book Antiqua"/>
          <w:lang w:val="pt-BR"/>
        </w:rPr>
        <w:t xml:space="preserve">II, Sec. 2, 1 LPRA citado por OSL, </w:t>
      </w:r>
      <w:r w:rsidRPr="00723F48">
        <w:rPr>
          <w:rFonts w:ascii="Book Antiqua" w:hAnsi="Book Antiqua"/>
          <w:i/>
          <w:iCs/>
          <w:lang w:val="pt-BR"/>
        </w:rPr>
        <w:t>supra</w:t>
      </w:r>
      <w:r w:rsidRPr="00723F48">
        <w:rPr>
          <w:rFonts w:ascii="Book Antiqua" w:hAnsi="Book Antiqua"/>
          <w:lang w:val="pt-BR"/>
        </w:rPr>
        <w:t xml:space="preserve">, pág. 3. </w:t>
      </w:r>
    </w:p>
  </w:footnote>
  <w:footnote w:id="35">
    <w:p w14:paraId="4C0D8971" w14:textId="1E3F30DA" w:rsidR="00723F48" w:rsidRPr="00723F48" w:rsidRDefault="00723F48" w:rsidP="00723F48">
      <w:pPr>
        <w:pStyle w:val="FootnoteText"/>
        <w:jc w:val="both"/>
        <w:rPr>
          <w:rFonts w:ascii="Book Antiqua" w:hAnsi="Book Antiqua"/>
          <w:lang w:val="pt-BR"/>
        </w:rPr>
      </w:pPr>
      <w:r w:rsidRPr="00723F48">
        <w:rPr>
          <w:rStyle w:val="FootnoteReference"/>
          <w:rFonts w:ascii="Book Antiqua" w:hAnsi="Book Antiqua"/>
        </w:rPr>
        <w:footnoteRef/>
      </w:r>
      <w:r w:rsidRPr="00723F48">
        <w:rPr>
          <w:rFonts w:ascii="Book Antiqua" w:hAnsi="Book Antiqua"/>
          <w:lang w:val="pt-BR"/>
        </w:rPr>
        <w:t xml:space="preserve"> </w:t>
      </w:r>
      <w:r w:rsidRPr="00723F48">
        <w:rPr>
          <w:rFonts w:ascii="Book Antiqua" w:hAnsi="Book Antiqua"/>
          <w:lang w:val="pt-BR"/>
        </w:rPr>
        <w:tab/>
        <w:t xml:space="preserve">Const. PR, Art. II, Sec. 8, 1 LPRA citado por OSL, </w:t>
      </w:r>
      <w:r w:rsidRPr="00723F48">
        <w:rPr>
          <w:rFonts w:ascii="Book Antiqua" w:hAnsi="Book Antiqua"/>
          <w:i/>
          <w:iCs/>
          <w:lang w:val="pt-BR"/>
        </w:rPr>
        <w:t>supra</w:t>
      </w:r>
      <w:r w:rsidRPr="00723F48">
        <w:rPr>
          <w:rFonts w:ascii="Book Antiqua" w:hAnsi="Book Antiqua"/>
          <w:lang w:val="pt-BR"/>
        </w:rPr>
        <w:t>, pág. 3.</w:t>
      </w:r>
    </w:p>
  </w:footnote>
  <w:footnote w:id="36">
    <w:p w14:paraId="3483C635" w14:textId="13A79E49" w:rsidR="00723F48" w:rsidRPr="00796F2B" w:rsidRDefault="00723F48" w:rsidP="00723F48">
      <w:pPr>
        <w:pStyle w:val="FootnoteText"/>
        <w:jc w:val="both"/>
        <w:rPr>
          <w:rFonts w:ascii="Book Antiqua" w:hAnsi="Book Antiqua"/>
          <w:lang w:val="pt-BR"/>
        </w:rPr>
      </w:pPr>
      <w:r w:rsidRPr="00796F2B">
        <w:rPr>
          <w:rStyle w:val="FootnoteReference"/>
          <w:rFonts w:ascii="Book Antiqua" w:hAnsi="Book Antiqua"/>
        </w:rPr>
        <w:footnoteRef/>
      </w:r>
      <w:r w:rsidRPr="00796F2B">
        <w:rPr>
          <w:rFonts w:ascii="Book Antiqua" w:hAnsi="Book Antiqua"/>
          <w:lang w:val="pt-BR"/>
        </w:rPr>
        <w:t xml:space="preserve"> </w:t>
      </w:r>
      <w:r w:rsidRPr="00796F2B">
        <w:rPr>
          <w:rFonts w:ascii="Book Antiqua" w:hAnsi="Book Antiqua"/>
          <w:lang w:val="pt-BR"/>
        </w:rPr>
        <w:tab/>
      </w:r>
      <w:r w:rsidRPr="00796F2B">
        <w:rPr>
          <w:rFonts w:ascii="Book Antiqua" w:hAnsi="Book Antiqua"/>
          <w:i/>
          <w:iCs/>
          <w:lang w:val="pt-BR"/>
        </w:rPr>
        <w:t>López Tristani v. Maldonado</w:t>
      </w:r>
      <w:r w:rsidRPr="00796F2B">
        <w:rPr>
          <w:rFonts w:ascii="Book Antiqua" w:hAnsi="Book Antiqua"/>
          <w:lang w:val="pt-BR"/>
        </w:rPr>
        <w:t xml:space="preserve">, 168 DPR 838 (2006) citado por OSL, </w:t>
      </w:r>
      <w:r w:rsidRPr="00796F2B">
        <w:rPr>
          <w:rFonts w:ascii="Book Antiqua" w:hAnsi="Book Antiqua"/>
          <w:i/>
          <w:iCs/>
          <w:lang w:val="pt-BR"/>
        </w:rPr>
        <w:t>supra</w:t>
      </w:r>
      <w:r w:rsidRPr="00796F2B">
        <w:rPr>
          <w:rFonts w:ascii="Book Antiqua" w:hAnsi="Book Antiqua"/>
          <w:lang w:val="pt-BR"/>
        </w:rPr>
        <w:t>, pág. 3.</w:t>
      </w:r>
    </w:p>
  </w:footnote>
  <w:footnote w:id="37">
    <w:p w14:paraId="09786B1E" w14:textId="77777777" w:rsidR="00104C06" w:rsidRPr="00A22B13" w:rsidRDefault="00104C06" w:rsidP="00104C06">
      <w:pPr>
        <w:pStyle w:val="FootnoteText"/>
        <w:rPr>
          <w:rFonts w:ascii="Book Antiqua" w:hAnsi="Book Antiqua"/>
          <w:lang w:val="pt-BR"/>
        </w:rPr>
      </w:pPr>
      <w:r w:rsidRPr="00796F2B">
        <w:rPr>
          <w:rStyle w:val="FootnoteReference"/>
          <w:rFonts w:ascii="Book Antiqua" w:hAnsi="Book Antiqua"/>
        </w:rPr>
        <w:footnoteRef/>
      </w:r>
      <w:r w:rsidRPr="00A22B13">
        <w:rPr>
          <w:rFonts w:ascii="Book Antiqua" w:hAnsi="Book Antiqua"/>
          <w:lang w:val="pt-BR"/>
        </w:rPr>
        <w:t xml:space="preserve"> </w:t>
      </w:r>
      <w:r w:rsidRPr="00A22B13">
        <w:rPr>
          <w:rFonts w:ascii="Book Antiqua" w:hAnsi="Book Antiqua"/>
          <w:lang w:val="pt-BR"/>
        </w:rPr>
        <w:tab/>
      </w:r>
      <w:r w:rsidRPr="00A22B13">
        <w:rPr>
          <w:rFonts w:ascii="Book Antiqua" w:hAnsi="Book Antiqua"/>
          <w:i/>
          <w:iCs/>
          <w:lang w:val="pt-BR"/>
        </w:rPr>
        <w:t>Íd</w:t>
      </w:r>
      <w:r w:rsidRPr="00A22B13">
        <w:rPr>
          <w:rFonts w:ascii="Book Antiqua" w:hAnsi="Book Antiqua"/>
          <w:lang w:val="pt-BR"/>
        </w:rPr>
        <w:t xml:space="preserve">., pág. 5. (Escolios omitidos). </w:t>
      </w:r>
    </w:p>
  </w:footnote>
  <w:footnote w:id="38">
    <w:p w14:paraId="53AA4B1E" w14:textId="1AAB7273" w:rsidR="00995B25" w:rsidRPr="00A22B13" w:rsidRDefault="00995B25">
      <w:pPr>
        <w:pStyle w:val="FootnoteText"/>
        <w:rPr>
          <w:rFonts w:ascii="Book Antiqua" w:hAnsi="Book Antiqua"/>
          <w:lang w:val="pt-BR"/>
        </w:rPr>
      </w:pPr>
      <w:r w:rsidRPr="00796F2B">
        <w:rPr>
          <w:rStyle w:val="FootnoteReference"/>
          <w:rFonts w:ascii="Book Antiqua" w:hAnsi="Book Antiqua"/>
        </w:rPr>
        <w:footnoteRef/>
      </w:r>
      <w:r w:rsidRPr="00A22B13">
        <w:rPr>
          <w:rFonts w:ascii="Book Antiqua" w:hAnsi="Book Antiqua"/>
          <w:lang w:val="pt-BR"/>
        </w:rPr>
        <w:t xml:space="preserve"> </w:t>
      </w:r>
      <w:r w:rsidRPr="00A22B13">
        <w:rPr>
          <w:rFonts w:ascii="Book Antiqua" w:hAnsi="Book Antiqua"/>
          <w:lang w:val="pt-BR"/>
        </w:rPr>
        <w:tab/>
      </w:r>
      <w:r w:rsidRPr="00A22B13">
        <w:rPr>
          <w:rFonts w:ascii="Book Antiqua" w:hAnsi="Book Antiqua"/>
          <w:i/>
          <w:iCs/>
          <w:lang w:val="pt-BR"/>
        </w:rPr>
        <w:t>Íd</w:t>
      </w:r>
      <w:r w:rsidRPr="00A22B13">
        <w:rPr>
          <w:rFonts w:ascii="Book Antiqua" w:hAnsi="Book Antiqua"/>
          <w:lang w:val="pt-BR"/>
        </w:rPr>
        <w:t>. Pág. 5</w:t>
      </w:r>
    </w:p>
  </w:footnote>
  <w:footnote w:id="39">
    <w:p w14:paraId="0A94C4D7" w14:textId="63D51445" w:rsidR="00995B25" w:rsidRPr="00777FEA" w:rsidRDefault="00995B25">
      <w:pPr>
        <w:pStyle w:val="FootnoteText"/>
        <w:rPr>
          <w:lang w:val="es-ES"/>
        </w:rPr>
      </w:pPr>
      <w:r w:rsidRPr="00796F2B">
        <w:rPr>
          <w:rStyle w:val="FootnoteReference"/>
          <w:rFonts w:ascii="Book Antiqua" w:hAnsi="Book Antiqua"/>
        </w:rPr>
        <w:footnoteRef/>
      </w:r>
      <w:r w:rsidRPr="00796F2B">
        <w:rPr>
          <w:rFonts w:ascii="Book Antiqua" w:hAnsi="Book Antiqua"/>
        </w:rPr>
        <w:t xml:space="preserve"> </w:t>
      </w:r>
      <w:r w:rsidRPr="00777FEA">
        <w:rPr>
          <w:rFonts w:ascii="Book Antiqua" w:hAnsi="Book Antiqua"/>
          <w:lang w:val="es-ES"/>
        </w:rPr>
        <w:tab/>
      </w:r>
      <w:r w:rsidRPr="00777FEA">
        <w:rPr>
          <w:rFonts w:ascii="Book Antiqua" w:hAnsi="Book Antiqua"/>
          <w:i/>
          <w:iCs/>
          <w:lang w:val="es-ES"/>
        </w:rPr>
        <w:t>Íd</w:t>
      </w:r>
      <w:r w:rsidRPr="00777FEA">
        <w:rPr>
          <w:rFonts w:ascii="Book Antiqua" w:hAnsi="Book Antiqua"/>
          <w:lang w:val="es-ES"/>
        </w:rPr>
        <w:t>., pág 5-6 y anejo, págs. 1-</w:t>
      </w:r>
      <w:r w:rsidR="00796F2B" w:rsidRPr="00777FEA">
        <w:rPr>
          <w:rFonts w:ascii="Book Antiqua" w:hAnsi="Book Antiqua"/>
          <w:lang w:val="es-ES"/>
        </w:rPr>
        <w:t>12.</w:t>
      </w:r>
      <w:r w:rsidR="00796F2B" w:rsidRPr="00777FEA">
        <w:rPr>
          <w:lang w:val="es-ES"/>
        </w:rPr>
        <w:t xml:space="preserve"> </w:t>
      </w:r>
    </w:p>
  </w:footnote>
  <w:footnote w:id="40">
    <w:p w14:paraId="5E50AE87" w14:textId="39206903" w:rsidR="00B95257" w:rsidRPr="00EF09E1" w:rsidRDefault="00B95257" w:rsidP="00723F48">
      <w:pPr>
        <w:pStyle w:val="FootnoteText"/>
        <w:ind w:left="720" w:hanging="720"/>
        <w:jc w:val="both"/>
        <w:rPr>
          <w:rFonts w:ascii="Book Antiqua" w:hAnsi="Book Antiqua"/>
        </w:rPr>
      </w:pPr>
      <w:r w:rsidRPr="00723F48">
        <w:rPr>
          <w:rStyle w:val="FootnoteReference"/>
          <w:rFonts w:ascii="Book Antiqua" w:hAnsi="Book Antiqua"/>
        </w:rPr>
        <w:footnoteRef/>
      </w:r>
      <w:r w:rsidRPr="00723F48">
        <w:rPr>
          <w:rFonts w:ascii="Book Antiqua" w:hAnsi="Book Antiqua"/>
        </w:rPr>
        <w:t xml:space="preserve"> </w:t>
      </w:r>
      <w:r w:rsidR="00773E0B" w:rsidRPr="00723F48">
        <w:rPr>
          <w:rFonts w:ascii="Book Antiqua" w:hAnsi="Book Antiqua"/>
        </w:rPr>
        <w:tab/>
        <w:t xml:space="preserve">Oficina de Presupuesto de la Asamblea Legislativa (OPAL), </w:t>
      </w:r>
      <w:r w:rsidR="007F28C0" w:rsidRPr="00723F48">
        <w:rPr>
          <w:rFonts w:ascii="Book Antiqua" w:hAnsi="Book Antiqua"/>
          <w:i/>
          <w:iCs/>
        </w:rPr>
        <w:t>Informe sobre el Efecto Fiscal del Proyecto de la Cámara 991</w:t>
      </w:r>
      <w:r w:rsidR="007F28C0" w:rsidRPr="00723F48">
        <w:rPr>
          <w:rFonts w:ascii="Book Antiqua" w:hAnsi="Book Antiqua"/>
        </w:rPr>
        <w:t>, Informe 2026-361, pág. 7 (febrero 2026).</w:t>
      </w:r>
      <w:r w:rsidR="007F28C0" w:rsidRPr="00EF09E1">
        <w:rPr>
          <w:rFonts w:ascii="Book Antiqua" w:hAnsi="Book Antiqua"/>
        </w:rPr>
        <w:t xml:space="preserve"> </w:t>
      </w:r>
    </w:p>
  </w:footnote>
  <w:footnote w:id="41">
    <w:p w14:paraId="0D50EDD2" w14:textId="307596E4" w:rsidR="00773E0B" w:rsidRPr="00773E0B" w:rsidRDefault="00773E0B" w:rsidP="007F28C0">
      <w:pPr>
        <w:pStyle w:val="FootnoteText"/>
        <w:ind w:left="720" w:hanging="720"/>
        <w:jc w:val="both"/>
      </w:pPr>
      <w:r w:rsidRPr="00EF09E1">
        <w:rPr>
          <w:rStyle w:val="FootnoteReference"/>
          <w:rFonts w:ascii="Book Antiqua" w:hAnsi="Book Antiqua"/>
        </w:rPr>
        <w:footnoteRef/>
      </w:r>
      <w:r w:rsidRPr="00EF09E1">
        <w:rPr>
          <w:rFonts w:ascii="Book Antiqua" w:hAnsi="Book Antiqua"/>
        </w:rPr>
        <w:t xml:space="preserve"> </w:t>
      </w:r>
      <w:r w:rsidRPr="00EF09E1">
        <w:rPr>
          <w:rFonts w:ascii="Book Antiqua" w:hAnsi="Book Antiqua"/>
        </w:rPr>
        <w:tab/>
      </w:r>
      <w:r w:rsidR="007F28C0" w:rsidRPr="00EF09E1">
        <w:rPr>
          <w:rFonts w:ascii="Book Antiqua" w:hAnsi="Book Antiqua"/>
          <w:i/>
          <w:iCs/>
        </w:rPr>
        <w:t>Íd</w:t>
      </w:r>
      <w:r w:rsidR="007F28C0" w:rsidRPr="00EF09E1">
        <w:rPr>
          <w:rFonts w:ascii="Book Antiqua" w:hAnsi="Book Antiqua"/>
        </w:rPr>
        <w:t>., pág. 8.</w:t>
      </w:r>
      <w:r w:rsidR="007F28C0">
        <w:t xml:space="preserve"> </w:t>
      </w:r>
    </w:p>
  </w:footnote>
  <w:footnote w:id="42">
    <w:p w14:paraId="5AE72E5C" w14:textId="4E015801" w:rsidR="00E5218B" w:rsidRPr="00777FEA" w:rsidRDefault="00E5218B">
      <w:pPr>
        <w:pStyle w:val="FootnoteText"/>
        <w:rPr>
          <w:rFonts w:ascii="Book Antiqua" w:hAnsi="Book Antiqua"/>
          <w:lang w:val="es-ES"/>
        </w:rPr>
      </w:pPr>
      <w:r w:rsidRPr="00E5218B">
        <w:rPr>
          <w:rStyle w:val="FootnoteReference"/>
          <w:rFonts w:ascii="Book Antiqua" w:hAnsi="Book Antiqua"/>
        </w:rPr>
        <w:footnoteRef/>
      </w:r>
      <w:r w:rsidRPr="00E5218B">
        <w:rPr>
          <w:rFonts w:ascii="Book Antiqua" w:hAnsi="Book Antiqua"/>
        </w:rPr>
        <w:t xml:space="preserve"> </w:t>
      </w:r>
      <w:r w:rsidRPr="00777FEA">
        <w:rPr>
          <w:rFonts w:ascii="Book Antiqua" w:hAnsi="Book Antiqua"/>
          <w:lang w:val="es-ES"/>
        </w:rPr>
        <w:tab/>
        <w:t xml:space="preserve">OPAL, </w:t>
      </w:r>
      <w:r w:rsidRPr="00777FEA">
        <w:rPr>
          <w:rFonts w:ascii="Book Antiqua" w:hAnsi="Book Antiqua"/>
          <w:i/>
          <w:iCs/>
          <w:lang w:val="es-ES"/>
        </w:rPr>
        <w:t>supra</w:t>
      </w:r>
      <w:r w:rsidRPr="00777FEA">
        <w:rPr>
          <w:rFonts w:ascii="Book Antiqua" w:hAnsi="Book Antiqua"/>
          <w:lang w:val="es-ES"/>
        </w:rPr>
        <w:t xml:space="preserve">, pág. 1.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020810"/>
    <w:multiLevelType w:val="hybridMultilevel"/>
    <w:tmpl w:val="1162603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1F017D"/>
    <w:multiLevelType w:val="hybridMultilevel"/>
    <w:tmpl w:val="8CD8A00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50347B6"/>
    <w:multiLevelType w:val="hybridMultilevel"/>
    <w:tmpl w:val="CDEC697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AE15AF0"/>
    <w:multiLevelType w:val="hybridMultilevel"/>
    <w:tmpl w:val="D41E1A4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C2411CB"/>
    <w:multiLevelType w:val="hybridMultilevel"/>
    <w:tmpl w:val="F2C058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BB54F6D"/>
    <w:multiLevelType w:val="hybridMultilevel"/>
    <w:tmpl w:val="65A6FE8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1B35935"/>
    <w:multiLevelType w:val="hybridMultilevel"/>
    <w:tmpl w:val="411071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6AAD4EC9"/>
    <w:multiLevelType w:val="hybridMultilevel"/>
    <w:tmpl w:val="78EA1184"/>
    <w:lvl w:ilvl="0" w:tplc="597205F8">
      <w:start w:val="1"/>
      <w:numFmt w:val="decimal"/>
      <w:lvlText w:val="%1."/>
      <w:lvlJc w:val="left"/>
      <w:pPr>
        <w:ind w:left="1440" w:hanging="360"/>
      </w:pPr>
      <w:rPr>
        <w:i w:val="0"/>
        <w:i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334961873">
    <w:abstractNumId w:val="5"/>
  </w:num>
  <w:num w:numId="2" w16cid:durableId="1796752155">
    <w:abstractNumId w:val="4"/>
  </w:num>
  <w:num w:numId="3" w16cid:durableId="1833058163">
    <w:abstractNumId w:val="7"/>
  </w:num>
  <w:num w:numId="4" w16cid:durableId="151996382">
    <w:abstractNumId w:val="6"/>
  </w:num>
  <w:num w:numId="5" w16cid:durableId="1383552919">
    <w:abstractNumId w:val="2"/>
  </w:num>
  <w:num w:numId="6" w16cid:durableId="760948948">
    <w:abstractNumId w:val="1"/>
  </w:num>
  <w:num w:numId="7" w16cid:durableId="372921983">
    <w:abstractNumId w:val="0"/>
  </w:num>
  <w:num w:numId="8" w16cid:durableId="12351661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AF0"/>
    <w:rsid w:val="00040D99"/>
    <w:rsid w:val="00047647"/>
    <w:rsid w:val="00053B4D"/>
    <w:rsid w:val="00055081"/>
    <w:rsid w:val="0006062E"/>
    <w:rsid w:val="00061CAD"/>
    <w:rsid w:val="00075E43"/>
    <w:rsid w:val="00083DB6"/>
    <w:rsid w:val="00087E69"/>
    <w:rsid w:val="000916F8"/>
    <w:rsid w:val="000A235C"/>
    <w:rsid w:val="000B275E"/>
    <w:rsid w:val="000C0ECB"/>
    <w:rsid w:val="000C24DA"/>
    <w:rsid w:val="000C5343"/>
    <w:rsid w:val="000E3027"/>
    <w:rsid w:val="00104C06"/>
    <w:rsid w:val="0011500D"/>
    <w:rsid w:val="00121035"/>
    <w:rsid w:val="00130008"/>
    <w:rsid w:val="0013170B"/>
    <w:rsid w:val="0014295A"/>
    <w:rsid w:val="00155FF4"/>
    <w:rsid w:val="001578CC"/>
    <w:rsid w:val="0016410A"/>
    <w:rsid w:val="001702D3"/>
    <w:rsid w:val="00184D12"/>
    <w:rsid w:val="001B0795"/>
    <w:rsid w:val="001B1548"/>
    <w:rsid w:val="001B4EAF"/>
    <w:rsid w:val="001D0744"/>
    <w:rsid w:val="001E5D6C"/>
    <w:rsid w:val="001F12B4"/>
    <w:rsid w:val="001F5CAD"/>
    <w:rsid w:val="0020165B"/>
    <w:rsid w:val="00247570"/>
    <w:rsid w:val="002554B3"/>
    <w:rsid w:val="002753B7"/>
    <w:rsid w:val="002928F0"/>
    <w:rsid w:val="002B5A25"/>
    <w:rsid w:val="002C132D"/>
    <w:rsid w:val="002D3140"/>
    <w:rsid w:val="002D578F"/>
    <w:rsid w:val="00304481"/>
    <w:rsid w:val="00312586"/>
    <w:rsid w:val="00312DC8"/>
    <w:rsid w:val="003266A4"/>
    <w:rsid w:val="003277A2"/>
    <w:rsid w:val="0034479D"/>
    <w:rsid w:val="0034567B"/>
    <w:rsid w:val="00352764"/>
    <w:rsid w:val="00392771"/>
    <w:rsid w:val="00394C77"/>
    <w:rsid w:val="003A73E0"/>
    <w:rsid w:val="003B622A"/>
    <w:rsid w:val="003C46E5"/>
    <w:rsid w:val="003C54BF"/>
    <w:rsid w:val="003D0453"/>
    <w:rsid w:val="00406F4D"/>
    <w:rsid w:val="00417087"/>
    <w:rsid w:val="004267E1"/>
    <w:rsid w:val="004316C7"/>
    <w:rsid w:val="00433876"/>
    <w:rsid w:val="00440A59"/>
    <w:rsid w:val="00445064"/>
    <w:rsid w:val="00481388"/>
    <w:rsid w:val="00485951"/>
    <w:rsid w:val="004A4E99"/>
    <w:rsid w:val="004A5647"/>
    <w:rsid w:val="004B2A29"/>
    <w:rsid w:val="004D0894"/>
    <w:rsid w:val="004D44C6"/>
    <w:rsid w:val="004E0F19"/>
    <w:rsid w:val="004E197E"/>
    <w:rsid w:val="00596031"/>
    <w:rsid w:val="005B7DE9"/>
    <w:rsid w:val="005C2470"/>
    <w:rsid w:val="005C6849"/>
    <w:rsid w:val="005E118E"/>
    <w:rsid w:val="005F1DDC"/>
    <w:rsid w:val="0060366D"/>
    <w:rsid w:val="00606FF2"/>
    <w:rsid w:val="0061551C"/>
    <w:rsid w:val="00647DED"/>
    <w:rsid w:val="006548AD"/>
    <w:rsid w:val="00663D4E"/>
    <w:rsid w:val="00667221"/>
    <w:rsid w:val="006736F9"/>
    <w:rsid w:val="00675DC7"/>
    <w:rsid w:val="00683501"/>
    <w:rsid w:val="006B6D43"/>
    <w:rsid w:val="006B79E0"/>
    <w:rsid w:val="006C6ADE"/>
    <w:rsid w:val="006F61CA"/>
    <w:rsid w:val="00702959"/>
    <w:rsid w:val="007119D0"/>
    <w:rsid w:val="00723F48"/>
    <w:rsid w:val="007323D1"/>
    <w:rsid w:val="00737B6A"/>
    <w:rsid w:val="00763E52"/>
    <w:rsid w:val="0076518E"/>
    <w:rsid w:val="007703AC"/>
    <w:rsid w:val="00773E0B"/>
    <w:rsid w:val="0077572B"/>
    <w:rsid w:val="00777FEA"/>
    <w:rsid w:val="0078577E"/>
    <w:rsid w:val="007908EA"/>
    <w:rsid w:val="00792C46"/>
    <w:rsid w:val="00796F2B"/>
    <w:rsid w:val="007A354B"/>
    <w:rsid w:val="007B25DE"/>
    <w:rsid w:val="007B7CBC"/>
    <w:rsid w:val="007D7A61"/>
    <w:rsid w:val="007E23F0"/>
    <w:rsid w:val="007F1076"/>
    <w:rsid w:val="007F28C0"/>
    <w:rsid w:val="00804BB9"/>
    <w:rsid w:val="00823C21"/>
    <w:rsid w:val="008330D0"/>
    <w:rsid w:val="00845457"/>
    <w:rsid w:val="00860EC4"/>
    <w:rsid w:val="00862A5F"/>
    <w:rsid w:val="0086387D"/>
    <w:rsid w:val="00864F41"/>
    <w:rsid w:val="008738C6"/>
    <w:rsid w:val="0088202B"/>
    <w:rsid w:val="00884D33"/>
    <w:rsid w:val="00887245"/>
    <w:rsid w:val="008A26CD"/>
    <w:rsid w:val="008A4272"/>
    <w:rsid w:val="008A7707"/>
    <w:rsid w:val="008B2205"/>
    <w:rsid w:val="008C3B2E"/>
    <w:rsid w:val="008D7891"/>
    <w:rsid w:val="008D7B18"/>
    <w:rsid w:val="008D7B2F"/>
    <w:rsid w:val="008E59D2"/>
    <w:rsid w:val="008F0BC3"/>
    <w:rsid w:val="008F2720"/>
    <w:rsid w:val="008F5773"/>
    <w:rsid w:val="008F6046"/>
    <w:rsid w:val="0091317D"/>
    <w:rsid w:val="00942268"/>
    <w:rsid w:val="009471DA"/>
    <w:rsid w:val="00947E8C"/>
    <w:rsid w:val="00950C35"/>
    <w:rsid w:val="00954241"/>
    <w:rsid w:val="009722AA"/>
    <w:rsid w:val="009735EC"/>
    <w:rsid w:val="00981BC4"/>
    <w:rsid w:val="0098281E"/>
    <w:rsid w:val="00994562"/>
    <w:rsid w:val="00995B25"/>
    <w:rsid w:val="009A0011"/>
    <w:rsid w:val="009A0D1F"/>
    <w:rsid w:val="009C5642"/>
    <w:rsid w:val="009D7122"/>
    <w:rsid w:val="009D76F2"/>
    <w:rsid w:val="009D7DC8"/>
    <w:rsid w:val="00A158BE"/>
    <w:rsid w:val="00A22B13"/>
    <w:rsid w:val="00A350FB"/>
    <w:rsid w:val="00A54AF0"/>
    <w:rsid w:val="00A54B52"/>
    <w:rsid w:val="00A5783E"/>
    <w:rsid w:val="00A6114B"/>
    <w:rsid w:val="00A7082D"/>
    <w:rsid w:val="00A70C64"/>
    <w:rsid w:val="00A82641"/>
    <w:rsid w:val="00A92D7C"/>
    <w:rsid w:val="00A931F0"/>
    <w:rsid w:val="00A96E54"/>
    <w:rsid w:val="00AB0792"/>
    <w:rsid w:val="00AB7D4B"/>
    <w:rsid w:val="00AC04B8"/>
    <w:rsid w:val="00AC09D2"/>
    <w:rsid w:val="00AC29DB"/>
    <w:rsid w:val="00AC6B4B"/>
    <w:rsid w:val="00AD79E9"/>
    <w:rsid w:val="00B068A6"/>
    <w:rsid w:val="00B07592"/>
    <w:rsid w:val="00B33B22"/>
    <w:rsid w:val="00B33F20"/>
    <w:rsid w:val="00B42E74"/>
    <w:rsid w:val="00B44FB9"/>
    <w:rsid w:val="00B638D1"/>
    <w:rsid w:val="00B67C4D"/>
    <w:rsid w:val="00B71591"/>
    <w:rsid w:val="00B744D2"/>
    <w:rsid w:val="00B74E57"/>
    <w:rsid w:val="00B7618F"/>
    <w:rsid w:val="00B7735E"/>
    <w:rsid w:val="00B87248"/>
    <w:rsid w:val="00B95257"/>
    <w:rsid w:val="00BA6477"/>
    <w:rsid w:val="00BC7974"/>
    <w:rsid w:val="00BD214E"/>
    <w:rsid w:val="00BE1162"/>
    <w:rsid w:val="00C1455B"/>
    <w:rsid w:val="00C36EC1"/>
    <w:rsid w:val="00C4278A"/>
    <w:rsid w:val="00C56DFB"/>
    <w:rsid w:val="00C63D1B"/>
    <w:rsid w:val="00C75809"/>
    <w:rsid w:val="00CA0E1C"/>
    <w:rsid w:val="00CA12CB"/>
    <w:rsid w:val="00CB1979"/>
    <w:rsid w:val="00CE0FE5"/>
    <w:rsid w:val="00CE4CF6"/>
    <w:rsid w:val="00CF6184"/>
    <w:rsid w:val="00D02CDF"/>
    <w:rsid w:val="00D03212"/>
    <w:rsid w:val="00D11501"/>
    <w:rsid w:val="00D120B5"/>
    <w:rsid w:val="00D21B1F"/>
    <w:rsid w:val="00D36E37"/>
    <w:rsid w:val="00D6171B"/>
    <w:rsid w:val="00D6465F"/>
    <w:rsid w:val="00D92DD5"/>
    <w:rsid w:val="00D97AD8"/>
    <w:rsid w:val="00DA1B24"/>
    <w:rsid w:val="00DA35FB"/>
    <w:rsid w:val="00DD08D2"/>
    <w:rsid w:val="00DD76F7"/>
    <w:rsid w:val="00E31E91"/>
    <w:rsid w:val="00E4286A"/>
    <w:rsid w:val="00E5218B"/>
    <w:rsid w:val="00E53500"/>
    <w:rsid w:val="00E90FB6"/>
    <w:rsid w:val="00E92C53"/>
    <w:rsid w:val="00E95661"/>
    <w:rsid w:val="00E97F9B"/>
    <w:rsid w:val="00EC3642"/>
    <w:rsid w:val="00EE614E"/>
    <w:rsid w:val="00EE7EF2"/>
    <w:rsid w:val="00EF09E1"/>
    <w:rsid w:val="00EF2D95"/>
    <w:rsid w:val="00F06CD1"/>
    <w:rsid w:val="00F0725D"/>
    <w:rsid w:val="00F36C67"/>
    <w:rsid w:val="00F461C6"/>
    <w:rsid w:val="00F523E4"/>
    <w:rsid w:val="00F7155A"/>
    <w:rsid w:val="00F751C1"/>
    <w:rsid w:val="00F96831"/>
    <w:rsid w:val="00FA0580"/>
    <w:rsid w:val="00FA26CD"/>
    <w:rsid w:val="00FA73BD"/>
    <w:rsid w:val="00FC14A5"/>
    <w:rsid w:val="00FC5548"/>
    <w:rsid w:val="00FE03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FEEC3"/>
  <w15:chartTrackingRefBased/>
  <w15:docId w15:val="{B1F25BE9-FB9C-4A2C-ACF4-6EB953A52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4AF0"/>
    <w:rPr>
      <w:lang w:val="es-PR"/>
    </w:rPr>
  </w:style>
  <w:style w:type="paragraph" w:styleId="Heading1">
    <w:name w:val="heading 1"/>
    <w:basedOn w:val="Normal"/>
    <w:next w:val="Normal"/>
    <w:link w:val="Heading1Char"/>
    <w:uiPriority w:val="9"/>
    <w:qFormat/>
    <w:rsid w:val="00A54A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4A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4A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4A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4A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4A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4A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4A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4A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AF0"/>
    <w:rPr>
      <w:rFonts w:asciiTheme="majorHAnsi" w:eastAsiaTheme="majorEastAsia" w:hAnsiTheme="majorHAnsi" w:cstheme="majorBidi"/>
      <w:color w:val="0F4761" w:themeColor="accent1" w:themeShade="BF"/>
      <w:sz w:val="40"/>
      <w:szCs w:val="40"/>
      <w:lang w:val="es-PR"/>
    </w:rPr>
  </w:style>
  <w:style w:type="character" w:customStyle="1" w:styleId="Heading2Char">
    <w:name w:val="Heading 2 Char"/>
    <w:basedOn w:val="DefaultParagraphFont"/>
    <w:link w:val="Heading2"/>
    <w:uiPriority w:val="9"/>
    <w:semiHidden/>
    <w:rsid w:val="00A54AF0"/>
    <w:rPr>
      <w:rFonts w:asciiTheme="majorHAnsi" w:eastAsiaTheme="majorEastAsia" w:hAnsiTheme="majorHAnsi" w:cstheme="majorBidi"/>
      <w:color w:val="0F4761" w:themeColor="accent1" w:themeShade="BF"/>
      <w:sz w:val="32"/>
      <w:szCs w:val="32"/>
      <w:lang w:val="es-PR"/>
    </w:rPr>
  </w:style>
  <w:style w:type="character" w:customStyle="1" w:styleId="Heading3Char">
    <w:name w:val="Heading 3 Char"/>
    <w:basedOn w:val="DefaultParagraphFont"/>
    <w:link w:val="Heading3"/>
    <w:uiPriority w:val="9"/>
    <w:semiHidden/>
    <w:rsid w:val="00A54AF0"/>
    <w:rPr>
      <w:rFonts w:eastAsiaTheme="majorEastAsia" w:cstheme="majorBidi"/>
      <w:color w:val="0F4761" w:themeColor="accent1" w:themeShade="BF"/>
      <w:sz w:val="28"/>
      <w:szCs w:val="28"/>
      <w:lang w:val="es-PR"/>
    </w:rPr>
  </w:style>
  <w:style w:type="character" w:customStyle="1" w:styleId="Heading4Char">
    <w:name w:val="Heading 4 Char"/>
    <w:basedOn w:val="DefaultParagraphFont"/>
    <w:link w:val="Heading4"/>
    <w:uiPriority w:val="9"/>
    <w:semiHidden/>
    <w:rsid w:val="00A54AF0"/>
    <w:rPr>
      <w:rFonts w:eastAsiaTheme="majorEastAsia" w:cstheme="majorBidi"/>
      <w:i/>
      <w:iCs/>
      <w:color w:val="0F4761" w:themeColor="accent1" w:themeShade="BF"/>
      <w:lang w:val="es-PR"/>
    </w:rPr>
  </w:style>
  <w:style w:type="character" w:customStyle="1" w:styleId="Heading5Char">
    <w:name w:val="Heading 5 Char"/>
    <w:basedOn w:val="DefaultParagraphFont"/>
    <w:link w:val="Heading5"/>
    <w:uiPriority w:val="9"/>
    <w:semiHidden/>
    <w:rsid w:val="00A54AF0"/>
    <w:rPr>
      <w:rFonts w:eastAsiaTheme="majorEastAsia" w:cstheme="majorBidi"/>
      <w:color w:val="0F4761" w:themeColor="accent1" w:themeShade="BF"/>
      <w:lang w:val="es-PR"/>
    </w:rPr>
  </w:style>
  <w:style w:type="character" w:customStyle="1" w:styleId="Heading6Char">
    <w:name w:val="Heading 6 Char"/>
    <w:basedOn w:val="DefaultParagraphFont"/>
    <w:link w:val="Heading6"/>
    <w:uiPriority w:val="9"/>
    <w:semiHidden/>
    <w:rsid w:val="00A54AF0"/>
    <w:rPr>
      <w:rFonts w:eastAsiaTheme="majorEastAsia" w:cstheme="majorBidi"/>
      <w:i/>
      <w:iCs/>
      <w:color w:val="595959" w:themeColor="text1" w:themeTint="A6"/>
      <w:lang w:val="es-PR"/>
    </w:rPr>
  </w:style>
  <w:style w:type="character" w:customStyle="1" w:styleId="Heading7Char">
    <w:name w:val="Heading 7 Char"/>
    <w:basedOn w:val="DefaultParagraphFont"/>
    <w:link w:val="Heading7"/>
    <w:uiPriority w:val="9"/>
    <w:semiHidden/>
    <w:rsid w:val="00A54AF0"/>
    <w:rPr>
      <w:rFonts w:eastAsiaTheme="majorEastAsia" w:cstheme="majorBidi"/>
      <w:color w:val="595959" w:themeColor="text1" w:themeTint="A6"/>
      <w:lang w:val="es-PR"/>
    </w:rPr>
  </w:style>
  <w:style w:type="character" w:customStyle="1" w:styleId="Heading8Char">
    <w:name w:val="Heading 8 Char"/>
    <w:basedOn w:val="DefaultParagraphFont"/>
    <w:link w:val="Heading8"/>
    <w:uiPriority w:val="9"/>
    <w:semiHidden/>
    <w:rsid w:val="00A54AF0"/>
    <w:rPr>
      <w:rFonts w:eastAsiaTheme="majorEastAsia" w:cstheme="majorBidi"/>
      <w:i/>
      <w:iCs/>
      <w:color w:val="272727" w:themeColor="text1" w:themeTint="D8"/>
      <w:lang w:val="es-PR"/>
    </w:rPr>
  </w:style>
  <w:style w:type="character" w:customStyle="1" w:styleId="Heading9Char">
    <w:name w:val="Heading 9 Char"/>
    <w:basedOn w:val="DefaultParagraphFont"/>
    <w:link w:val="Heading9"/>
    <w:uiPriority w:val="9"/>
    <w:semiHidden/>
    <w:rsid w:val="00A54AF0"/>
    <w:rPr>
      <w:rFonts w:eastAsiaTheme="majorEastAsia" w:cstheme="majorBidi"/>
      <w:color w:val="272727" w:themeColor="text1" w:themeTint="D8"/>
      <w:lang w:val="es-PR"/>
    </w:rPr>
  </w:style>
  <w:style w:type="paragraph" w:styleId="Title">
    <w:name w:val="Title"/>
    <w:basedOn w:val="Normal"/>
    <w:next w:val="Normal"/>
    <w:link w:val="TitleChar"/>
    <w:uiPriority w:val="10"/>
    <w:qFormat/>
    <w:rsid w:val="00A54A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4AF0"/>
    <w:rPr>
      <w:rFonts w:asciiTheme="majorHAnsi" w:eastAsiaTheme="majorEastAsia" w:hAnsiTheme="majorHAnsi" w:cstheme="majorBidi"/>
      <w:spacing w:val="-10"/>
      <w:kern w:val="28"/>
      <w:sz w:val="56"/>
      <w:szCs w:val="56"/>
      <w:lang w:val="es-PR"/>
    </w:rPr>
  </w:style>
  <w:style w:type="paragraph" w:styleId="Subtitle">
    <w:name w:val="Subtitle"/>
    <w:basedOn w:val="Normal"/>
    <w:next w:val="Normal"/>
    <w:link w:val="SubtitleChar"/>
    <w:uiPriority w:val="11"/>
    <w:qFormat/>
    <w:rsid w:val="00A54A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4AF0"/>
    <w:rPr>
      <w:rFonts w:eastAsiaTheme="majorEastAsia" w:cstheme="majorBidi"/>
      <w:color w:val="595959" w:themeColor="text1" w:themeTint="A6"/>
      <w:spacing w:val="15"/>
      <w:sz w:val="28"/>
      <w:szCs w:val="28"/>
      <w:lang w:val="es-PR"/>
    </w:rPr>
  </w:style>
  <w:style w:type="paragraph" w:styleId="Quote">
    <w:name w:val="Quote"/>
    <w:basedOn w:val="Normal"/>
    <w:next w:val="Normal"/>
    <w:link w:val="QuoteChar"/>
    <w:uiPriority w:val="29"/>
    <w:qFormat/>
    <w:rsid w:val="00A54AF0"/>
    <w:pPr>
      <w:spacing w:before="160"/>
      <w:jc w:val="center"/>
    </w:pPr>
    <w:rPr>
      <w:i/>
      <w:iCs/>
      <w:color w:val="404040" w:themeColor="text1" w:themeTint="BF"/>
    </w:rPr>
  </w:style>
  <w:style w:type="character" w:customStyle="1" w:styleId="QuoteChar">
    <w:name w:val="Quote Char"/>
    <w:basedOn w:val="DefaultParagraphFont"/>
    <w:link w:val="Quote"/>
    <w:uiPriority w:val="29"/>
    <w:rsid w:val="00A54AF0"/>
    <w:rPr>
      <w:i/>
      <w:iCs/>
      <w:color w:val="404040" w:themeColor="text1" w:themeTint="BF"/>
      <w:lang w:val="es-PR"/>
    </w:rPr>
  </w:style>
  <w:style w:type="paragraph" w:styleId="ListParagraph">
    <w:name w:val="List Paragraph"/>
    <w:basedOn w:val="Normal"/>
    <w:uiPriority w:val="34"/>
    <w:qFormat/>
    <w:rsid w:val="00A54AF0"/>
    <w:pPr>
      <w:ind w:left="720"/>
      <w:contextualSpacing/>
    </w:pPr>
  </w:style>
  <w:style w:type="character" w:styleId="IntenseEmphasis">
    <w:name w:val="Intense Emphasis"/>
    <w:basedOn w:val="DefaultParagraphFont"/>
    <w:uiPriority w:val="21"/>
    <w:qFormat/>
    <w:rsid w:val="00A54AF0"/>
    <w:rPr>
      <w:i/>
      <w:iCs/>
      <w:color w:val="0F4761" w:themeColor="accent1" w:themeShade="BF"/>
    </w:rPr>
  </w:style>
  <w:style w:type="paragraph" w:styleId="IntenseQuote">
    <w:name w:val="Intense Quote"/>
    <w:basedOn w:val="Normal"/>
    <w:next w:val="Normal"/>
    <w:link w:val="IntenseQuoteChar"/>
    <w:uiPriority w:val="30"/>
    <w:qFormat/>
    <w:rsid w:val="00A54A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4AF0"/>
    <w:rPr>
      <w:i/>
      <w:iCs/>
      <w:color w:val="0F4761" w:themeColor="accent1" w:themeShade="BF"/>
      <w:lang w:val="es-PR"/>
    </w:rPr>
  </w:style>
  <w:style w:type="character" w:styleId="IntenseReference">
    <w:name w:val="Intense Reference"/>
    <w:basedOn w:val="DefaultParagraphFont"/>
    <w:uiPriority w:val="32"/>
    <w:qFormat/>
    <w:rsid w:val="00A54AF0"/>
    <w:rPr>
      <w:b/>
      <w:bCs/>
      <w:smallCaps/>
      <w:color w:val="0F4761" w:themeColor="accent1" w:themeShade="BF"/>
      <w:spacing w:val="5"/>
    </w:rPr>
  </w:style>
  <w:style w:type="paragraph" w:styleId="FootnoteText">
    <w:name w:val="footnote text"/>
    <w:basedOn w:val="Normal"/>
    <w:link w:val="FootnoteTextChar"/>
    <w:uiPriority w:val="99"/>
    <w:unhideWhenUsed/>
    <w:rsid w:val="00A54AF0"/>
    <w:pPr>
      <w:spacing w:after="0" w:line="240" w:lineRule="auto"/>
    </w:pPr>
    <w:rPr>
      <w:sz w:val="20"/>
      <w:szCs w:val="20"/>
    </w:rPr>
  </w:style>
  <w:style w:type="character" w:customStyle="1" w:styleId="FootnoteTextChar">
    <w:name w:val="Footnote Text Char"/>
    <w:basedOn w:val="DefaultParagraphFont"/>
    <w:link w:val="FootnoteText"/>
    <w:uiPriority w:val="99"/>
    <w:rsid w:val="00A54AF0"/>
    <w:rPr>
      <w:sz w:val="20"/>
      <w:szCs w:val="20"/>
      <w:lang w:val="es-PR"/>
    </w:rPr>
  </w:style>
  <w:style w:type="character" w:styleId="FootnoteReference">
    <w:name w:val="footnote reference"/>
    <w:uiPriority w:val="99"/>
    <w:unhideWhenUsed/>
    <w:rsid w:val="00A54AF0"/>
    <w:rPr>
      <w:rFonts w:cs="Times New Roman"/>
      <w:vertAlign w:val="superscript"/>
    </w:rPr>
  </w:style>
  <w:style w:type="paragraph" w:styleId="Header">
    <w:name w:val="header"/>
    <w:basedOn w:val="Normal"/>
    <w:link w:val="HeaderChar"/>
    <w:uiPriority w:val="99"/>
    <w:unhideWhenUsed/>
    <w:rsid w:val="00E97F9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7F9B"/>
    <w:rPr>
      <w:lang w:val="es-PR"/>
    </w:rPr>
  </w:style>
  <w:style w:type="paragraph" w:styleId="Footer">
    <w:name w:val="footer"/>
    <w:basedOn w:val="Normal"/>
    <w:link w:val="FooterChar"/>
    <w:uiPriority w:val="99"/>
    <w:unhideWhenUsed/>
    <w:rsid w:val="00E97F9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7F9B"/>
    <w:rPr>
      <w:lang w:val="es-PR"/>
    </w:rPr>
  </w:style>
  <w:style w:type="character" w:customStyle="1" w:styleId="hps">
    <w:name w:val="hps"/>
    <w:basedOn w:val="DefaultParagraphFont"/>
    <w:rsid w:val="00392771"/>
  </w:style>
  <w:style w:type="character" w:styleId="Hyperlink">
    <w:name w:val="Hyperlink"/>
    <w:basedOn w:val="DefaultParagraphFont"/>
    <w:uiPriority w:val="99"/>
    <w:unhideWhenUsed/>
    <w:rsid w:val="009471DA"/>
    <w:rPr>
      <w:color w:val="0000FF"/>
      <w:u w:val="single"/>
    </w:rPr>
  </w:style>
  <w:style w:type="character" w:styleId="UnresolvedMention">
    <w:name w:val="Unresolved Mention"/>
    <w:basedOn w:val="DefaultParagraphFont"/>
    <w:uiPriority w:val="99"/>
    <w:semiHidden/>
    <w:unhideWhenUsed/>
    <w:rsid w:val="009471DA"/>
    <w:rPr>
      <w:color w:val="605E5C"/>
      <w:shd w:val="clear" w:color="auto" w:fill="E1DFDD"/>
    </w:rPr>
  </w:style>
  <w:style w:type="paragraph" w:styleId="NormalWeb">
    <w:name w:val="Normal (Web)"/>
    <w:basedOn w:val="Normal"/>
    <w:unhideWhenUsed/>
    <w:rsid w:val="0060366D"/>
    <w:pPr>
      <w:spacing w:before="100" w:beforeAutospacing="1" w:after="100" w:afterAutospacing="1" w:line="240" w:lineRule="auto"/>
    </w:pPr>
    <w:rPr>
      <w:rFonts w:ascii="Times New Roman" w:eastAsia="Times New Roman" w:hAnsi="Times New Roman"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E1549E-9BAA-451C-803C-DF0700CF59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2179</Words>
  <Characters>12011</Characters>
  <Application>Microsoft Office Word</Application>
  <DocSecurity>4</DocSecurity>
  <Lines>226</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Rafael E. González Ramos</dc:creator>
  <cp:keywords/>
  <dc:description/>
  <cp:lastModifiedBy>Camyl Moreno Pantojas</cp:lastModifiedBy>
  <cp:revision>2</cp:revision>
  <cp:lastPrinted>2026-01-26T15:33:00Z</cp:lastPrinted>
  <dcterms:created xsi:type="dcterms:W3CDTF">2026-04-17T14:59:00Z</dcterms:created>
  <dcterms:modified xsi:type="dcterms:W3CDTF">2026-04-17T14:59:00Z</dcterms:modified>
</cp:coreProperties>
</file>