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F11E0" w:rsidRDefault="00333413">
      <w:pPr>
        <w:spacing w:after="0" w:line="240" w:lineRule="auto"/>
        <w:jc w:val="center"/>
        <w:rPr>
          <w:rFonts w:ascii="Book Antiqua" w:eastAsia="Book Antiqua" w:hAnsi="Book Antiqua" w:cs="Book Antiqua"/>
          <w:sz w:val="28"/>
          <w:szCs w:val="28"/>
        </w:rPr>
      </w:pPr>
      <w:r>
        <w:rPr>
          <w:rFonts w:ascii="Book Antiqua" w:eastAsia="Book Antiqua" w:hAnsi="Book Antiqua" w:cs="Book Antiqua"/>
          <w:sz w:val="28"/>
          <w:szCs w:val="28"/>
        </w:rPr>
        <w:t>GOBIERNO DE PUERTO RICO</w:t>
      </w:r>
    </w:p>
    <w:p w14:paraId="00000002" w14:textId="77777777" w:rsidR="00EF11E0" w:rsidRDefault="00EF11E0">
      <w:pPr>
        <w:spacing w:after="0" w:line="240" w:lineRule="auto"/>
        <w:jc w:val="center"/>
        <w:rPr>
          <w:rFonts w:ascii="Book Antiqua" w:eastAsia="Book Antiqua" w:hAnsi="Book Antiqua" w:cs="Book Antiqua"/>
          <w:sz w:val="24"/>
          <w:szCs w:val="24"/>
        </w:rPr>
      </w:pPr>
    </w:p>
    <w:p w14:paraId="00000003" w14:textId="5EC08936" w:rsidR="00EF11E0" w:rsidRPr="00A41026" w:rsidRDefault="00A41026" w:rsidP="00A41026">
      <w:pPr>
        <w:pBdr>
          <w:top w:val="nil"/>
          <w:left w:val="nil"/>
          <w:bottom w:val="nil"/>
          <w:right w:val="nil"/>
          <w:between w:val="nil"/>
        </w:pBdr>
        <w:spacing w:after="0" w:line="240" w:lineRule="auto"/>
        <w:rPr>
          <w:rFonts w:ascii="Book Antiqua" w:eastAsia="Book Antiqua" w:hAnsi="Book Antiqua" w:cs="Book Antiqua"/>
          <w:color w:val="000000"/>
          <w:sz w:val="24"/>
          <w:szCs w:val="24"/>
          <w:lang w:val="it-IT"/>
        </w:rPr>
      </w:pPr>
      <w:r w:rsidRPr="00A41026">
        <w:rPr>
          <w:rFonts w:ascii="Book Antiqua" w:eastAsia="Book Antiqua" w:hAnsi="Book Antiqua" w:cs="Book Antiqua"/>
          <w:color w:val="000000"/>
          <w:sz w:val="24"/>
          <w:szCs w:val="24"/>
          <w:lang w:val="it-IT"/>
        </w:rPr>
        <w:t>20ma.</w:t>
      </w:r>
      <w:r w:rsidR="00333413" w:rsidRPr="00A41026">
        <w:rPr>
          <w:rFonts w:ascii="Book Antiqua" w:eastAsia="Book Antiqua" w:hAnsi="Book Antiqua" w:cs="Book Antiqua"/>
          <w:color w:val="000000"/>
          <w:sz w:val="24"/>
          <w:szCs w:val="24"/>
          <w:lang w:val="it-IT"/>
        </w:rPr>
        <w:tab/>
        <w:t xml:space="preserve">Asamblea </w:t>
      </w:r>
      <w:r w:rsidR="00333413" w:rsidRPr="00A41026">
        <w:rPr>
          <w:rFonts w:ascii="Book Antiqua" w:eastAsia="Book Antiqua" w:hAnsi="Book Antiqua" w:cs="Book Antiqua"/>
          <w:color w:val="000000"/>
          <w:sz w:val="24"/>
          <w:szCs w:val="24"/>
          <w:lang w:val="it-IT"/>
        </w:rPr>
        <w:tab/>
      </w:r>
      <w:r>
        <w:rPr>
          <w:rFonts w:ascii="Book Antiqua" w:eastAsia="Book Antiqua" w:hAnsi="Book Antiqua" w:cs="Book Antiqua"/>
          <w:color w:val="000000"/>
          <w:sz w:val="24"/>
          <w:szCs w:val="24"/>
          <w:lang w:val="it-IT"/>
        </w:rPr>
        <w:t xml:space="preserve">                                                                                               </w:t>
      </w:r>
      <w:r w:rsidRPr="00A41026">
        <w:rPr>
          <w:rFonts w:ascii="Book Antiqua" w:eastAsia="Book Antiqua" w:hAnsi="Book Antiqua" w:cs="Book Antiqua"/>
          <w:sz w:val="24"/>
          <w:szCs w:val="24"/>
          <w:lang w:val="it-IT"/>
        </w:rPr>
        <w:t>3ra.</w:t>
      </w:r>
      <w:r w:rsidR="00333413" w:rsidRPr="00A41026">
        <w:rPr>
          <w:rFonts w:ascii="Book Antiqua" w:eastAsia="Book Antiqua" w:hAnsi="Book Antiqua" w:cs="Book Antiqua"/>
          <w:color w:val="000000"/>
          <w:sz w:val="24"/>
          <w:szCs w:val="24"/>
          <w:lang w:val="it-IT"/>
        </w:rPr>
        <w:t xml:space="preserve"> Sesión</w:t>
      </w:r>
    </w:p>
    <w:p w14:paraId="00000004" w14:textId="182F3A49" w:rsidR="00EF11E0" w:rsidRPr="00A41026" w:rsidRDefault="00333413" w:rsidP="00A41026">
      <w:pPr>
        <w:pBdr>
          <w:top w:val="nil"/>
          <w:left w:val="nil"/>
          <w:bottom w:val="nil"/>
          <w:right w:val="nil"/>
          <w:between w:val="nil"/>
        </w:pBdr>
        <w:spacing w:after="0" w:line="240" w:lineRule="auto"/>
        <w:rPr>
          <w:rFonts w:ascii="Book Antiqua" w:eastAsia="Book Antiqua" w:hAnsi="Book Antiqua" w:cs="Book Antiqua"/>
          <w:color w:val="000000"/>
          <w:sz w:val="24"/>
          <w:szCs w:val="24"/>
          <w:lang w:val="it-IT"/>
        </w:rPr>
      </w:pPr>
      <w:r w:rsidRPr="00A41026">
        <w:rPr>
          <w:rFonts w:ascii="Book Antiqua" w:eastAsia="Book Antiqua" w:hAnsi="Book Antiqua" w:cs="Book Antiqua"/>
          <w:color w:val="000000"/>
          <w:sz w:val="24"/>
          <w:szCs w:val="24"/>
          <w:lang w:val="it-IT"/>
        </w:rPr>
        <w:tab/>
        <w:t>Legislativa</w:t>
      </w:r>
      <w:r w:rsidRPr="00A41026">
        <w:rPr>
          <w:rFonts w:ascii="Book Antiqua" w:eastAsia="Book Antiqua" w:hAnsi="Book Antiqua" w:cs="Book Antiqua"/>
          <w:color w:val="000000"/>
          <w:sz w:val="24"/>
          <w:szCs w:val="24"/>
          <w:lang w:val="it-IT"/>
        </w:rPr>
        <w:tab/>
      </w:r>
      <w:r w:rsidRPr="00A41026">
        <w:rPr>
          <w:rFonts w:ascii="Book Antiqua" w:eastAsia="Book Antiqua" w:hAnsi="Book Antiqua" w:cs="Book Antiqua"/>
          <w:color w:val="000000"/>
          <w:sz w:val="24"/>
          <w:szCs w:val="24"/>
          <w:lang w:val="it-IT"/>
        </w:rPr>
        <w:tab/>
        <w:t xml:space="preserve"> </w:t>
      </w:r>
      <w:r w:rsidR="00A41026" w:rsidRPr="00A41026">
        <w:rPr>
          <w:rFonts w:ascii="Book Antiqua" w:eastAsia="Book Antiqua" w:hAnsi="Book Antiqua" w:cs="Book Antiqua"/>
          <w:color w:val="000000"/>
          <w:sz w:val="24"/>
          <w:szCs w:val="24"/>
          <w:lang w:val="it-IT"/>
        </w:rPr>
        <w:tab/>
      </w:r>
      <w:r w:rsidR="00A41026" w:rsidRPr="00A41026">
        <w:rPr>
          <w:rFonts w:ascii="Book Antiqua" w:eastAsia="Book Antiqua" w:hAnsi="Book Antiqua" w:cs="Book Antiqua"/>
          <w:color w:val="000000"/>
          <w:sz w:val="24"/>
          <w:szCs w:val="24"/>
          <w:lang w:val="it-IT"/>
        </w:rPr>
        <w:tab/>
      </w:r>
      <w:r w:rsidR="00A41026" w:rsidRPr="00A41026">
        <w:rPr>
          <w:rFonts w:ascii="Book Antiqua" w:eastAsia="Book Antiqua" w:hAnsi="Book Antiqua" w:cs="Book Antiqua"/>
          <w:color w:val="000000"/>
          <w:sz w:val="24"/>
          <w:szCs w:val="24"/>
          <w:lang w:val="it-IT"/>
        </w:rPr>
        <w:tab/>
      </w:r>
      <w:r w:rsidR="00A41026" w:rsidRPr="00A41026">
        <w:rPr>
          <w:rFonts w:ascii="Book Antiqua" w:eastAsia="Book Antiqua" w:hAnsi="Book Antiqua" w:cs="Book Antiqua"/>
          <w:color w:val="000000"/>
          <w:sz w:val="24"/>
          <w:szCs w:val="24"/>
          <w:lang w:val="it-IT"/>
        </w:rPr>
        <w:tab/>
      </w:r>
      <w:r w:rsidR="00A41026" w:rsidRPr="00A41026">
        <w:rPr>
          <w:rFonts w:ascii="Book Antiqua" w:eastAsia="Book Antiqua" w:hAnsi="Book Antiqua" w:cs="Book Antiqua"/>
          <w:color w:val="000000"/>
          <w:sz w:val="24"/>
          <w:szCs w:val="24"/>
          <w:lang w:val="it-IT"/>
        </w:rPr>
        <w:tab/>
      </w:r>
      <w:r w:rsidR="00A41026" w:rsidRPr="00A41026">
        <w:rPr>
          <w:rFonts w:ascii="Book Antiqua" w:eastAsia="Book Antiqua" w:hAnsi="Book Antiqua" w:cs="Book Antiqua"/>
          <w:color w:val="000000"/>
          <w:sz w:val="24"/>
          <w:szCs w:val="24"/>
          <w:lang w:val="it-IT"/>
        </w:rPr>
        <w:tab/>
      </w:r>
      <w:r w:rsidR="00A41026" w:rsidRPr="00A41026">
        <w:rPr>
          <w:rFonts w:ascii="Book Antiqua" w:eastAsia="Book Antiqua" w:hAnsi="Book Antiqua" w:cs="Book Antiqua"/>
          <w:color w:val="000000"/>
          <w:sz w:val="24"/>
          <w:szCs w:val="24"/>
          <w:lang w:val="it-IT"/>
        </w:rPr>
        <w:tab/>
        <w:t xml:space="preserve">      </w:t>
      </w:r>
      <w:r w:rsidRPr="00A41026">
        <w:rPr>
          <w:rFonts w:ascii="Book Antiqua" w:eastAsia="Book Antiqua" w:hAnsi="Book Antiqua" w:cs="Book Antiqua"/>
          <w:color w:val="000000"/>
          <w:sz w:val="24"/>
          <w:szCs w:val="24"/>
          <w:lang w:val="it-IT"/>
        </w:rPr>
        <w:t>Ordinaria</w:t>
      </w:r>
    </w:p>
    <w:p w14:paraId="00000005" w14:textId="77777777" w:rsidR="00EF11E0" w:rsidRPr="00A41026" w:rsidRDefault="00EF11E0">
      <w:pPr>
        <w:spacing w:after="0" w:line="240" w:lineRule="auto"/>
        <w:rPr>
          <w:rFonts w:ascii="Book Antiqua" w:eastAsia="Book Antiqua" w:hAnsi="Book Antiqua" w:cs="Book Antiqua"/>
          <w:sz w:val="24"/>
          <w:szCs w:val="24"/>
          <w:lang w:val="it-IT"/>
        </w:rPr>
      </w:pPr>
    </w:p>
    <w:p w14:paraId="00000006" w14:textId="77777777" w:rsidR="00EF11E0" w:rsidRDefault="00333413">
      <w:pPr>
        <w:spacing w:after="0" w:line="240" w:lineRule="auto"/>
        <w:jc w:val="center"/>
        <w:rPr>
          <w:rFonts w:ascii="Book Antiqua" w:eastAsia="Book Antiqua" w:hAnsi="Book Antiqua" w:cs="Book Antiqua"/>
          <w:b/>
          <w:bCs/>
          <w:sz w:val="36"/>
          <w:szCs w:val="36"/>
        </w:rPr>
      </w:pPr>
      <w:r>
        <w:rPr>
          <w:rFonts w:ascii="Book Antiqua" w:eastAsia="Book Antiqua" w:hAnsi="Book Antiqua" w:cs="Book Antiqua"/>
          <w:b/>
          <w:bCs/>
          <w:sz w:val="36"/>
          <w:szCs w:val="36"/>
        </w:rPr>
        <w:t>CÁMARA DE REPRESENTANTES</w:t>
      </w:r>
    </w:p>
    <w:p w14:paraId="00000007" w14:textId="77777777" w:rsidR="00EF11E0" w:rsidRDefault="00EF11E0">
      <w:pPr>
        <w:spacing w:after="0" w:line="240" w:lineRule="auto"/>
        <w:jc w:val="center"/>
        <w:rPr>
          <w:rFonts w:ascii="Book Antiqua" w:eastAsia="Book Antiqua" w:hAnsi="Book Antiqua" w:cs="Book Antiqua"/>
          <w:b/>
          <w:bCs/>
          <w:sz w:val="24"/>
          <w:szCs w:val="24"/>
        </w:rPr>
      </w:pPr>
    </w:p>
    <w:p w14:paraId="00000008" w14:textId="374139D7" w:rsidR="00EF11E0" w:rsidRDefault="00333413">
      <w:pPr>
        <w:spacing w:after="0" w:line="240" w:lineRule="auto"/>
        <w:jc w:val="center"/>
        <w:rPr>
          <w:rFonts w:ascii="Book Antiqua" w:eastAsia="Book Antiqua" w:hAnsi="Book Antiqua" w:cs="Book Antiqua"/>
          <w:b/>
          <w:bCs/>
          <w:sz w:val="52"/>
          <w:szCs w:val="52"/>
        </w:rPr>
      </w:pPr>
      <w:r>
        <w:rPr>
          <w:rFonts w:ascii="Book Antiqua" w:eastAsia="Book Antiqua" w:hAnsi="Book Antiqua" w:cs="Book Antiqua"/>
          <w:b/>
          <w:bCs/>
          <w:sz w:val="52"/>
          <w:szCs w:val="52"/>
        </w:rPr>
        <w:t>R. de la C.</w:t>
      </w:r>
      <w:r w:rsidR="00253D73">
        <w:rPr>
          <w:rFonts w:ascii="Book Antiqua" w:eastAsia="Book Antiqua" w:hAnsi="Book Antiqua" w:cs="Book Antiqua"/>
          <w:b/>
          <w:bCs/>
          <w:sz w:val="52"/>
          <w:szCs w:val="52"/>
        </w:rPr>
        <w:t xml:space="preserve"> 528</w:t>
      </w:r>
    </w:p>
    <w:p w14:paraId="00000009" w14:textId="77777777" w:rsidR="00EF11E0" w:rsidRDefault="00EF11E0">
      <w:pPr>
        <w:spacing w:after="0" w:line="240" w:lineRule="auto"/>
        <w:jc w:val="center"/>
        <w:rPr>
          <w:rFonts w:ascii="Book Antiqua" w:eastAsia="Book Antiqua" w:hAnsi="Book Antiqua" w:cs="Book Antiqua"/>
          <w:b/>
          <w:bCs/>
          <w:sz w:val="24"/>
          <w:szCs w:val="24"/>
        </w:rPr>
      </w:pPr>
    </w:p>
    <w:p w14:paraId="0000000A" w14:textId="3AD9E9AA" w:rsidR="00EF11E0" w:rsidRDefault="00333413">
      <w:pPr>
        <w:spacing w:after="0" w:line="240" w:lineRule="auto"/>
        <w:jc w:val="center"/>
        <w:rPr>
          <w:rFonts w:ascii="Book Antiqua" w:eastAsia="Book Antiqua" w:hAnsi="Book Antiqua" w:cs="Book Antiqua"/>
          <w:sz w:val="24"/>
          <w:szCs w:val="24"/>
        </w:rPr>
      </w:pPr>
      <w:r>
        <w:rPr>
          <w:rFonts w:ascii="Book Antiqua" w:eastAsia="Book Antiqua" w:hAnsi="Book Antiqua" w:cs="Book Antiqua"/>
          <w:sz w:val="24"/>
          <w:szCs w:val="24"/>
        </w:rPr>
        <w:t>1</w:t>
      </w:r>
      <w:r w:rsidR="00253D73">
        <w:rPr>
          <w:rFonts w:ascii="Book Antiqua" w:eastAsia="Book Antiqua" w:hAnsi="Book Antiqua" w:cs="Book Antiqua"/>
          <w:sz w:val="24"/>
          <w:szCs w:val="24"/>
        </w:rPr>
        <w:t>6</w:t>
      </w:r>
      <w:r>
        <w:rPr>
          <w:rFonts w:ascii="Book Antiqua" w:eastAsia="Book Antiqua" w:hAnsi="Book Antiqua" w:cs="Book Antiqua"/>
          <w:sz w:val="24"/>
          <w:szCs w:val="24"/>
        </w:rPr>
        <w:t xml:space="preserve"> DE DICIEMBRE DE 2025</w:t>
      </w:r>
    </w:p>
    <w:p w14:paraId="0000000B" w14:textId="77777777" w:rsidR="00EF11E0" w:rsidRDefault="00EF11E0">
      <w:pPr>
        <w:spacing w:after="0" w:line="240" w:lineRule="auto"/>
        <w:jc w:val="center"/>
        <w:rPr>
          <w:rFonts w:ascii="Book Antiqua" w:eastAsia="Book Antiqua" w:hAnsi="Book Antiqua" w:cs="Book Antiqua"/>
          <w:sz w:val="24"/>
          <w:szCs w:val="24"/>
        </w:rPr>
      </w:pPr>
    </w:p>
    <w:p w14:paraId="0000000C" w14:textId="77777777" w:rsidR="00EF11E0" w:rsidRDefault="00333413">
      <w:pPr>
        <w:spacing w:after="0" w:line="240" w:lineRule="auto"/>
        <w:jc w:val="center"/>
        <w:rPr>
          <w:rFonts w:ascii="Book Antiqua" w:eastAsia="Book Antiqua" w:hAnsi="Book Antiqua" w:cs="Book Antiqua"/>
          <w:sz w:val="24"/>
          <w:szCs w:val="24"/>
        </w:rPr>
      </w:pPr>
      <w:r>
        <w:rPr>
          <w:rFonts w:ascii="Book Antiqua" w:eastAsia="Book Antiqua" w:hAnsi="Book Antiqua" w:cs="Book Antiqua"/>
          <w:sz w:val="24"/>
          <w:szCs w:val="24"/>
        </w:rPr>
        <w:t xml:space="preserve">Presentada por el representante </w:t>
      </w:r>
      <w:r>
        <w:rPr>
          <w:rFonts w:ascii="Book Antiqua" w:eastAsia="Book Antiqua" w:hAnsi="Book Antiqua" w:cs="Book Antiqua"/>
          <w:i/>
          <w:iCs/>
          <w:sz w:val="24"/>
          <w:szCs w:val="24"/>
        </w:rPr>
        <w:t>Parés Otero</w:t>
      </w:r>
    </w:p>
    <w:p w14:paraId="0000000D" w14:textId="77777777" w:rsidR="00EF11E0" w:rsidRDefault="00EF11E0">
      <w:pPr>
        <w:spacing w:after="0" w:line="240" w:lineRule="auto"/>
        <w:jc w:val="center"/>
        <w:rPr>
          <w:rFonts w:ascii="Book Antiqua" w:eastAsia="Book Antiqua" w:hAnsi="Book Antiqua" w:cs="Book Antiqua"/>
          <w:sz w:val="24"/>
          <w:szCs w:val="24"/>
        </w:rPr>
      </w:pPr>
    </w:p>
    <w:p w14:paraId="0000000E" w14:textId="4E96E9A5" w:rsidR="00EF11E0" w:rsidRPr="00A41026" w:rsidRDefault="00333413">
      <w:pPr>
        <w:spacing w:after="0" w:line="240" w:lineRule="auto"/>
        <w:jc w:val="center"/>
        <w:rPr>
          <w:rFonts w:ascii="Book Antiqua" w:eastAsia="Book Antiqua" w:hAnsi="Book Antiqua" w:cs="Book Antiqua"/>
          <w:sz w:val="24"/>
          <w:szCs w:val="24"/>
          <w:lang w:val="es-PR"/>
        </w:rPr>
      </w:pPr>
      <w:r>
        <w:rPr>
          <w:rFonts w:ascii="Book Antiqua" w:eastAsia="Book Antiqua" w:hAnsi="Book Antiqua" w:cs="Book Antiqua"/>
          <w:sz w:val="24"/>
          <w:szCs w:val="24"/>
        </w:rPr>
        <w:t xml:space="preserve">Referida a la </w:t>
      </w:r>
      <w:r w:rsidR="00A41026">
        <w:rPr>
          <w:rFonts w:ascii="Book Antiqua" w:eastAsia="Book Antiqua" w:hAnsi="Book Antiqua" w:cs="Book Antiqua"/>
          <w:sz w:val="24"/>
          <w:szCs w:val="24"/>
        </w:rPr>
        <w:t>Comisión</w:t>
      </w:r>
      <w:r w:rsidR="00A41026" w:rsidRPr="00A41026">
        <w:rPr>
          <w:rFonts w:ascii="Book Antiqua" w:eastAsia="Book Antiqua" w:hAnsi="Book Antiqua" w:cs="Book Antiqua"/>
          <w:sz w:val="24"/>
          <w:szCs w:val="24"/>
          <w:lang w:val="es-PR"/>
        </w:rPr>
        <w:t xml:space="preserve"> de</w:t>
      </w:r>
      <w:r w:rsidR="00A41026">
        <w:rPr>
          <w:rFonts w:ascii="Book Antiqua" w:eastAsia="Book Antiqua" w:hAnsi="Book Antiqua" w:cs="Book Antiqua"/>
          <w:sz w:val="24"/>
          <w:szCs w:val="24"/>
          <w:lang w:val="es-PR"/>
        </w:rPr>
        <w:t xml:space="preserve"> Asuntos Internos</w:t>
      </w:r>
    </w:p>
    <w:p w14:paraId="0000000F" w14:textId="77777777" w:rsidR="00EF11E0" w:rsidRDefault="00EF11E0">
      <w:pPr>
        <w:spacing w:after="0" w:line="240" w:lineRule="auto"/>
        <w:jc w:val="center"/>
        <w:rPr>
          <w:rFonts w:ascii="Book Antiqua" w:eastAsia="Book Antiqua" w:hAnsi="Book Antiqua" w:cs="Book Antiqua"/>
          <w:b/>
          <w:bCs/>
          <w:sz w:val="24"/>
          <w:szCs w:val="24"/>
        </w:rPr>
      </w:pPr>
    </w:p>
    <w:p w14:paraId="00000010" w14:textId="77777777" w:rsidR="00EF11E0" w:rsidRDefault="00333413">
      <w:pPr>
        <w:spacing w:after="0" w:line="240" w:lineRule="auto"/>
        <w:jc w:val="center"/>
        <w:rPr>
          <w:rFonts w:ascii="Book Antiqua" w:eastAsia="Book Antiqua" w:hAnsi="Book Antiqua" w:cs="Book Antiqua"/>
          <w:b/>
          <w:bCs/>
          <w:sz w:val="28"/>
          <w:szCs w:val="28"/>
        </w:rPr>
      </w:pPr>
      <w:r>
        <w:rPr>
          <w:rFonts w:ascii="Book Antiqua" w:eastAsia="Book Antiqua" w:hAnsi="Book Antiqua" w:cs="Book Antiqua"/>
          <w:b/>
          <w:bCs/>
          <w:sz w:val="28"/>
          <w:szCs w:val="28"/>
        </w:rPr>
        <w:t xml:space="preserve">RESOLUCIÓN </w:t>
      </w:r>
    </w:p>
    <w:p w14:paraId="00000011" w14:textId="77777777" w:rsidR="00EF11E0" w:rsidRDefault="00EF11E0">
      <w:pPr>
        <w:spacing w:after="0" w:line="240" w:lineRule="auto"/>
        <w:jc w:val="center"/>
        <w:rPr>
          <w:rFonts w:ascii="Book Antiqua" w:eastAsia="Book Antiqua" w:hAnsi="Book Antiqua" w:cs="Book Antiqua"/>
          <w:b/>
          <w:bCs/>
          <w:sz w:val="24"/>
          <w:szCs w:val="24"/>
        </w:rPr>
      </w:pPr>
    </w:p>
    <w:p w14:paraId="00000013" w14:textId="422F4B5B" w:rsidR="00EF11E0" w:rsidRDefault="00333413" w:rsidP="00E533F2">
      <w:pPr>
        <w:spacing w:after="0" w:line="240" w:lineRule="auto"/>
        <w:ind w:left="806" w:hanging="720"/>
        <w:jc w:val="both"/>
        <w:rPr>
          <w:rFonts w:ascii="Book Antiqua" w:eastAsia="Book Antiqua" w:hAnsi="Book Antiqua" w:cs="Book Antiqua"/>
          <w:sz w:val="24"/>
          <w:szCs w:val="24"/>
        </w:rPr>
      </w:pPr>
      <w:r>
        <w:rPr>
          <w:rFonts w:ascii="Book Antiqua" w:eastAsia="Book Antiqua" w:hAnsi="Book Antiqua" w:cs="Book Antiqua"/>
          <w:sz w:val="24"/>
          <w:szCs w:val="24"/>
        </w:rPr>
        <w:t>Para ordenar a la Comisión de Gobierno de la Cámara de Representantes de Puerto Rico, realizar una investigación exhaustiva sobre el hurto de convertidores catalíticos de los vehículos de motor en la Isla, las medidas de prevención que se están implementado para atender la situación y las iniciativas desarrolladas para garantizar que las víctimas de este tipo de delito puedan mitigar los efectos de este; y para otros fines relacionados.</w:t>
      </w:r>
    </w:p>
    <w:p w14:paraId="00000014" w14:textId="77777777" w:rsidR="00EF11E0" w:rsidRDefault="00EF11E0">
      <w:pPr>
        <w:spacing w:after="0" w:line="240" w:lineRule="auto"/>
        <w:ind w:firstLine="360"/>
        <w:jc w:val="center"/>
        <w:rPr>
          <w:rFonts w:ascii="Book Antiqua" w:eastAsia="Book Antiqua" w:hAnsi="Book Antiqua" w:cs="Book Antiqua"/>
          <w:sz w:val="24"/>
          <w:szCs w:val="24"/>
        </w:rPr>
      </w:pPr>
    </w:p>
    <w:p w14:paraId="00000015" w14:textId="77777777" w:rsidR="00EF11E0" w:rsidRDefault="00333413">
      <w:pPr>
        <w:spacing w:after="0" w:line="240" w:lineRule="auto"/>
        <w:jc w:val="center"/>
        <w:rPr>
          <w:rFonts w:ascii="Book Antiqua" w:eastAsia="Book Antiqua" w:hAnsi="Book Antiqua" w:cs="Book Antiqua"/>
          <w:sz w:val="24"/>
          <w:szCs w:val="24"/>
        </w:rPr>
      </w:pPr>
      <w:r>
        <w:rPr>
          <w:rFonts w:ascii="Book Antiqua" w:eastAsia="Book Antiqua" w:hAnsi="Book Antiqua" w:cs="Book Antiqua"/>
          <w:sz w:val="24"/>
          <w:szCs w:val="24"/>
        </w:rPr>
        <w:t>EXPOSICIÓN DE MOTIVOS</w:t>
      </w:r>
    </w:p>
    <w:p w14:paraId="00000016" w14:textId="77777777" w:rsidR="00EF11E0" w:rsidRDefault="00EF11E0">
      <w:pPr>
        <w:spacing w:after="0" w:line="240" w:lineRule="auto"/>
        <w:ind w:firstLine="360"/>
        <w:jc w:val="center"/>
        <w:rPr>
          <w:rFonts w:ascii="Book Antiqua" w:eastAsia="Book Antiqua" w:hAnsi="Book Antiqua" w:cs="Book Antiqua"/>
          <w:sz w:val="24"/>
          <w:szCs w:val="24"/>
        </w:rPr>
      </w:pPr>
    </w:p>
    <w:p w14:paraId="00000017" w14:textId="77777777" w:rsidR="00EF11E0" w:rsidRDefault="00333413">
      <w:pPr>
        <w:spacing w:after="0" w:line="240" w:lineRule="auto"/>
        <w:ind w:firstLine="720"/>
        <w:jc w:val="both"/>
        <w:rPr>
          <w:rFonts w:ascii="Book Antiqua" w:eastAsia="Book Antiqua" w:hAnsi="Book Antiqua" w:cs="Book Antiqua"/>
          <w:sz w:val="24"/>
          <w:szCs w:val="24"/>
        </w:rPr>
      </w:pPr>
      <w:r>
        <w:rPr>
          <w:rFonts w:ascii="Book Antiqua" w:eastAsia="Book Antiqua" w:hAnsi="Book Antiqua" w:cs="Book Antiqua"/>
          <w:sz w:val="24"/>
          <w:szCs w:val="24"/>
        </w:rPr>
        <w:t>El convertidor catalítico o catalizador es un componente en sistema de escape utilizado para reducir la emisión de gases contaminantes en los vehículos. El mismo se encuentra ubicado en la parte inferior de los vehículos. La pieza tiene un panel de cerámica con un recubrimiento de metales preciosos que al entrar en contacto con los gases emitidos convierten estos en gases inertes, los cuales producen reducidos niveles de contaminantes.</w:t>
      </w:r>
    </w:p>
    <w:p w14:paraId="00000018" w14:textId="77777777" w:rsidR="00EF11E0" w:rsidRDefault="00EF11E0">
      <w:pPr>
        <w:spacing w:after="0" w:line="240" w:lineRule="auto"/>
        <w:ind w:firstLine="720"/>
        <w:jc w:val="both"/>
        <w:rPr>
          <w:rFonts w:ascii="Book Antiqua" w:eastAsia="Book Antiqua" w:hAnsi="Book Antiqua" w:cs="Book Antiqua"/>
          <w:sz w:val="24"/>
          <w:szCs w:val="24"/>
        </w:rPr>
      </w:pPr>
    </w:p>
    <w:p w14:paraId="0000001A" w14:textId="3D2DC025" w:rsidR="00EF11E0" w:rsidRDefault="00333413" w:rsidP="00526AE9">
      <w:pPr>
        <w:spacing w:after="0" w:line="240" w:lineRule="auto"/>
        <w:ind w:firstLine="720"/>
        <w:jc w:val="both"/>
        <w:rPr>
          <w:rFonts w:ascii="Book Antiqua" w:eastAsia="Book Antiqua" w:hAnsi="Book Antiqua" w:cs="Book Antiqua"/>
          <w:sz w:val="24"/>
          <w:szCs w:val="24"/>
          <w:highlight w:val="white"/>
        </w:rPr>
      </w:pPr>
      <w:r>
        <w:rPr>
          <w:rFonts w:ascii="Book Antiqua" w:eastAsia="Book Antiqua" w:hAnsi="Book Antiqua" w:cs="Book Antiqua"/>
          <w:sz w:val="24"/>
          <w:szCs w:val="24"/>
        </w:rPr>
        <w:t xml:space="preserve">El hurto de estos dispositivos de los vehículos de motor en la Isla ha experimentado un alza sin precedentes desde el año 2021. De acuerdo con datos de la Policía de Puerto Rico para el periodo del 1 de enero hasta el 7 de diciembre de 2025, se </w:t>
      </w:r>
      <w:r>
        <w:rPr>
          <w:rFonts w:ascii="Book Antiqua" w:eastAsia="Book Antiqua" w:hAnsi="Book Antiqua" w:cs="Book Antiqua"/>
          <w:sz w:val="24"/>
          <w:szCs w:val="24"/>
          <w:highlight w:val="white"/>
        </w:rPr>
        <w:t>han recibido unas 416 querellas sobre hurto de catalíticos. Siendo la marca Mitsubishi, con 355 querellas, los vehículos preferidos por los elementos criminales para robar este aditamento. El segundo lugar es para Toyota con unas 38 querellas. El área policial de San Juan es la zona de más incidencia, con 156 querellas, seguido por Bayamón con 109 y Carolina donde se registraron 69 casos.</w:t>
      </w:r>
    </w:p>
    <w:p w14:paraId="0000001B" w14:textId="77777777" w:rsidR="00EF11E0" w:rsidRDefault="00EF11E0">
      <w:pPr>
        <w:spacing w:after="0" w:line="240" w:lineRule="auto"/>
        <w:ind w:firstLine="720"/>
        <w:jc w:val="both"/>
        <w:rPr>
          <w:rFonts w:ascii="Book Antiqua" w:eastAsia="Book Antiqua" w:hAnsi="Book Antiqua" w:cs="Book Antiqua"/>
          <w:sz w:val="24"/>
          <w:szCs w:val="24"/>
        </w:rPr>
      </w:pPr>
    </w:p>
    <w:p w14:paraId="0000001C" w14:textId="77777777" w:rsidR="00EF11E0" w:rsidRDefault="00333413">
      <w:pPr>
        <w:spacing w:after="0" w:line="240" w:lineRule="auto"/>
        <w:ind w:firstLine="720"/>
        <w:jc w:val="both"/>
        <w:rPr>
          <w:rFonts w:ascii="Book Antiqua" w:eastAsia="Book Antiqua" w:hAnsi="Book Antiqua" w:cs="Book Antiqua"/>
          <w:sz w:val="24"/>
          <w:szCs w:val="24"/>
        </w:rPr>
      </w:pPr>
      <w:r>
        <w:rPr>
          <w:rFonts w:ascii="Book Antiqua" w:eastAsia="Book Antiqua" w:hAnsi="Book Antiqua" w:cs="Book Antiqua"/>
          <w:sz w:val="24"/>
          <w:szCs w:val="24"/>
        </w:rPr>
        <w:t xml:space="preserve">El alto precio en el mercado ilegal de metales preciosos contenidos en estas unidades de catalizadores, tales como el rodio, paladio y el platino, han sido el eje para el incremento en el robo de los catalizadores, modalidad criminal que también ha despuntado en los Estados Unidos y Europa desde hace varios años. Debido a la composición de los metales preciosos, algunos catalíticos contienen valores que sobrepasan los $2,000 por unidad. La Policía de Puerto Rico estima que las piezas hurtadas se están vendiendo entre 250 a 600 dólares por unidad en los mercados ilegales de tráfico de metales. </w:t>
      </w:r>
    </w:p>
    <w:p w14:paraId="0000001D" w14:textId="77777777" w:rsidR="00EF11E0" w:rsidRDefault="00EF11E0">
      <w:pPr>
        <w:spacing w:after="0" w:line="240" w:lineRule="auto"/>
        <w:ind w:firstLine="720"/>
        <w:jc w:val="both"/>
        <w:rPr>
          <w:rFonts w:ascii="Book Antiqua" w:eastAsia="Book Antiqua" w:hAnsi="Book Antiqua" w:cs="Book Antiqua"/>
          <w:sz w:val="24"/>
          <w:szCs w:val="24"/>
        </w:rPr>
      </w:pPr>
    </w:p>
    <w:p w14:paraId="0000001E" w14:textId="77777777" w:rsidR="00EF11E0" w:rsidRDefault="00333413">
      <w:pPr>
        <w:spacing w:after="0" w:line="240" w:lineRule="auto"/>
        <w:ind w:firstLine="720"/>
        <w:jc w:val="both"/>
        <w:rPr>
          <w:rFonts w:ascii="Book Antiqua" w:eastAsia="Book Antiqua" w:hAnsi="Book Antiqua" w:cs="Book Antiqua"/>
          <w:sz w:val="24"/>
          <w:szCs w:val="24"/>
        </w:rPr>
      </w:pPr>
      <w:r>
        <w:rPr>
          <w:rFonts w:ascii="Book Antiqua" w:eastAsia="Book Antiqua" w:hAnsi="Book Antiqua" w:cs="Book Antiqua"/>
          <w:sz w:val="24"/>
          <w:szCs w:val="24"/>
        </w:rPr>
        <w:t xml:space="preserve">La Ley Núm. 22 del 7 de enero de 2000, mejor conocida como la ‘Ley de Vehículos y Transito de Puerto Rico’, en su Artículo 21.01 (Regla Básica) establece que </w:t>
      </w:r>
      <w:r>
        <w:rPr>
          <w:rFonts w:ascii="Book Antiqua" w:eastAsia="Book Antiqua" w:hAnsi="Book Antiqua" w:cs="Book Antiqua"/>
          <w:i/>
          <w:iCs/>
          <w:sz w:val="24"/>
          <w:szCs w:val="24"/>
        </w:rPr>
        <w:t>‘todo vehículo de motor que transite por las vías públicas deberá llevar el equipo que por este Capítulo se requiere, en buenas condiciones de funcionamiento y de ajuste, y dicho vehículo deberá estar en condiciones mecánicas tales que no constituya una amenaza para la seguridad pública.  A tales fines, todo vehículo que transite por las vías públicas deberá estar equipado con el sistema de control de emisiones, incluyendo el convertidor catalítico y piezas relacionadas</w:t>
      </w:r>
      <w:r>
        <w:rPr>
          <w:rFonts w:ascii="Book Antiqua" w:eastAsia="Book Antiqua" w:hAnsi="Book Antiqua" w:cs="Book Antiqua"/>
          <w:sz w:val="24"/>
          <w:szCs w:val="24"/>
        </w:rPr>
        <w:t>’.</w:t>
      </w:r>
      <w:r>
        <w:rPr>
          <w:rFonts w:ascii="Times New Roman" w:eastAsia="Times New Roman" w:hAnsi="Times New Roman" w:cs="Times New Roman"/>
          <w:sz w:val="24"/>
          <w:szCs w:val="24"/>
        </w:rPr>
        <w:t xml:space="preserve"> </w:t>
      </w:r>
      <w:r>
        <w:rPr>
          <w:rFonts w:ascii="Book Antiqua" w:eastAsia="Book Antiqua" w:hAnsi="Book Antiqua" w:cs="Book Antiqua"/>
          <w:sz w:val="24"/>
          <w:szCs w:val="24"/>
        </w:rPr>
        <w:t xml:space="preserve">Por lo tanto, un vehículo sin catalizador o con esta pieza defectuosa no tiene permitido transitar por las vías de rodaje, situación que ha provocado un disloque en la vida de las víctimas de esta nueva modalidad delictiva. </w:t>
      </w:r>
    </w:p>
    <w:p w14:paraId="0000001F" w14:textId="77777777" w:rsidR="00EF11E0" w:rsidRDefault="00EF11E0">
      <w:pPr>
        <w:spacing w:after="0" w:line="240" w:lineRule="auto"/>
        <w:ind w:firstLine="720"/>
        <w:jc w:val="both"/>
        <w:rPr>
          <w:rFonts w:ascii="Book Antiqua" w:eastAsia="Book Antiqua" w:hAnsi="Book Antiqua" w:cs="Book Antiqua"/>
          <w:sz w:val="24"/>
          <w:szCs w:val="24"/>
        </w:rPr>
      </w:pPr>
    </w:p>
    <w:p w14:paraId="00000021" w14:textId="3B270C13" w:rsidR="00EF11E0" w:rsidRDefault="00333413" w:rsidP="00A952CC">
      <w:pPr>
        <w:spacing w:after="0" w:line="240" w:lineRule="auto"/>
        <w:ind w:firstLine="720"/>
        <w:jc w:val="both"/>
        <w:rPr>
          <w:rFonts w:ascii="Book Antiqua" w:eastAsia="Book Antiqua" w:hAnsi="Book Antiqua" w:cs="Book Antiqua"/>
          <w:sz w:val="24"/>
          <w:szCs w:val="24"/>
        </w:rPr>
      </w:pPr>
      <w:r>
        <w:rPr>
          <w:rFonts w:ascii="Book Antiqua" w:eastAsia="Book Antiqua" w:hAnsi="Book Antiqua" w:cs="Book Antiqua"/>
          <w:sz w:val="24"/>
          <w:szCs w:val="24"/>
        </w:rPr>
        <w:t>Existen muchos problemas que afectan a la víctima de este crimen, y uno de ellos es que esta pieza, en algunos modelos, escasea en Puerto Rico. Data disponible apunta que las víctimas de este crimen tienen que esperar entre uno a dos meses para que el catalítico arribe a la Isla, en adición al costo de su compra y el proceso de instalación.</w:t>
      </w:r>
    </w:p>
    <w:p w14:paraId="00000022" w14:textId="77777777" w:rsidR="00EF11E0" w:rsidRDefault="00333413">
      <w:pPr>
        <w:spacing w:after="0" w:line="240" w:lineRule="auto"/>
        <w:jc w:val="both"/>
        <w:rPr>
          <w:rFonts w:ascii="Book Antiqua" w:eastAsia="Book Antiqua" w:hAnsi="Book Antiqua" w:cs="Book Antiqua"/>
          <w:sz w:val="24"/>
          <w:szCs w:val="24"/>
        </w:rPr>
      </w:pPr>
      <w:r>
        <w:rPr>
          <w:rFonts w:ascii="Book Antiqua" w:eastAsia="Book Antiqua" w:hAnsi="Book Antiqua" w:cs="Book Antiqua"/>
          <w:sz w:val="24"/>
          <w:szCs w:val="24"/>
        </w:rPr>
        <w:tab/>
      </w:r>
    </w:p>
    <w:p w14:paraId="00000024" w14:textId="07D200E2" w:rsidR="00EF11E0" w:rsidRDefault="00333413" w:rsidP="00A952CC">
      <w:pPr>
        <w:spacing w:after="0" w:line="240" w:lineRule="auto"/>
        <w:ind w:firstLine="720"/>
        <w:jc w:val="both"/>
        <w:rPr>
          <w:rFonts w:ascii="Book Antiqua" w:eastAsia="Book Antiqua" w:hAnsi="Book Antiqua" w:cs="Book Antiqua"/>
          <w:sz w:val="24"/>
          <w:szCs w:val="24"/>
        </w:rPr>
      </w:pPr>
      <w:r>
        <w:rPr>
          <w:rFonts w:ascii="Book Antiqua" w:eastAsia="Book Antiqua" w:hAnsi="Book Antiqua" w:cs="Book Antiqua"/>
          <w:sz w:val="24"/>
          <w:szCs w:val="24"/>
        </w:rPr>
        <w:t>A tenor con lo señalado, este Cuerpo Legislativo considera que es meritorio realizar una exhaustiva investigación sobre el hurto de convertidores catalíticos de los vehículos de motor en la Isla, las medidas de prevención que se están implementado para atender la situación y las iniciativas desarrolladas para garantizar que las víctimas de este tipo de delito puedan mitigar los efectos de este; y para otros fines relacionados</w:t>
      </w:r>
      <w:r w:rsidR="00A952CC">
        <w:rPr>
          <w:rFonts w:ascii="Book Antiqua" w:eastAsia="Book Antiqua" w:hAnsi="Book Antiqua" w:cs="Book Antiqua"/>
          <w:sz w:val="24"/>
          <w:szCs w:val="24"/>
        </w:rPr>
        <w:t>.</w:t>
      </w:r>
    </w:p>
    <w:p w14:paraId="00000025" w14:textId="77777777" w:rsidR="00EF11E0" w:rsidRDefault="00EF11E0">
      <w:pPr>
        <w:spacing w:after="0" w:line="240" w:lineRule="auto"/>
        <w:ind w:firstLine="360"/>
        <w:jc w:val="both"/>
        <w:rPr>
          <w:rFonts w:ascii="Book Antiqua" w:eastAsia="Book Antiqua" w:hAnsi="Book Antiqua" w:cs="Book Antiqua"/>
          <w:sz w:val="24"/>
          <w:szCs w:val="24"/>
        </w:rPr>
      </w:pPr>
    </w:p>
    <w:p w14:paraId="00000026" w14:textId="2A0489C5" w:rsidR="00EF11E0" w:rsidRDefault="00333413">
      <w:pPr>
        <w:spacing w:after="0" w:line="480" w:lineRule="auto"/>
        <w:rPr>
          <w:rFonts w:ascii="Book Antiqua" w:eastAsia="Book Antiqua" w:hAnsi="Book Antiqua" w:cs="Book Antiqua"/>
          <w:i/>
          <w:iCs/>
          <w:sz w:val="24"/>
          <w:szCs w:val="24"/>
        </w:rPr>
        <w:sectPr w:rsidR="00EF11E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titlePg/>
        </w:sectPr>
      </w:pPr>
      <w:r>
        <w:rPr>
          <w:rFonts w:ascii="Book Antiqua" w:eastAsia="Book Antiqua" w:hAnsi="Book Antiqua" w:cs="Book Antiqua"/>
          <w:i/>
          <w:iCs/>
          <w:sz w:val="24"/>
          <w:szCs w:val="24"/>
        </w:rPr>
        <w:t xml:space="preserve">RESUÉLVESE POR LA </w:t>
      </w:r>
      <w:r w:rsidR="00E533F2">
        <w:rPr>
          <w:rFonts w:ascii="Book Antiqua" w:eastAsia="Book Antiqua" w:hAnsi="Book Antiqua" w:cs="Book Antiqua"/>
          <w:i/>
          <w:iCs/>
          <w:sz w:val="24"/>
          <w:szCs w:val="24"/>
        </w:rPr>
        <w:t>CÁMARA</w:t>
      </w:r>
      <w:r w:rsidR="00F949E2">
        <w:rPr>
          <w:rFonts w:ascii="Book Antiqua" w:eastAsia="Book Antiqua" w:hAnsi="Book Antiqua" w:cs="Book Antiqua"/>
          <w:i/>
          <w:iCs/>
          <w:sz w:val="24"/>
          <w:szCs w:val="24"/>
        </w:rPr>
        <w:t xml:space="preserve"> </w:t>
      </w:r>
      <w:r w:rsidR="00E533F2">
        <w:rPr>
          <w:rFonts w:ascii="Book Antiqua" w:eastAsia="Book Antiqua" w:hAnsi="Book Antiqua" w:cs="Book Antiqua"/>
          <w:i/>
          <w:iCs/>
          <w:sz w:val="24"/>
          <w:szCs w:val="24"/>
        </w:rPr>
        <w:t>DE REPRESENTANTES</w:t>
      </w:r>
      <w:r w:rsidR="00F949E2">
        <w:rPr>
          <w:rFonts w:ascii="Book Antiqua" w:eastAsia="Book Antiqua" w:hAnsi="Book Antiqua" w:cs="Book Antiqua"/>
          <w:i/>
          <w:iCs/>
          <w:sz w:val="24"/>
          <w:szCs w:val="24"/>
        </w:rPr>
        <w:t xml:space="preserve"> D</w:t>
      </w:r>
      <w:r>
        <w:rPr>
          <w:rFonts w:ascii="Book Antiqua" w:eastAsia="Book Antiqua" w:hAnsi="Book Antiqua" w:cs="Book Antiqua"/>
          <w:i/>
          <w:iCs/>
          <w:sz w:val="24"/>
          <w:szCs w:val="24"/>
        </w:rPr>
        <w:t>E PUERTO RICO:</w:t>
      </w:r>
    </w:p>
    <w:p w14:paraId="00000027" w14:textId="77777777" w:rsidR="00EF11E0" w:rsidRDefault="00333413">
      <w:pPr>
        <w:spacing w:after="0" w:line="480" w:lineRule="auto"/>
        <w:ind w:firstLine="360"/>
        <w:jc w:val="both"/>
        <w:rPr>
          <w:rFonts w:ascii="Book Antiqua" w:eastAsia="Book Antiqua" w:hAnsi="Book Antiqua" w:cs="Book Antiqua"/>
          <w:sz w:val="24"/>
          <w:szCs w:val="24"/>
        </w:rPr>
      </w:pPr>
      <w:r>
        <w:rPr>
          <w:rFonts w:ascii="Book Antiqua" w:eastAsia="Book Antiqua" w:hAnsi="Book Antiqua" w:cs="Book Antiqua"/>
          <w:sz w:val="24"/>
          <w:szCs w:val="24"/>
        </w:rPr>
        <w:t xml:space="preserve">Sección 1.- Se ordena a la Comisión de Gobierno de la Cámara de Representantes de Puerto Rico, realizar una investigación exhaustiva sobre el hurto de convertidores catalíticos de los vehículos de motor en la Isla, las medidas de prevención que se están implementado para atender la situación y las iniciativas desarrolladas para garantizar </w:t>
      </w:r>
      <w:r>
        <w:rPr>
          <w:rFonts w:ascii="Book Antiqua" w:eastAsia="Book Antiqua" w:hAnsi="Book Antiqua" w:cs="Book Antiqua"/>
          <w:sz w:val="24"/>
          <w:szCs w:val="24"/>
        </w:rPr>
        <w:lastRenderedPageBreak/>
        <w:t>que las víctimas de este tipo de delito puedan mitigar los efectos de este; y para otros fines relacionados.</w:t>
      </w:r>
    </w:p>
    <w:p w14:paraId="00000028" w14:textId="77777777" w:rsidR="00EF11E0" w:rsidRDefault="00333413">
      <w:pPr>
        <w:spacing w:after="0" w:line="480" w:lineRule="auto"/>
        <w:ind w:firstLine="360"/>
        <w:jc w:val="both"/>
        <w:rPr>
          <w:rFonts w:ascii="Book Antiqua" w:eastAsia="Book Antiqua" w:hAnsi="Book Antiqua" w:cs="Book Antiqua"/>
          <w:sz w:val="24"/>
          <w:szCs w:val="24"/>
        </w:rPr>
      </w:pPr>
      <w:r>
        <w:rPr>
          <w:rFonts w:ascii="Book Antiqua" w:eastAsia="Book Antiqua" w:hAnsi="Book Antiqua" w:cs="Book Antiqua"/>
          <w:sz w:val="24"/>
          <w:szCs w:val="24"/>
        </w:rPr>
        <w:t>Sección 2.- La Comisión rendirá un informe con sus hallazgos, conclusiones y recomendaciones, no más tarde de ciento ochenta (180) días siguientes a la aprobación de esta Resolución.</w:t>
      </w:r>
    </w:p>
    <w:p w14:paraId="00000029" w14:textId="77777777" w:rsidR="00EF11E0" w:rsidRDefault="00333413">
      <w:pPr>
        <w:spacing w:after="0" w:line="480" w:lineRule="auto"/>
        <w:ind w:firstLine="360"/>
        <w:jc w:val="both"/>
        <w:rPr>
          <w:rFonts w:ascii="Book Antiqua" w:eastAsia="Book Antiqua" w:hAnsi="Book Antiqua" w:cs="Book Antiqua"/>
          <w:sz w:val="24"/>
          <w:szCs w:val="24"/>
        </w:rPr>
      </w:pPr>
      <w:r>
        <w:rPr>
          <w:rFonts w:ascii="Book Antiqua" w:eastAsia="Book Antiqua" w:hAnsi="Book Antiqua" w:cs="Book Antiqua"/>
          <w:sz w:val="24"/>
          <w:szCs w:val="24"/>
        </w:rPr>
        <w:t>Sección 6.- Esta Resolución entrará en vigor inmediatamente después de su aprobación.</w:t>
      </w:r>
    </w:p>
    <w:sectPr w:rsidR="00EF11E0">
      <w:type w:val="continuous"/>
      <w:pgSz w:w="12240" w:h="15840"/>
      <w:pgMar w:top="1440" w:right="1440" w:bottom="1440" w:left="1440" w:header="720" w:footer="720" w:gutter="0"/>
      <w:lnNumType w:countBy="1"/>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853BD" w14:textId="77777777" w:rsidR="00CC730E" w:rsidRDefault="00CC730E">
      <w:pPr>
        <w:spacing w:after="0" w:line="240" w:lineRule="auto"/>
      </w:pPr>
      <w:r>
        <w:separator/>
      </w:r>
    </w:p>
  </w:endnote>
  <w:endnote w:type="continuationSeparator" w:id="0">
    <w:p w14:paraId="5C989619" w14:textId="77777777" w:rsidR="00CC730E" w:rsidRDefault="00CC7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41804F0B-51BB-4D21-B74E-FD36DCF5D7F5}"/>
    <w:embedBold r:id="rId2" w:fontKey="{28D31CE1-8F50-401C-8630-3E531437A4F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1526324D-FFFB-4EA2-86D1-9F9FB8FC2E5E}"/>
  </w:font>
  <w:font w:name="Book Antiqua">
    <w:panose1 w:val="02040602050305030304"/>
    <w:charset w:val="00"/>
    <w:family w:val="roman"/>
    <w:pitch w:val="variable"/>
    <w:sig w:usb0="00000287" w:usb1="00000000" w:usb2="00000000" w:usb3="00000000" w:csb0="0000009F" w:csb1="00000000"/>
    <w:embedRegular r:id="rId4" w:fontKey="{3E2FBC9A-A006-497C-8809-DAC9CECF989D}"/>
    <w:embedBold r:id="rId5" w:fontKey="{A75DC9EB-2F98-4068-A577-A5561647ECE2}"/>
    <w:embedItalic r:id="rId6" w:fontKey="{DBDF3795-A358-4CC6-BAB9-0765ECD9CA01}"/>
  </w:font>
  <w:font w:name="Cambria">
    <w:panose1 w:val="02040503050406030204"/>
    <w:charset w:val="00"/>
    <w:family w:val="roman"/>
    <w:pitch w:val="variable"/>
    <w:sig w:usb0="E00006FF" w:usb1="420024FF" w:usb2="02000000" w:usb3="00000000" w:csb0="0000019F" w:csb1="00000000"/>
    <w:embedRegular r:id="rId7" w:fontKey="{D2BA5F9F-A475-4BBB-AC0C-F740B15F071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E" w14:textId="77777777" w:rsidR="00EF11E0" w:rsidRDefault="00EF11E0">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F" w14:textId="77777777" w:rsidR="00EF11E0" w:rsidRDefault="00EF11E0">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0" w14:textId="77777777" w:rsidR="00EF11E0" w:rsidRDefault="00EF11E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BAEAF" w14:textId="77777777" w:rsidR="00CC730E" w:rsidRDefault="00CC730E">
      <w:pPr>
        <w:spacing w:after="0" w:line="240" w:lineRule="auto"/>
      </w:pPr>
      <w:r>
        <w:separator/>
      </w:r>
    </w:p>
  </w:footnote>
  <w:footnote w:type="continuationSeparator" w:id="0">
    <w:p w14:paraId="408A5203" w14:textId="77777777" w:rsidR="00CC730E" w:rsidRDefault="00CC73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A" w14:textId="77777777" w:rsidR="00EF11E0" w:rsidRDefault="00EF11E0">
    <w:pPr>
      <w:pBdr>
        <w:top w:val="nil"/>
        <w:left w:val="nil"/>
        <w:bottom w:val="nil"/>
        <w:right w:val="nil"/>
        <w:between w:val="nil"/>
      </w:pBdr>
      <w:tabs>
        <w:tab w:val="center" w:pos="4320"/>
        <w:tab w:val="right" w:pos="8640"/>
      </w:tabs>
      <w:spacing w:after="0" w:line="240" w:lineRule="auto"/>
      <w:rPr>
        <w:rFonts w:ascii="Times New Roman" w:eastAsia="Times New Roman" w:hAnsi="Times New Roman" w:cs="Times New Roman"/>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B" w14:textId="18F49E77" w:rsidR="00EF11E0" w:rsidRDefault="00333413">
    <w:pPr>
      <w:pBdr>
        <w:top w:val="nil"/>
        <w:left w:val="nil"/>
        <w:bottom w:val="nil"/>
        <w:right w:val="nil"/>
        <w:between w:val="nil"/>
      </w:pBdr>
      <w:tabs>
        <w:tab w:val="center" w:pos="4320"/>
        <w:tab w:val="right" w:pos="8640"/>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354444">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14:paraId="0000002C" w14:textId="77777777" w:rsidR="00EF11E0" w:rsidRDefault="00EF11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D" w14:textId="77777777" w:rsidR="00EF11E0" w:rsidRDefault="00EF11E0">
    <w:pPr>
      <w:pBdr>
        <w:top w:val="nil"/>
        <w:left w:val="nil"/>
        <w:bottom w:val="nil"/>
        <w:right w:val="nil"/>
        <w:between w:val="nil"/>
      </w:pBdr>
      <w:tabs>
        <w:tab w:val="center" w:pos="4320"/>
        <w:tab w:val="right" w:pos="8640"/>
      </w:tabs>
      <w:spacing w:after="0" w:line="240" w:lineRule="auto"/>
      <w:rPr>
        <w:rFonts w:ascii="Times New Roman" w:eastAsia="Times New Roman" w:hAnsi="Times New Roman" w:cs="Times New Roman"/>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1E0"/>
    <w:rsid w:val="001D5A7A"/>
    <w:rsid w:val="00253D73"/>
    <w:rsid w:val="00280417"/>
    <w:rsid w:val="00315C4F"/>
    <w:rsid w:val="00333413"/>
    <w:rsid w:val="00354444"/>
    <w:rsid w:val="00473F4D"/>
    <w:rsid w:val="00526AE9"/>
    <w:rsid w:val="00603531"/>
    <w:rsid w:val="00885A25"/>
    <w:rsid w:val="00A36C76"/>
    <w:rsid w:val="00A41026"/>
    <w:rsid w:val="00A952CC"/>
    <w:rsid w:val="00CB3C3C"/>
    <w:rsid w:val="00CC730E"/>
    <w:rsid w:val="00E533F2"/>
    <w:rsid w:val="00EF11E0"/>
    <w:rsid w:val="00F94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A02A5"/>
  <w15:docId w15:val="{75F77BA2-8BB7-4922-A77A-798E97FD3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240" w:lineRule="auto"/>
      <w:outlineLvl w:val="0"/>
    </w:pPr>
    <w:rPr>
      <w:rFonts w:ascii="Times New Roman" w:eastAsia="Times New Roman" w:hAnsi="Times New Roman" w:cs="Times New Roman"/>
      <w:b/>
      <w:bCs/>
      <w:sz w:val="48"/>
      <w:szCs w:val="48"/>
    </w:rPr>
  </w:style>
  <w:style w:type="paragraph" w:styleId="Ttulo2">
    <w:name w:val="heading 2"/>
    <w:basedOn w:val="Normal"/>
    <w:next w:val="Normal"/>
    <w:uiPriority w:val="9"/>
    <w:semiHidden/>
    <w:unhideWhenUsed/>
    <w:qFormat/>
    <w:pPr>
      <w:spacing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spacing w:line="240" w:lineRule="auto"/>
      <w:outlineLvl w:val="4"/>
    </w:pPr>
    <w:rPr>
      <w:rFonts w:ascii="Times New Roman" w:eastAsia="Times New Roman" w:hAnsi="Times New Roman" w:cs="Times New Roman"/>
      <w:b/>
      <w:bCs/>
      <w:sz w:val="20"/>
      <w:szCs w:val="20"/>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character" w:styleId="Nmerodelnea">
    <w:name w:val="line number"/>
    <w:basedOn w:val="Fuentedeprrafopredeter"/>
    <w:uiPriority w:val="99"/>
    <w:semiHidden/>
    <w:unhideWhenUsed/>
    <w:rsid w:val="00EF2A8F"/>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m3pT2LzyciIBBth4hnjK6xDQw==">CgMxLjA4AHIhMXNIYzQ1VzNwSDdMT1haQ01zMjgtRGRnTXNUWmJaMDBh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734</Words>
  <Characters>4185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Cruz Alemán</dc:creator>
  <cp:lastModifiedBy>Rocío Alayón Morell</cp:lastModifiedBy>
  <cp:revision>3</cp:revision>
  <cp:lastPrinted>2025-12-17T13:02:00Z</cp:lastPrinted>
  <dcterms:created xsi:type="dcterms:W3CDTF">2025-12-16T17:19:00Z</dcterms:created>
  <dcterms:modified xsi:type="dcterms:W3CDTF">2025-12-17T13:02:00Z</dcterms:modified>
</cp:coreProperties>
</file>