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69AFA9" w14:textId="77777777" w:rsidR="006705DD" w:rsidRPr="00B95434" w:rsidRDefault="006705DD" w:rsidP="006705DD">
      <w:pPr>
        <w:jc w:val="center"/>
        <w:rPr>
          <w:rFonts w:ascii="Book Antiqua" w:hAnsi="Book Antiqua"/>
          <w:sz w:val="28"/>
          <w:szCs w:val="28"/>
          <w:lang w:val="es-ES_tradnl"/>
        </w:rPr>
      </w:pPr>
      <w:r w:rsidRPr="00B95434">
        <w:rPr>
          <w:rFonts w:ascii="Book Antiqua" w:hAnsi="Book Antiqua"/>
          <w:sz w:val="28"/>
          <w:szCs w:val="28"/>
          <w:lang w:val="es-ES_tradnl"/>
        </w:rPr>
        <w:t>GOBIERNO DE PUERTO RICO</w:t>
      </w:r>
    </w:p>
    <w:p w14:paraId="63849F0A" w14:textId="77777777" w:rsidR="006705DD" w:rsidRPr="00B95434" w:rsidRDefault="006705DD" w:rsidP="006705DD">
      <w:pPr>
        <w:jc w:val="center"/>
        <w:rPr>
          <w:rFonts w:ascii="Book Antiqua" w:hAnsi="Book Antiqua"/>
          <w:lang w:val="es-ES_tradnl"/>
        </w:rPr>
      </w:pPr>
    </w:p>
    <w:p w14:paraId="71D628C2" w14:textId="5906F6F1" w:rsidR="006705DD" w:rsidRPr="00165840" w:rsidRDefault="005E345A" w:rsidP="006705DD">
      <w:pPr>
        <w:pStyle w:val="Title2"/>
        <w:rPr>
          <w:rFonts w:ascii="Book Antiqua" w:hAnsi="Book Antiqua"/>
          <w:lang w:val="es-ES_tradnl"/>
        </w:rPr>
      </w:pPr>
      <w:r>
        <w:rPr>
          <w:rFonts w:ascii="Book Antiqua" w:hAnsi="Book Antiqua"/>
          <w:lang w:val="es-ES_tradnl"/>
        </w:rPr>
        <w:t>20</w:t>
      </w:r>
      <w:r>
        <w:rPr>
          <w:rFonts w:ascii="Book Antiqua" w:hAnsi="Book Antiqua"/>
          <w:vertAlign w:val="superscript"/>
          <w:lang w:val="es-ES_tradnl"/>
        </w:rPr>
        <w:t>m</w:t>
      </w:r>
      <w:r w:rsidR="006705DD" w:rsidRPr="00B95434">
        <w:rPr>
          <w:rFonts w:ascii="Book Antiqua" w:hAnsi="Book Antiqua"/>
          <w:vertAlign w:val="superscript"/>
          <w:lang w:val="es-ES_tradnl"/>
        </w:rPr>
        <w:t>a.</w:t>
      </w:r>
      <w:r w:rsidR="006705DD" w:rsidRPr="00B95434">
        <w:rPr>
          <w:rFonts w:ascii="Book Antiqua" w:hAnsi="Book Antiqua"/>
          <w:lang w:val="es-ES_tradnl"/>
        </w:rPr>
        <w:tab/>
        <w:t>Asamblea</w:t>
      </w:r>
      <w:r w:rsidR="006705DD" w:rsidRPr="00B95434">
        <w:rPr>
          <w:rFonts w:ascii="Book Antiqua" w:hAnsi="Book Antiqua"/>
          <w:lang w:val="es-ES_tradnl"/>
        </w:rPr>
        <w:tab/>
      </w:r>
      <w:r w:rsidR="00DB2C23">
        <w:rPr>
          <w:rFonts w:ascii="Book Antiqua" w:hAnsi="Book Antiqua"/>
          <w:lang w:val="es-ES_tradnl"/>
        </w:rPr>
        <w:t>3</w:t>
      </w:r>
      <w:r w:rsidR="00DB2C23">
        <w:rPr>
          <w:rFonts w:ascii="Book Antiqua" w:hAnsi="Book Antiqua"/>
          <w:color w:val="000000"/>
          <w:vertAlign w:val="superscript"/>
          <w:lang w:val="es-ES_tradnl"/>
        </w:rPr>
        <w:t>r</w:t>
      </w:r>
      <w:r w:rsidR="006705DD" w:rsidRPr="00F664B4">
        <w:rPr>
          <w:rFonts w:ascii="Book Antiqua" w:hAnsi="Book Antiqua"/>
          <w:color w:val="000000"/>
          <w:vertAlign w:val="superscript"/>
          <w:lang w:val="es-ES_tradnl"/>
        </w:rPr>
        <w:t>a.</w:t>
      </w:r>
      <w:r w:rsidR="006705DD" w:rsidRPr="00F664B4">
        <w:rPr>
          <w:rFonts w:ascii="Book Antiqua" w:hAnsi="Book Antiqua"/>
          <w:lang w:val="es-ES_tradnl"/>
        </w:rPr>
        <w:tab/>
        <w:t>Sesión</w:t>
      </w:r>
    </w:p>
    <w:p w14:paraId="3FE68A6B" w14:textId="77777777" w:rsidR="006705DD" w:rsidRPr="00B95434" w:rsidRDefault="006705DD" w:rsidP="006705DD">
      <w:pPr>
        <w:pStyle w:val="Title2"/>
        <w:rPr>
          <w:rFonts w:ascii="Book Antiqua" w:hAnsi="Book Antiqua"/>
          <w:lang w:val="es-ES_tradnl"/>
        </w:rPr>
      </w:pPr>
      <w:r w:rsidRPr="00165840">
        <w:rPr>
          <w:rFonts w:ascii="Book Antiqua" w:hAnsi="Book Antiqua"/>
          <w:lang w:val="es-ES_tradnl"/>
        </w:rPr>
        <w:tab/>
        <w:t>Legislativa</w:t>
      </w:r>
      <w:r w:rsidRPr="00165840">
        <w:rPr>
          <w:rFonts w:ascii="Book Antiqua" w:hAnsi="Book Antiqua"/>
          <w:lang w:val="es-ES_tradnl"/>
        </w:rPr>
        <w:tab/>
      </w:r>
      <w:r w:rsidRPr="00165840">
        <w:rPr>
          <w:rFonts w:ascii="Book Antiqua" w:hAnsi="Book Antiqua"/>
          <w:lang w:val="es-ES_tradnl"/>
        </w:rPr>
        <w:tab/>
        <w:t>Ordinaria</w:t>
      </w:r>
    </w:p>
    <w:p w14:paraId="0A59131A" w14:textId="77777777" w:rsidR="006705DD" w:rsidRPr="00B95434" w:rsidRDefault="006705DD" w:rsidP="006705DD">
      <w:pPr>
        <w:rPr>
          <w:rFonts w:ascii="Book Antiqua" w:hAnsi="Book Antiqua"/>
          <w:lang w:val="es-ES_tradnl"/>
        </w:rPr>
      </w:pPr>
    </w:p>
    <w:p w14:paraId="163E72F6" w14:textId="77777777" w:rsidR="006705DD" w:rsidRPr="00B95434" w:rsidRDefault="006705DD" w:rsidP="006705DD">
      <w:pPr>
        <w:rPr>
          <w:rFonts w:ascii="Book Antiqua" w:hAnsi="Book Antiqua"/>
          <w:lang w:val="es-ES_tradnl"/>
        </w:rPr>
      </w:pPr>
    </w:p>
    <w:p w14:paraId="74CD08C7" w14:textId="77777777" w:rsidR="006705DD" w:rsidRPr="00B95434" w:rsidRDefault="006705DD" w:rsidP="006705DD">
      <w:pPr>
        <w:jc w:val="center"/>
        <w:rPr>
          <w:rFonts w:ascii="Book Antiqua" w:hAnsi="Book Antiqua"/>
          <w:b/>
          <w:smallCaps/>
          <w:sz w:val="36"/>
          <w:szCs w:val="36"/>
          <w:lang w:val="es-ES_tradnl"/>
        </w:rPr>
      </w:pPr>
      <w:r w:rsidRPr="00B95434">
        <w:rPr>
          <w:rFonts w:ascii="Book Antiqua" w:hAnsi="Book Antiqua"/>
          <w:b/>
          <w:smallCaps/>
          <w:sz w:val="36"/>
          <w:szCs w:val="36"/>
          <w:lang w:val="es-ES_tradnl"/>
        </w:rPr>
        <w:t>CÁMARA DE REPRESENTANTES</w:t>
      </w:r>
    </w:p>
    <w:p w14:paraId="78D6AA15" w14:textId="77777777" w:rsidR="006705DD" w:rsidRPr="00374C78" w:rsidRDefault="006705DD" w:rsidP="006705DD">
      <w:pPr>
        <w:jc w:val="center"/>
        <w:rPr>
          <w:rFonts w:ascii="Book Antiqua" w:hAnsi="Book Antiqua"/>
          <w:i/>
          <w:sz w:val="20"/>
          <w:lang w:val="es-ES_tradnl"/>
        </w:rPr>
      </w:pPr>
    </w:p>
    <w:p w14:paraId="5E47E821" w14:textId="4AED49A9" w:rsidR="006705DD" w:rsidRPr="00B95434" w:rsidRDefault="006705DD" w:rsidP="006705DD">
      <w:pPr>
        <w:jc w:val="center"/>
        <w:rPr>
          <w:rFonts w:ascii="Book Antiqua" w:hAnsi="Book Antiqua"/>
          <w:b/>
          <w:sz w:val="52"/>
          <w:szCs w:val="52"/>
          <w:lang w:val="es-ES_tradnl"/>
        </w:rPr>
      </w:pPr>
      <w:r w:rsidRPr="00B95434">
        <w:rPr>
          <w:rFonts w:ascii="Book Antiqua" w:hAnsi="Book Antiqua"/>
          <w:b/>
          <w:sz w:val="52"/>
          <w:szCs w:val="52"/>
          <w:lang w:val="es-ES_tradnl"/>
        </w:rPr>
        <w:t xml:space="preserve">P. de la C. </w:t>
      </w:r>
      <w:r w:rsidR="00716BAA">
        <w:rPr>
          <w:rFonts w:ascii="Book Antiqua" w:hAnsi="Book Antiqua"/>
          <w:b/>
          <w:sz w:val="52"/>
          <w:szCs w:val="52"/>
          <w:lang w:val="es-ES_tradnl"/>
        </w:rPr>
        <w:t>995</w:t>
      </w:r>
    </w:p>
    <w:p w14:paraId="07A1279D" w14:textId="77777777" w:rsidR="006705DD" w:rsidRPr="00374C78" w:rsidRDefault="006705DD" w:rsidP="006705DD">
      <w:pPr>
        <w:jc w:val="center"/>
        <w:rPr>
          <w:rFonts w:ascii="Book Antiqua" w:hAnsi="Book Antiqua"/>
          <w:sz w:val="22"/>
          <w:szCs w:val="22"/>
          <w:lang w:val="es-ES_tradnl"/>
        </w:rPr>
      </w:pPr>
    </w:p>
    <w:p w14:paraId="4C795B8C" w14:textId="52BAD702" w:rsidR="006705DD" w:rsidRPr="00296D3F" w:rsidRDefault="006705DD" w:rsidP="006705DD">
      <w:pPr>
        <w:jc w:val="center"/>
        <w:rPr>
          <w:rFonts w:ascii="Book Antiqua" w:hAnsi="Book Antiqua"/>
          <w:b/>
          <w:sz w:val="28"/>
          <w:szCs w:val="28"/>
          <w:lang w:val="es-ES_tradnl"/>
        </w:rPr>
      </w:pPr>
      <w:r w:rsidRPr="00296D3F">
        <w:rPr>
          <w:rFonts w:ascii="Book Antiqua" w:hAnsi="Book Antiqua"/>
          <w:b/>
          <w:sz w:val="28"/>
          <w:szCs w:val="28"/>
          <w:lang w:val="es-ES_tradnl"/>
        </w:rPr>
        <w:t>INFORME</w:t>
      </w:r>
      <w:r w:rsidR="00A56BC5">
        <w:rPr>
          <w:rFonts w:ascii="Book Antiqua" w:hAnsi="Book Antiqua"/>
          <w:b/>
          <w:sz w:val="28"/>
          <w:szCs w:val="28"/>
          <w:lang w:val="es-ES_tradnl"/>
        </w:rPr>
        <w:t xml:space="preserve"> POSITIVO </w:t>
      </w:r>
    </w:p>
    <w:p w14:paraId="66B9D576" w14:textId="77777777" w:rsidR="006705DD" w:rsidRPr="00374C78" w:rsidRDefault="006705DD" w:rsidP="006705DD">
      <w:pPr>
        <w:jc w:val="center"/>
        <w:rPr>
          <w:rFonts w:ascii="Book Antiqua" w:hAnsi="Book Antiqua"/>
          <w:b/>
          <w:i/>
          <w:sz w:val="22"/>
          <w:szCs w:val="22"/>
          <w:lang w:val="es-ES_tradnl"/>
        </w:rPr>
      </w:pPr>
    </w:p>
    <w:p w14:paraId="023EF446" w14:textId="78743E89" w:rsidR="006705DD" w:rsidRPr="00B95434" w:rsidRDefault="003908A7" w:rsidP="006705DD">
      <w:pPr>
        <w:jc w:val="center"/>
        <w:rPr>
          <w:rFonts w:ascii="Book Antiqua" w:hAnsi="Book Antiqua"/>
          <w:szCs w:val="24"/>
          <w:lang w:val="es-ES_tradnl"/>
        </w:rPr>
      </w:pPr>
      <w:r>
        <w:rPr>
          <w:rFonts w:ascii="Book Antiqua" w:hAnsi="Book Antiqua"/>
          <w:szCs w:val="24"/>
          <w:lang w:val="es-ES_tradnl"/>
        </w:rPr>
        <w:t>9</w:t>
      </w:r>
      <w:r w:rsidR="006705DD" w:rsidRPr="00FC11CC">
        <w:rPr>
          <w:rFonts w:ascii="Book Antiqua" w:hAnsi="Book Antiqua"/>
          <w:szCs w:val="24"/>
          <w:lang w:val="es-ES_tradnl"/>
        </w:rPr>
        <w:t xml:space="preserve"> de</w:t>
      </w:r>
      <w:r w:rsidR="00DB2C23">
        <w:rPr>
          <w:rFonts w:ascii="Book Antiqua" w:hAnsi="Book Antiqua"/>
          <w:szCs w:val="24"/>
          <w:lang w:val="es-ES_tradnl"/>
        </w:rPr>
        <w:t xml:space="preserve"> </w:t>
      </w:r>
      <w:r w:rsidR="00716BAA">
        <w:rPr>
          <w:rFonts w:ascii="Book Antiqua" w:hAnsi="Book Antiqua"/>
          <w:szCs w:val="24"/>
          <w:lang w:val="es-ES_tradnl"/>
        </w:rPr>
        <w:t>abril</w:t>
      </w:r>
      <w:r w:rsidR="005E345A">
        <w:rPr>
          <w:rFonts w:ascii="Book Antiqua" w:hAnsi="Book Antiqua"/>
          <w:szCs w:val="24"/>
          <w:lang w:val="es-ES_tradnl"/>
        </w:rPr>
        <w:t xml:space="preserve"> de 202</w:t>
      </w:r>
      <w:r w:rsidR="00121062">
        <w:rPr>
          <w:rFonts w:ascii="Book Antiqua" w:hAnsi="Book Antiqua"/>
          <w:szCs w:val="24"/>
          <w:lang w:val="es-ES_tradnl"/>
        </w:rPr>
        <w:t>6</w:t>
      </w:r>
    </w:p>
    <w:p w14:paraId="442DE431" w14:textId="77777777" w:rsidR="006705DD" w:rsidRPr="00374C78" w:rsidRDefault="006705DD" w:rsidP="006705DD">
      <w:pPr>
        <w:jc w:val="center"/>
        <w:rPr>
          <w:rFonts w:ascii="Book Antiqua" w:hAnsi="Book Antiqua"/>
          <w:sz w:val="22"/>
          <w:szCs w:val="22"/>
          <w:lang w:val="es-ES_tradnl"/>
        </w:rPr>
      </w:pPr>
    </w:p>
    <w:p w14:paraId="2F97FF93" w14:textId="77777777" w:rsidR="006705DD" w:rsidRPr="00374C78" w:rsidRDefault="006705DD" w:rsidP="006705DD">
      <w:pPr>
        <w:jc w:val="center"/>
        <w:rPr>
          <w:rFonts w:ascii="Book Antiqua" w:hAnsi="Book Antiqua"/>
          <w:sz w:val="22"/>
          <w:szCs w:val="22"/>
          <w:lang w:val="es-ES_tradnl"/>
        </w:rPr>
      </w:pPr>
    </w:p>
    <w:p w14:paraId="520B114A" w14:textId="77777777" w:rsidR="00AC0B45" w:rsidRPr="00760D4D" w:rsidRDefault="00AC0B45" w:rsidP="00AC0B45">
      <w:pPr>
        <w:jc w:val="both"/>
        <w:rPr>
          <w:rFonts w:ascii="Book Antiqua" w:hAnsi="Book Antiqua"/>
          <w:b/>
          <w:i/>
          <w:smallCaps/>
          <w:szCs w:val="24"/>
          <w:lang w:val="es-ES_tradnl"/>
        </w:rPr>
      </w:pPr>
      <w:r w:rsidRPr="00760D4D">
        <w:rPr>
          <w:rFonts w:ascii="Book Antiqua" w:hAnsi="Book Antiqua"/>
          <w:b/>
          <w:i/>
          <w:smallCaps/>
          <w:szCs w:val="24"/>
          <w:lang w:val="es-ES_tradnl"/>
        </w:rPr>
        <w:t>A la Cámara de Representantes de Puerto Rico:</w:t>
      </w:r>
    </w:p>
    <w:p w14:paraId="42B69301" w14:textId="77777777" w:rsidR="00AC0B45" w:rsidRPr="00374C78" w:rsidRDefault="00AC0B45" w:rsidP="00AC0B45">
      <w:pPr>
        <w:jc w:val="both"/>
        <w:rPr>
          <w:rFonts w:ascii="Book Antiqua" w:hAnsi="Book Antiqua" w:cs="Arial"/>
          <w:sz w:val="22"/>
          <w:szCs w:val="22"/>
          <w:lang w:val="es-ES_tradnl"/>
        </w:rPr>
      </w:pPr>
    </w:p>
    <w:p w14:paraId="37F95BC0" w14:textId="49A78762" w:rsidR="0087700A" w:rsidRDefault="00AC0B45" w:rsidP="00AC0B45">
      <w:pPr>
        <w:jc w:val="both"/>
        <w:rPr>
          <w:rFonts w:ascii="Book Antiqua" w:hAnsi="Book Antiqua" w:cs="Arial"/>
          <w:lang w:val="es-ES"/>
        </w:rPr>
      </w:pPr>
      <w:r w:rsidRPr="00AC0B45">
        <w:rPr>
          <w:rFonts w:ascii="Book Antiqua" w:hAnsi="Book Antiqua" w:cs="Arial"/>
          <w:lang w:val="es-ES"/>
        </w:rPr>
        <w:t xml:space="preserve">La Comisión de Asuntos Municipales de la Cámara de Representantes </w:t>
      </w:r>
      <w:r w:rsidR="00FE1861">
        <w:rPr>
          <w:rFonts w:ascii="Book Antiqua" w:hAnsi="Book Antiqua" w:cs="Arial"/>
          <w:lang w:val="es-ES"/>
        </w:rPr>
        <w:t>de Puerto Rico</w:t>
      </w:r>
      <w:r w:rsidRPr="00AC0B45">
        <w:rPr>
          <w:rFonts w:ascii="Book Antiqua" w:hAnsi="Book Antiqua" w:cs="Arial"/>
          <w:lang w:val="es-ES"/>
        </w:rPr>
        <w:t>, previo estudio y consideración del</w:t>
      </w:r>
      <w:r w:rsidRPr="00AC0B45">
        <w:rPr>
          <w:rFonts w:ascii="Book Antiqua" w:hAnsi="Book Antiqua" w:cs="Arial"/>
          <w:b/>
          <w:bCs/>
          <w:lang w:val="es-ES"/>
        </w:rPr>
        <w:t xml:space="preserve"> </w:t>
      </w:r>
      <w:r w:rsidRPr="00AC0B45">
        <w:rPr>
          <w:rFonts w:ascii="Book Antiqua" w:hAnsi="Book Antiqua" w:cs="Arial"/>
          <w:lang w:val="es-ES"/>
        </w:rPr>
        <w:t xml:space="preserve">Proyecto de la Cámara </w:t>
      </w:r>
      <w:r w:rsidR="00716BAA">
        <w:rPr>
          <w:rFonts w:ascii="Book Antiqua" w:hAnsi="Book Antiqua" w:cs="Arial"/>
          <w:lang w:val="es-ES"/>
        </w:rPr>
        <w:t>995</w:t>
      </w:r>
      <w:r w:rsidR="0087700A">
        <w:rPr>
          <w:rFonts w:ascii="Book Antiqua" w:hAnsi="Book Antiqua" w:cs="Arial"/>
          <w:lang w:val="es-ES"/>
        </w:rPr>
        <w:t xml:space="preserve">, tiene el honor de recomendar a este Alto Cuerpo su </w:t>
      </w:r>
      <w:r w:rsidR="00A927E0">
        <w:rPr>
          <w:rFonts w:ascii="Book Antiqua" w:hAnsi="Book Antiqua" w:cs="Arial"/>
          <w:lang w:val="es-ES"/>
        </w:rPr>
        <w:t xml:space="preserve">aprobación, </w:t>
      </w:r>
      <w:r w:rsidR="00A927E0" w:rsidRPr="009B3675">
        <w:rPr>
          <w:rFonts w:ascii="Book Antiqua" w:hAnsi="Book Antiqua" w:cs="Arial"/>
          <w:lang w:val="es-ES"/>
        </w:rPr>
        <w:t>con</w:t>
      </w:r>
      <w:r w:rsidR="009B3675" w:rsidRPr="009B3675">
        <w:rPr>
          <w:rFonts w:ascii="Book Antiqua" w:hAnsi="Book Antiqua" w:cs="Arial"/>
          <w:lang w:val="es-ES"/>
        </w:rPr>
        <w:t xml:space="preserve"> las enmiendas que se incluyen en el entirillado electrónico que acompaña este </w:t>
      </w:r>
      <w:r w:rsidR="00836AAE">
        <w:rPr>
          <w:rFonts w:ascii="Book Antiqua" w:hAnsi="Book Antiqua" w:cs="Arial"/>
          <w:lang w:val="es-ES"/>
        </w:rPr>
        <w:t>i</w:t>
      </w:r>
      <w:r w:rsidR="009B3675" w:rsidRPr="009B3675">
        <w:rPr>
          <w:rFonts w:ascii="Book Antiqua" w:hAnsi="Book Antiqua" w:cs="Arial"/>
          <w:lang w:val="es-ES"/>
        </w:rPr>
        <w:t xml:space="preserve">nforme. </w:t>
      </w:r>
    </w:p>
    <w:p w14:paraId="0C8A8066" w14:textId="77777777" w:rsidR="00276C3E" w:rsidRPr="00374C78" w:rsidRDefault="00276C3E" w:rsidP="00864A55">
      <w:pPr>
        <w:rPr>
          <w:rFonts w:ascii="Book Antiqua" w:hAnsi="Book Antiqua"/>
          <w:b/>
          <w:i/>
          <w:smallCaps/>
          <w:sz w:val="22"/>
          <w:szCs w:val="22"/>
          <w:lang w:val="es-ES_tradnl"/>
        </w:rPr>
      </w:pPr>
      <w:bookmarkStart w:id="0" w:name="_Hlk189811370"/>
    </w:p>
    <w:p w14:paraId="2458AB3E" w14:textId="5FAD0AF7" w:rsidR="00AC0B45" w:rsidRDefault="00AC0B45" w:rsidP="0087700A">
      <w:pPr>
        <w:jc w:val="center"/>
        <w:rPr>
          <w:rFonts w:ascii="Book Antiqua" w:hAnsi="Book Antiqua"/>
          <w:b/>
          <w:i/>
          <w:smallCaps/>
          <w:szCs w:val="24"/>
          <w:lang w:val="es-ES_tradnl"/>
        </w:rPr>
      </w:pPr>
      <w:r w:rsidRPr="00760D4D">
        <w:rPr>
          <w:rFonts w:ascii="Book Antiqua" w:hAnsi="Book Antiqua"/>
          <w:b/>
          <w:i/>
          <w:smallCaps/>
          <w:szCs w:val="24"/>
          <w:lang w:val="es-ES_tradnl"/>
        </w:rPr>
        <w:t>Alcance de la Medida</w:t>
      </w:r>
    </w:p>
    <w:bookmarkEnd w:id="0"/>
    <w:p w14:paraId="68D9994E" w14:textId="77777777" w:rsidR="00AC0B45" w:rsidRPr="00374C78" w:rsidRDefault="00AC0B45" w:rsidP="00864A55">
      <w:pPr>
        <w:rPr>
          <w:rFonts w:ascii="Book Antiqua" w:hAnsi="Book Antiqua" w:cs="Arial"/>
          <w:sz w:val="22"/>
          <w:szCs w:val="22"/>
          <w:lang w:val="es-ES"/>
        </w:rPr>
      </w:pPr>
    </w:p>
    <w:p w14:paraId="3F6D663B" w14:textId="0DE8D6BD" w:rsidR="00A76B51" w:rsidRDefault="00AC0B45" w:rsidP="00A76B51">
      <w:pPr>
        <w:autoSpaceDE w:val="0"/>
        <w:autoSpaceDN w:val="0"/>
        <w:adjustRightInd w:val="0"/>
        <w:jc w:val="both"/>
        <w:rPr>
          <w:rFonts w:ascii="Book Antiqua" w:eastAsia="Times New Roman" w:hAnsi="Book Antiqua"/>
          <w:spacing w:val="-3"/>
          <w:szCs w:val="24"/>
          <w:lang w:val="es-ES_tradnl"/>
        </w:rPr>
      </w:pPr>
      <w:r w:rsidRPr="00AC0B45">
        <w:rPr>
          <w:rFonts w:ascii="Book Antiqua" w:hAnsi="Book Antiqua" w:cs="Arial"/>
          <w:lang w:val="es-ES"/>
        </w:rPr>
        <w:t xml:space="preserve">El Proyecto de la Cámara </w:t>
      </w:r>
      <w:r w:rsidR="00716BAA">
        <w:rPr>
          <w:rFonts w:ascii="Book Antiqua" w:hAnsi="Book Antiqua" w:cs="Arial"/>
          <w:lang w:val="es-ES"/>
        </w:rPr>
        <w:t>995</w:t>
      </w:r>
      <w:r w:rsidR="00A927E0">
        <w:rPr>
          <w:rFonts w:ascii="Book Antiqua" w:hAnsi="Book Antiqua" w:cs="Arial"/>
          <w:lang w:val="es-ES"/>
        </w:rPr>
        <w:t>,</w:t>
      </w:r>
      <w:r w:rsidRPr="00AC0B45">
        <w:rPr>
          <w:rFonts w:ascii="Book Antiqua" w:hAnsi="Book Antiqua" w:cs="Arial"/>
          <w:lang w:val="es-ES"/>
        </w:rPr>
        <w:t xml:space="preserve"> seg</w:t>
      </w:r>
      <w:r>
        <w:rPr>
          <w:rFonts w:ascii="Book Antiqua" w:hAnsi="Book Antiqua"/>
          <w:szCs w:val="24"/>
          <w:lang w:val="es-ES_tradnl"/>
        </w:rPr>
        <w:t>ú</w:t>
      </w:r>
      <w:r w:rsidRPr="00AC0B45">
        <w:rPr>
          <w:rFonts w:ascii="Book Antiqua" w:hAnsi="Book Antiqua" w:cs="Arial"/>
          <w:lang w:val="es-ES"/>
        </w:rPr>
        <w:t xml:space="preserve">n </w:t>
      </w:r>
      <w:r w:rsidR="001F7182" w:rsidRPr="00AC0B45">
        <w:rPr>
          <w:rFonts w:ascii="Book Antiqua" w:hAnsi="Book Antiqua" w:cs="Arial"/>
          <w:lang w:val="es-ES"/>
        </w:rPr>
        <w:t>radicado,</w:t>
      </w:r>
      <w:r w:rsidR="001F7182">
        <w:rPr>
          <w:rFonts w:ascii="Book Antiqua" w:hAnsi="Book Antiqua" w:cs="Arial"/>
          <w:lang w:val="es-ES"/>
        </w:rPr>
        <w:t xml:space="preserve"> busca </w:t>
      </w:r>
      <w:r w:rsidR="00716BAA" w:rsidRPr="00716BAA">
        <w:rPr>
          <w:rFonts w:ascii="Book Antiqua" w:eastAsia="Times New Roman" w:hAnsi="Book Antiqua"/>
          <w:spacing w:val="-3"/>
          <w:szCs w:val="24"/>
          <w:lang w:val="es-ES_tradnl"/>
        </w:rPr>
        <w:t>añadir un nuevo Artículo 4.009-A a la Ley Núm. 107 de 13 de agosto de 2020, conocida como “Código Municipal de Puerto Rico”, a los fines de establecer como primera opción la celebración de vistas adjudicativas mediante el mecanismo de videoconferencia; ordenar la adopción o enmiendas a la reglamentación y para otros fines relacionados.</w:t>
      </w:r>
    </w:p>
    <w:p w14:paraId="0B550845" w14:textId="77777777" w:rsidR="00716BAA" w:rsidRPr="00374C78" w:rsidRDefault="00716BAA" w:rsidP="00A76B51">
      <w:pPr>
        <w:autoSpaceDE w:val="0"/>
        <w:autoSpaceDN w:val="0"/>
        <w:adjustRightInd w:val="0"/>
        <w:jc w:val="both"/>
        <w:rPr>
          <w:rFonts w:ascii="Book Antiqua" w:hAnsi="Book Antiqua" w:cs="Arial"/>
          <w:sz w:val="22"/>
          <w:szCs w:val="22"/>
          <w:lang w:val="es-ES"/>
        </w:rPr>
      </w:pPr>
    </w:p>
    <w:p w14:paraId="0EC652EC" w14:textId="497A0443" w:rsidR="00716BAA" w:rsidRDefault="00182ED3" w:rsidP="00716BAA">
      <w:pPr>
        <w:pStyle w:val="NormalWeb"/>
        <w:spacing w:before="0" w:beforeAutospacing="0" w:after="0" w:afterAutospacing="0"/>
        <w:jc w:val="both"/>
        <w:rPr>
          <w:rFonts w:ascii="Book Antiqua" w:hAnsi="Book Antiqua"/>
          <w:lang w:val="es-ES"/>
        </w:rPr>
      </w:pPr>
      <w:r w:rsidRPr="000245A3">
        <w:rPr>
          <w:rFonts w:ascii="Book Antiqua" w:hAnsi="Book Antiqua" w:cs="Arial"/>
          <w:lang w:val="es-ES"/>
        </w:rPr>
        <w:t>Según establece la Exposición de Motivos</w:t>
      </w:r>
      <w:r w:rsidR="00A927E0">
        <w:rPr>
          <w:rFonts w:ascii="Book Antiqua" w:hAnsi="Book Antiqua" w:cs="Arial"/>
          <w:lang w:val="es-ES"/>
        </w:rPr>
        <w:t>,</w:t>
      </w:r>
      <w:r w:rsidRPr="000245A3">
        <w:rPr>
          <w:rFonts w:ascii="Book Antiqua" w:hAnsi="Book Antiqua" w:cs="Arial"/>
          <w:lang w:val="es-ES"/>
        </w:rPr>
        <w:t xml:space="preserve"> </w:t>
      </w:r>
      <w:r w:rsidR="00836AAE">
        <w:rPr>
          <w:rFonts w:ascii="Book Antiqua" w:hAnsi="Book Antiqua" w:cs="Arial"/>
          <w:lang w:val="es-ES"/>
        </w:rPr>
        <w:t>l</w:t>
      </w:r>
      <w:r w:rsidR="00716BAA" w:rsidRPr="00CF3442">
        <w:rPr>
          <w:rFonts w:ascii="Book Antiqua" w:hAnsi="Book Antiqua"/>
          <w:lang w:val="es-ES"/>
        </w:rPr>
        <w:t>as vistas adjudicativas ante las estructuras administrativas municipales constituyen un mecanismo esencial para viabilizar el debido proceso de ley en procedimientos que inciden directamente sobre derechos ciudadanos. Por ello, es indispensable que dichos procedimientos se conduzcan con agilidad, eficiencia y sin crear cargas indebidas para las partes ni para el propio municipio.</w:t>
      </w:r>
    </w:p>
    <w:p w14:paraId="6967F1FC" w14:textId="77777777" w:rsidR="00716BAA" w:rsidRPr="00374C78" w:rsidRDefault="00716BAA" w:rsidP="00716BAA">
      <w:pPr>
        <w:pStyle w:val="NormalWeb"/>
        <w:spacing w:before="0" w:beforeAutospacing="0" w:after="0" w:afterAutospacing="0"/>
        <w:ind w:firstLine="720"/>
        <w:jc w:val="both"/>
        <w:rPr>
          <w:rFonts w:ascii="Book Antiqua" w:hAnsi="Book Antiqua"/>
          <w:sz w:val="22"/>
          <w:szCs w:val="22"/>
        </w:rPr>
      </w:pPr>
    </w:p>
    <w:p w14:paraId="53BB50F9" w14:textId="1BDDF3C9" w:rsidR="00716BAA" w:rsidRDefault="00716BAA" w:rsidP="00716BAA">
      <w:pPr>
        <w:pStyle w:val="NormalWeb"/>
        <w:spacing w:before="0" w:beforeAutospacing="0" w:after="0" w:afterAutospacing="0"/>
        <w:jc w:val="both"/>
        <w:rPr>
          <w:rFonts w:ascii="Book Antiqua" w:hAnsi="Book Antiqua"/>
          <w:lang w:val="es-ES"/>
        </w:rPr>
      </w:pPr>
      <w:r w:rsidRPr="00CF3442">
        <w:rPr>
          <w:rFonts w:ascii="Book Antiqua" w:hAnsi="Book Antiqua"/>
          <w:lang w:val="es-ES"/>
        </w:rPr>
        <w:t>La Ley Núm. 38-2017, conocida como “Ley de Procedimiento Administrativo Uniforme del Gobierno de Puerto Rico” (LPAU), estableció una política pública clara en cuanto a la modernización de los procesos adjudicativos de las agencias del Ejecutivo. En particular, su Sección 3.22 reconoció el uso de videoconferencias como un mecanismo válido y preferible para la celebración de vistas, con el fin de facilitar la presencia de las partes, minimizar retrasos y optimizar recursos gubernamentales y ciudadanos.</w:t>
      </w:r>
    </w:p>
    <w:p w14:paraId="2897F14C" w14:textId="77777777" w:rsidR="00716BAA" w:rsidRDefault="00716BAA" w:rsidP="00716BAA">
      <w:pPr>
        <w:pStyle w:val="NormalWeb"/>
        <w:spacing w:before="0" w:beforeAutospacing="0" w:after="0" w:afterAutospacing="0"/>
        <w:jc w:val="both"/>
        <w:rPr>
          <w:rFonts w:ascii="Book Antiqua" w:hAnsi="Book Antiqua"/>
          <w:lang w:val="es-ES"/>
        </w:rPr>
      </w:pPr>
      <w:r w:rsidRPr="00CF3442">
        <w:rPr>
          <w:rFonts w:ascii="Book Antiqua" w:hAnsi="Book Antiqua"/>
          <w:lang w:val="es-ES"/>
        </w:rPr>
        <w:lastRenderedPageBreak/>
        <w:t>No obstante, aunque los municipios son parte integral del aparato gubernamental y gozan de autonomía para la gestión de sus asuntos, su estructura administrativa no está ajena a la política pública establecida a nivel estatal. Los municipios son creaciones de la Asamblea Legislativa y su marco legal se deriva de la autoridad conferida por esta última. En virtud de ello, resulta lógico y necesario armonizar las disposiciones de la LPAU con las normas procedimentales municipales para asegurar uniformidad, eficiencia y modernización en los procesos adjudicativos que protagonizan los gobiernos locales.</w:t>
      </w:r>
    </w:p>
    <w:p w14:paraId="6810BFF5" w14:textId="77777777" w:rsidR="00716BAA" w:rsidRPr="00374C78" w:rsidRDefault="00716BAA" w:rsidP="00716BAA">
      <w:pPr>
        <w:pStyle w:val="NormalWeb"/>
        <w:spacing w:before="0" w:beforeAutospacing="0" w:after="0" w:afterAutospacing="0"/>
        <w:ind w:firstLine="720"/>
        <w:jc w:val="both"/>
        <w:rPr>
          <w:rFonts w:ascii="Book Antiqua" w:hAnsi="Book Antiqua"/>
          <w:sz w:val="22"/>
          <w:szCs w:val="22"/>
          <w:lang w:val="es-ES"/>
        </w:rPr>
      </w:pPr>
    </w:p>
    <w:p w14:paraId="7756AA82" w14:textId="65A1018E" w:rsidR="007E3FE5" w:rsidRPr="008A1DDA" w:rsidRDefault="00716BAA" w:rsidP="00BE0B25">
      <w:pPr>
        <w:pStyle w:val="NormalWeb"/>
        <w:spacing w:before="0" w:beforeAutospacing="0" w:after="0" w:afterAutospacing="0"/>
        <w:jc w:val="both"/>
        <w:rPr>
          <w:rFonts w:ascii="Book Antiqua" w:hAnsi="Book Antiqua"/>
          <w:b/>
          <w:i/>
          <w:smallCaps/>
        </w:rPr>
      </w:pPr>
      <w:r w:rsidRPr="00CF3442">
        <w:rPr>
          <w:rFonts w:ascii="Book Antiqua" w:hAnsi="Book Antiqua"/>
          <w:lang w:val="es-ES"/>
        </w:rPr>
        <w:t>El uso de videoconferencia para celebración de vistas adjudicativas logra, además, beneficios innegables: optimiza el tiempo y los recursos municipales, reduce gastos operacionales, garantiza mayor participación ciudadana, y permite la continuidad de los servicios frente a eventualidades como emergencias atmosféricas o crisis de salud pública.</w:t>
      </w:r>
    </w:p>
    <w:p w14:paraId="2536733D" w14:textId="77777777" w:rsidR="00836AAE" w:rsidRPr="00374C78" w:rsidRDefault="00836AAE" w:rsidP="00BE0B25">
      <w:pPr>
        <w:jc w:val="center"/>
        <w:rPr>
          <w:rFonts w:ascii="Book Antiqua" w:hAnsi="Book Antiqua"/>
          <w:b/>
          <w:i/>
          <w:smallCaps/>
          <w:sz w:val="22"/>
          <w:szCs w:val="22"/>
          <w:lang w:val="es-ES_tradnl"/>
        </w:rPr>
      </w:pPr>
    </w:p>
    <w:p w14:paraId="55A1479C" w14:textId="271329C7" w:rsidR="002169FB" w:rsidRDefault="004D7CDB" w:rsidP="00BE0B25">
      <w:pPr>
        <w:jc w:val="center"/>
        <w:rPr>
          <w:rFonts w:ascii="Book Antiqua" w:hAnsi="Book Antiqua"/>
          <w:b/>
          <w:i/>
          <w:smallCaps/>
          <w:szCs w:val="24"/>
          <w:lang w:val="es-ES_tradnl"/>
        </w:rPr>
      </w:pPr>
      <w:r>
        <w:rPr>
          <w:rFonts w:ascii="Book Antiqua" w:hAnsi="Book Antiqua"/>
          <w:b/>
          <w:i/>
          <w:smallCaps/>
          <w:szCs w:val="24"/>
          <w:lang w:val="es-ES_tradnl"/>
        </w:rPr>
        <w:t>Resumen de Memoriales</w:t>
      </w:r>
      <w:r w:rsidR="009E093A">
        <w:rPr>
          <w:rFonts w:ascii="Book Antiqua" w:hAnsi="Book Antiqua"/>
          <w:b/>
          <w:i/>
          <w:smallCaps/>
          <w:szCs w:val="24"/>
          <w:lang w:val="es-ES_tradnl"/>
        </w:rPr>
        <w:t xml:space="preserve"> y Trámite Legislativo</w:t>
      </w:r>
    </w:p>
    <w:p w14:paraId="61021842" w14:textId="6D772741" w:rsidR="00121062" w:rsidRPr="00A927E0" w:rsidRDefault="005616B3" w:rsidP="00BE0B25">
      <w:pPr>
        <w:spacing w:before="100" w:beforeAutospacing="1" w:after="100" w:afterAutospacing="1"/>
        <w:jc w:val="both"/>
        <w:rPr>
          <w:rFonts w:ascii="Book Antiqua" w:hAnsi="Book Antiqua"/>
          <w:lang w:val="es-ES"/>
        </w:rPr>
      </w:pPr>
      <w:r w:rsidRPr="00DB2C23">
        <w:rPr>
          <w:rFonts w:ascii="Book Antiqua" w:hAnsi="Book Antiqua"/>
          <w:bCs/>
          <w:iCs/>
          <w:szCs w:val="24"/>
          <w:lang w:val="es-ES"/>
        </w:rPr>
        <w:t xml:space="preserve">Durante la discusión y </w:t>
      </w:r>
      <w:r w:rsidR="00D400B4" w:rsidRPr="00DB2C23">
        <w:rPr>
          <w:rFonts w:ascii="Book Antiqua" w:hAnsi="Book Antiqua"/>
          <w:bCs/>
          <w:iCs/>
          <w:szCs w:val="24"/>
          <w:lang w:val="es-ES"/>
        </w:rPr>
        <w:t>análisis</w:t>
      </w:r>
      <w:r w:rsidRPr="00DB2C23">
        <w:rPr>
          <w:rFonts w:ascii="Book Antiqua" w:hAnsi="Book Antiqua"/>
          <w:bCs/>
          <w:iCs/>
          <w:szCs w:val="24"/>
          <w:lang w:val="es-ES"/>
        </w:rPr>
        <w:t xml:space="preserve"> legislativo de la </w:t>
      </w:r>
      <w:r w:rsidR="009E093A" w:rsidRPr="00DB2C23">
        <w:rPr>
          <w:rFonts w:ascii="Book Antiqua" w:hAnsi="Book Antiqua"/>
          <w:bCs/>
          <w:iCs/>
          <w:szCs w:val="24"/>
          <w:lang w:val="es-ES"/>
        </w:rPr>
        <w:t>p</w:t>
      </w:r>
      <w:r w:rsidRPr="00DB2C23">
        <w:rPr>
          <w:rFonts w:ascii="Book Antiqua" w:hAnsi="Book Antiqua"/>
          <w:bCs/>
          <w:iCs/>
          <w:szCs w:val="24"/>
          <w:lang w:val="es-ES"/>
        </w:rPr>
        <w:t xml:space="preserve">resente </w:t>
      </w:r>
      <w:r w:rsidR="009E093A" w:rsidRPr="00DB2C23">
        <w:rPr>
          <w:rFonts w:ascii="Book Antiqua" w:hAnsi="Book Antiqua"/>
          <w:bCs/>
          <w:iCs/>
          <w:szCs w:val="24"/>
          <w:lang w:val="es-ES"/>
        </w:rPr>
        <w:t xml:space="preserve">medida, </w:t>
      </w:r>
      <w:bookmarkStart w:id="1" w:name="_Hlk195509733"/>
      <w:r w:rsidR="00DB2C23" w:rsidRPr="00DB2C23">
        <w:rPr>
          <w:rFonts w:ascii="Book Antiqua" w:hAnsi="Book Antiqua"/>
          <w:bCs/>
          <w:iCs/>
          <w:szCs w:val="24"/>
          <w:lang w:val="es-ES"/>
        </w:rPr>
        <w:t xml:space="preserve">se </w:t>
      </w:r>
      <w:r w:rsidR="00121062" w:rsidRPr="00DB2C23">
        <w:rPr>
          <w:rFonts w:ascii="Book Antiqua" w:hAnsi="Book Antiqua"/>
          <w:bCs/>
          <w:iCs/>
          <w:szCs w:val="24"/>
          <w:lang w:val="es-ES"/>
        </w:rPr>
        <w:t>realizó</w:t>
      </w:r>
      <w:r w:rsidR="00DB2C23" w:rsidRPr="00DB2C23">
        <w:rPr>
          <w:rFonts w:ascii="Book Antiqua" w:hAnsi="Book Antiqua"/>
          <w:bCs/>
          <w:iCs/>
          <w:szCs w:val="24"/>
          <w:lang w:val="es-ES"/>
        </w:rPr>
        <w:t xml:space="preserve"> </w:t>
      </w:r>
      <w:r w:rsidR="00A927E0">
        <w:rPr>
          <w:rFonts w:ascii="Book Antiqua" w:hAnsi="Book Antiqua"/>
          <w:bCs/>
          <w:iCs/>
          <w:szCs w:val="24"/>
          <w:lang w:val="es-ES"/>
        </w:rPr>
        <w:t>una</w:t>
      </w:r>
      <w:r w:rsidR="00DB2C23" w:rsidRPr="00DB2C23">
        <w:rPr>
          <w:rFonts w:ascii="Book Antiqua" w:hAnsi="Book Antiqua"/>
          <w:bCs/>
          <w:iCs/>
          <w:szCs w:val="24"/>
          <w:lang w:val="es-ES"/>
        </w:rPr>
        <w:t xml:space="preserve"> </w:t>
      </w:r>
      <w:r w:rsidR="003C7016">
        <w:rPr>
          <w:rFonts w:ascii="Book Antiqua" w:hAnsi="Book Antiqua"/>
          <w:bCs/>
          <w:iCs/>
          <w:szCs w:val="24"/>
          <w:lang w:val="es-ES"/>
        </w:rPr>
        <w:t>v</w:t>
      </w:r>
      <w:r w:rsidR="00DB2C23" w:rsidRPr="00DB2C23">
        <w:rPr>
          <w:rFonts w:ascii="Book Antiqua" w:hAnsi="Book Antiqua"/>
          <w:bCs/>
          <w:iCs/>
          <w:szCs w:val="24"/>
          <w:lang w:val="es-ES"/>
        </w:rPr>
        <w:t xml:space="preserve">ista </w:t>
      </w:r>
      <w:r w:rsidR="003C7016">
        <w:rPr>
          <w:rFonts w:ascii="Book Antiqua" w:hAnsi="Book Antiqua"/>
          <w:bCs/>
          <w:iCs/>
          <w:szCs w:val="24"/>
          <w:lang w:val="es-ES"/>
        </w:rPr>
        <w:t>p</w:t>
      </w:r>
      <w:r w:rsidR="00A927E0" w:rsidRPr="00DB2C23">
        <w:rPr>
          <w:rFonts w:ascii="Book Antiqua" w:hAnsi="Book Antiqua"/>
          <w:bCs/>
          <w:iCs/>
          <w:szCs w:val="24"/>
          <w:lang w:val="es-ES"/>
        </w:rPr>
        <w:t>ública</w:t>
      </w:r>
      <w:r w:rsidR="00DB2C23" w:rsidRPr="00DB2C23">
        <w:rPr>
          <w:rFonts w:ascii="Book Antiqua" w:hAnsi="Book Antiqua"/>
          <w:bCs/>
          <w:iCs/>
          <w:szCs w:val="24"/>
          <w:lang w:val="es-ES"/>
        </w:rPr>
        <w:t xml:space="preserve"> el </w:t>
      </w:r>
      <w:r w:rsidR="00836AAE" w:rsidRPr="00DB2C23">
        <w:rPr>
          <w:rFonts w:ascii="Book Antiqua" w:hAnsi="Book Antiqua"/>
          <w:bCs/>
          <w:iCs/>
          <w:szCs w:val="24"/>
          <w:lang w:val="es-ES"/>
        </w:rPr>
        <w:t>martes</w:t>
      </w:r>
      <w:r w:rsidR="00836AAE">
        <w:rPr>
          <w:rFonts w:ascii="Book Antiqua" w:hAnsi="Book Antiqua"/>
          <w:bCs/>
          <w:iCs/>
          <w:szCs w:val="24"/>
          <w:lang w:val="es-ES"/>
        </w:rPr>
        <w:t>,</w:t>
      </w:r>
      <w:r w:rsidR="00836AAE" w:rsidRPr="00DB2C23">
        <w:rPr>
          <w:rFonts w:ascii="Book Antiqua" w:hAnsi="Book Antiqua"/>
          <w:bCs/>
          <w:iCs/>
          <w:szCs w:val="24"/>
          <w:lang w:val="es-ES"/>
        </w:rPr>
        <w:t xml:space="preserve"> </w:t>
      </w:r>
      <w:r w:rsidR="00836AAE">
        <w:rPr>
          <w:rFonts w:ascii="Book Antiqua" w:hAnsi="Book Antiqua"/>
          <w:bCs/>
          <w:iCs/>
          <w:szCs w:val="24"/>
          <w:lang w:val="es-ES"/>
        </w:rPr>
        <w:t>24</w:t>
      </w:r>
      <w:r w:rsidR="00C61037">
        <w:rPr>
          <w:rFonts w:ascii="Book Antiqua" w:hAnsi="Book Antiqua"/>
          <w:bCs/>
          <w:iCs/>
          <w:szCs w:val="24"/>
          <w:lang w:val="es-ES"/>
        </w:rPr>
        <w:t xml:space="preserve"> de marzo</w:t>
      </w:r>
      <w:r w:rsidR="00DB2C23" w:rsidRPr="00DB2C23">
        <w:rPr>
          <w:rFonts w:ascii="Book Antiqua" w:hAnsi="Book Antiqua"/>
          <w:bCs/>
          <w:iCs/>
          <w:szCs w:val="24"/>
          <w:lang w:val="es-ES"/>
        </w:rPr>
        <w:t xml:space="preserve"> de 2026, en el </w:t>
      </w:r>
      <w:r w:rsidR="00836AAE">
        <w:rPr>
          <w:rFonts w:ascii="Book Antiqua" w:hAnsi="Book Antiqua"/>
          <w:bCs/>
          <w:iCs/>
          <w:szCs w:val="24"/>
          <w:lang w:val="es-ES"/>
        </w:rPr>
        <w:t>S</w:t>
      </w:r>
      <w:r w:rsidR="00DB2C23" w:rsidRPr="00DB2C23">
        <w:rPr>
          <w:rFonts w:ascii="Book Antiqua" w:hAnsi="Book Antiqua"/>
          <w:bCs/>
          <w:iCs/>
          <w:szCs w:val="24"/>
          <w:lang w:val="es-ES"/>
        </w:rPr>
        <w:t xml:space="preserve">alón </w:t>
      </w:r>
      <w:r w:rsidR="00836AAE">
        <w:rPr>
          <w:rFonts w:ascii="Book Antiqua" w:hAnsi="Book Antiqua"/>
          <w:bCs/>
          <w:iCs/>
          <w:szCs w:val="24"/>
          <w:lang w:val="es-ES"/>
        </w:rPr>
        <w:t xml:space="preserve">de </w:t>
      </w:r>
      <w:r w:rsidR="00DB2C23" w:rsidRPr="00DB2C23">
        <w:rPr>
          <w:rFonts w:ascii="Book Antiqua" w:hAnsi="Book Antiqua"/>
          <w:bCs/>
          <w:iCs/>
          <w:szCs w:val="24"/>
          <w:lang w:val="es-ES"/>
        </w:rPr>
        <w:t xml:space="preserve">Audiencias </w:t>
      </w:r>
      <w:r w:rsidR="008A1DDA">
        <w:rPr>
          <w:rFonts w:ascii="Book Antiqua" w:hAnsi="Book Antiqua"/>
          <w:bCs/>
          <w:iCs/>
          <w:szCs w:val="24"/>
          <w:lang w:val="es-ES"/>
        </w:rPr>
        <w:t>2</w:t>
      </w:r>
      <w:r w:rsidR="00DB2C23" w:rsidRPr="00DB2C23">
        <w:rPr>
          <w:rFonts w:ascii="Book Antiqua" w:hAnsi="Book Antiqua"/>
          <w:bCs/>
          <w:iCs/>
          <w:szCs w:val="24"/>
          <w:lang w:val="es-ES"/>
        </w:rPr>
        <w:t>, a las 10:00am</w:t>
      </w:r>
      <w:bookmarkStart w:id="2" w:name="_Hlk199336735"/>
      <w:bookmarkEnd w:id="1"/>
      <w:r w:rsidR="008A1DDA">
        <w:rPr>
          <w:rFonts w:ascii="Book Antiqua" w:hAnsi="Book Antiqua"/>
          <w:bCs/>
          <w:iCs/>
          <w:szCs w:val="24"/>
          <w:lang w:val="es-ES"/>
        </w:rPr>
        <w:t xml:space="preserve">. </w:t>
      </w:r>
      <w:r w:rsidR="00A927E0">
        <w:rPr>
          <w:rFonts w:ascii="Book Antiqua" w:hAnsi="Book Antiqua"/>
          <w:bCs/>
          <w:iCs/>
          <w:szCs w:val="24"/>
          <w:lang w:val="es-ES"/>
        </w:rPr>
        <w:t xml:space="preserve">En dicha </w:t>
      </w:r>
      <w:r w:rsidR="003C7016">
        <w:rPr>
          <w:rFonts w:ascii="Book Antiqua" w:hAnsi="Book Antiqua"/>
          <w:bCs/>
          <w:iCs/>
          <w:szCs w:val="24"/>
          <w:lang w:val="es-ES"/>
        </w:rPr>
        <w:t>v</w:t>
      </w:r>
      <w:r w:rsidR="00A927E0">
        <w:rPr>
          <w:rFonts w:ascii="Book Antiqua" w:hAnsi="Book Antiqua"/>
          <w:bCs/>
          <w:iCs/>
          <w:szCs w:val="24"/>
          <w:lang w:val="es-ES"/>
        </w:rPr>
        <w:t xml:space="preserve">ista comparecieron las siguientes agencias: </w:t>
      </w:r>
    </w:p>
    <w:p w14:paraId="457A5188" w14:textId="1DA50AF4" w:rsidR="00A927E0" w:rsidRDefault="001F7182" w:rsidP="00121062">
      <w:pPr>
        <w:pStyle w:val="ListParagraph"/>
        <w:numPr>
          <w:ilvl w:val="0"/>
          <w:numId w:val="13"/>
        </w:numPr>
        <w:spacing w:before="100" w:beforeAutospacing="1" w:after="100" w:afterAutospacing="1"/>
        <w:rPr>
          <w:rFonts w:ascii="Book Antiqua" w:hAnsi="Book Antiqua"/>
          <w:b/>
          <w:bCs/>
          <w:i/>
          <w:iCs/>
        </w:rPr>
      </w:pPr>
      <w:r>
        <w:rPr>
          <w:rFonts w:ascii="Book Antiqua" w:hAnsi="Book Antiqua"/>
          <w:b/>
          <w:bCs/>
          <w:i/>
          <w:iCs/>
        </w:rPr>
        <w:t xml:space="preserve">Asociación </w:t>
      </w:r>
      <w:r w:rsidR="00A927E0">
        <w:rPr>
          <w:rFonts w:ascii="Book Antiqua" w:hAnsi="Book Antiqua"/>
          <w:b/>
          <w:bCs/>
          <w:i/>
          <w:iCs/>
        </w:rPr>
        <w:t>de Alcaldes</w:t>
      </w:r>
      <w:r w:rsidR="00836AAE">
        <w:rPr>
          <w:rFonts w:ascii="Book Antiqua" w:hAnsi="Book Antiqua"/>
          <w:b/>
          <w:bCs/>
          <w:i/>
          <w:iCs/>
        </w:rPr>
        <w:t xml:space="preserve"> de Puerto Rico (AAPR)</w:t>
      </w:r>
    </w:p>
    <w:p w14:paraId="09FCE137" w14:textId="1F1C0840" w:rsidR="0054506D" w:rsidRPr="00836AAE" w:rsidRDefault="00A74A7B" w:rsidP="0001657C">
      <w:pPr>
        <w:pStyle w:val="ListParagraph"/>
        <w:numPr>
          <w:ilvl w:val="0"/>
          <w:numId w:val="13"/>
        </w:numPr>
        <w:spacing w:before="100" w:beforeAutospacing="1" w:after="100" w:afterAutospacing="1"/>
        <w:rPr>
          <w:rFonts w:ascii="Book Antiqua" w:hAnsi="Book Antiqua"/>
          <w:b/>
          <w:bCs/>
          <w:i/>
          <w:iCs/>
        </w:rPr>
      </w:pPr>
      <w:r w:rsidRPr="00836AAE">
        <w:rPr>
          <w:rFonts w:ascii="Book Antiqua" w:hAnsi="Book Antiqua"/>
          <w:b/>
          <w:bCs/>
          <w:i/>
          <w:iCs/>
        </w:rPr>
        <w:t xml:space="preserve">Federación de Alcaldes </w:t>
      </w:r>
      <w:r w:rsidR="00836AAE" w:rsidRPr="00836AAE">
        <w:rPr>
          <w:rFonts w:ascii="Book Antiqua" w:hAnsi="Book Antiqua"/>
          <w:b/>
          <w:bCs/>
          <w:i/>
          <w:iCs/>
        </w:rPr>
        <w:t>de Puerto Rico (FAPR)</w:t>
      </w:r>
      <w:r w:rsidR="0054506D" w:rsidRPr="00836AAE">
        <w:rPr>
          <w:rFonts w:ascii="Book Antiqua" w:hAnsi="Book Antiqua"/>
          <w:b/>
          <w:bCs/>
          <w:i/>
          <w:iCs/>
        </w:rPr>
        <w:t xml:space="preserve"> </w:t>
      </w:r>
    </w:p>
    <w:p w14:paraId="4C014C9B" w14:textId="7A48CDE8" w:rsidR="005A247B" w:rsidRPr="005A247B" w:rsidRDefault="008A24E0" w:rsidP="005A247B">
      <w:pPr>
        <w:pStyle w:val="NormalWeb"/>
        <w:jc w:val="both"/>
        <w:rPr>
          <w:rFonts w:ascii="Book Antiqua" w:hAnsi="Book Antiqua"/>
        </w:rPr>
      </w:pPr>
      <w:r>
        <w:rPr>
          <w:rFonts w:ascii="Book Antiqua" w:hAnsi="Book Antiqua"/>
        </w:rPr>
        <w:t xml:space="preserve">La </w:t>
      </w:r>
      <w:r w:rsidRPr="008A24E0">
        <w:rPr>
          <w:rFonts w:ascii="Book Antiqua" w:hAnsi="Book Antiqua"/>
          <w:b/>
          <w:bCs/>
          <w:i/>
          <w:iCs/>
        </w:rPr>
        <w:t>Asociación de Alcaldes</w:t>
      </w:r>
      <w:r w:rsidR="00836AAE">
        <w:rPr>
          <w:rFonts w:ascii="Book Antiqua" w:hAnsi="Book Antiqua"/>
          <w:b/>
          <w:bCs/>
          <w:i/>
          <w:iCs/>
        </w:rPr>
        <w:t xml:space="preserve"> de Puerto Rico</w:t>
      </w:r>
      <w:r w:rsidR="002D2285">
        <w:rPr>
          <w:rFonts w:ascii="Book Antiqua" w:hAnsi="Book Antiqua"/>
          <w:b/>
          <w:bCs/>
          <w:i/>
          <w:iCs/>
        </w:rPr>
        <w:t xml:space="preserve"> (AAPR)</w:t>
      </w:r>
      <w:r w:rsidRPr="008A24E0">
        <w:rPr>
          <w:rFonts w:ascii="Book Antiqua" w:hAnsi="Book Antiqua"/>
          <w:b/>
          <w:bCs/>
          <w:i/>
          <w:iCs/>
        </w:rPr>
        <w:t>,</w:t>
      </w:r>
      <w:r>
        <w:rPr>
          <w:rFonts w:ascii="Book Antiqua" w:hAnsi="Book Antiqua"/>
        </w:rPr>
        <w:t xml:space="preserve"> </w:t>
      </w:r>
      <w:bookmarkEnd w:id="2"/>
      <w:r w:rsidR="005A247B" w:rsidRPr="005A247B">
        <w:rPr>
          <w:rFonts w:ascii="Book Antiqua" w:hAnsi="Book Antiqua"/>
        </w:rPr>
        <w:t xml:space="preserve">compareció representada por su directora ejecutiva, Verónica </w:t>
      </w:r>
      <w:r w:rsidR="00836AAE">
        <w:rPr>
          <w:rFonts w:ascii="Book Antiqua" w:hAnsi="Book Antiqua"/>
        </w:rPr>
        <w:t xml:space="preserve">Rodríguez </w:t>
      </w:r>
      <w:r w:rsidR="005A247B" w:rsidRPr="005A247B">
        <w:rPr>
          <w:rFonts w:ascii="Book Antiqua" w:hAnsi="Book Antiqua"/>
        </w:rPr>
        <w:t xml:space="preserve">Irrizary. </w:t>
      </w:r>
      <w:r w:rsidR="005A247B">
        <w:rPr>
          <w:rFonts w:ascii="Book Antiqua" w:hAnsi="Book Antiqua"/>
        </w:rPr>
        <w:t>Expreso coincidir</w:t>
      </w:r>
      <w:r w:rsidR="005A247B" w:rsidRPr="005A247B">
        <w:rPr>
          <w:rFonts w:ascii="Book Antiqua" w:hAnsi="Book Antiqua"/>
        </w:rPr>
        <w:t xml:space="preserve"> con lo expresado en la Exposición de Motivos del Proyecto en cuanto a que la utilización de la videoconferencia para la celebración de vistas adjudicativas conlleva beneficios significativos, tales como la optimización del tiempo y los recursos municipales, la reducción de gastos operacionales, el fomento de una mayor participación ciudadana y la continuidad de los servicios ante situaciones extraordinarias, como emergencias atmosféricas o crisis de salud pública.</w:t>
      </w:r>
    </w:p>
    <w:p w14:paraId="5AECC982" w14:textId="07B117CF" w:rsidR="005A247B" w:rsidRPr="005A247B" w:rsidRDefault="005A247B" w:rsidP="005A247B">
      <w:pPr>
        <w:pStyle w:val="NormalWeb"/>
        <w:jc w:val="both"/>
        <w:rPr>
          <w:rFonts w:ascii="Book Antiqua" w:hAnsi="Book Antiqua"/>
        </w:rPr>
      </w:pPr>
      <w:r w:rsidRPr="005A247B">
        <w:rPr>
          <w:rFonts w:ascii="Book Antiqua" w:hAnsi="Book Antiqua"/>
        </w:rPr>
        <w:t xml:space="preserve">No obstante, la AAPR no tiene objeción a la enmienda propuesta siempre que se mantengan ambas modalidades —virtual y presencial—, de manera que la videoconferencia se utilice cuando todas las partes manifiesten tener acceso a los medios tecnológicos necesarios, garantizando así la equidad y el debido proceso. En ese sentido, la </w:t>
      </w:r>
      <w:r w:rsidR="00836AAE">
        <w:rPr>
          <w:rFonts w:ascii="Book Antiqua" w:hAnsi="Book Antiqua"/>
        </w:rPr>
        <w:t xml:space="preserve">AAPR </w:t>
      </w:r>
      <w:r>
        <w:rPr>
          <w:rFonts w:ascii="Book Antiqua" w:hAnsi="Book Antiqua"/>
        </w:rPr>
        <w:t>expresó claramente que</w:t>
      </w:r>
      <w:r w:rsidRPr="005A247B">
        <w:rPr>
          <w:rFonts w:ascii="Book Antiqua" w:hAnsi="Book Antiqua"/>
        </w:rPr>
        <w:t xml:space="preserve"> endosa el </w:t>
      </w:r>
      <w:r w:rsidR="00836AAE">
        <w:rPr>
          <w:rFonts w:ascii="Book Antiqua" w:hAnsi="Book Antiqua"/>
        </w:rPr>
        <w:t>p</w:t>
      </w:r>
      <w:r w:rsidRPr="005A247B">
        <w:rPr>
          <w:rFonts w:ascii="Book Antiqua" w:hAnsi="Book Antiqua"/>
        </w:rPr>
        <w:t>royecto.</w:t>
      </w:r>
    </w:p>
    <w:p w14:paraId="4A4AB76B" w14:textId="0F72AAD1" w:rsidR="003765A3" w:rsidRDefault="009915D8" w:rsidP="00374C78">
      <w:pPr>
        <w:pStyle w:val="NormalWeb"/>
        <w:spacing w:before="0" w:beforeAutospacing="0" w:after="0" w:afterAutospacing="0"/>
        <w:jc w:val="both"/>
        <w:rPr>
          <w:rFonts w:ascii="Book Antiqua" w:hAnsi="Book Antiqua"/>
        </w:rPr>
      </w:pPr>
      <w:r w:rsidRPr="003765A3">
        <w:rPr>
          <w:rFonts w:ascii="Book Antiqua" w:hAnsi="Book Antiqua"/>
          <w:lang w:val="es-DO"/>
        </w:rPr>
        <w:t xml:space="preserve">La </w:t>
      </w:r>
      <w:r w:rsidR="008A24E0" w:rsidRPr="003765A3">
        <w:rPr>
          <w:rFonts w:ascii="Book Antiqua" w:hAnsi="Book Antiqua"/>
          <w:b/>
          <w:bCs/>
          <w:i/>
          <w:iCs/>
          <w:lang w:val="es-DO"/>
        </w:rPr>
        <w:t>Federación</w:t>
      </w:r>
      <w:r w:rsidRPr="003765A3">
        <w:rPr>
          <w:rFonts w:ascii="Book Antiqua" w:hAnsi="Book Antiqua"/>
          <w:b/>
          <w:bCs/>
          <w:i/>
          <w:iCs/>
          <w:lang w:val="es-DO"/>
        </w:rPr>
        <w:t xml:space="preserve"> de </w:t>
      </w:r>
      <w:r w:rsidR="00242B71" w:rsidRPr="003765A3">
        <w:rPr>
          <w:rFonts w:ascii="Book Antiqua" w:hAnsi="Book Antiqua"/>
          <w:b/>
          <w:bCs/>
          <w:i/>
          <w:iCs/>
          <w:lang w:val="es-DO"/>
        </w:rPr>
        <w:t>Alcaldes</w:t>
      </w:r>
      <w:r w:rsidR="00636D47" w:rsidRPr="003765A3">
        <w:rPr>
          <w:rFonts w:ascii="Book Antiqua" w:hAnsi="Book Antiqua"/>
          <w:b/>
          <w:bCs/>
          <w:i/>
          <w:iCs/>
          <w:lang w:val="es-DO"/>
        </w:rPr>
        <w:t xml:space="preserve"> de Puerto Rico (</w:t>
      </w:r>
      <w:r w:rsidR="00641E7B" w:rsidRPr="003765A3">
        <w:rPr>
          <w:rFonts w:ascii="Book Antiqua" w:hAnsi="Book Antiqua"/>
          <w:b/>
          <w:bCs/>
          <w:i/>
          <w:iCs/>
          <w:lang w:val="es-DO"/>
        </w:rPr>
        <w:t>FAPR)</w:t>
      </w:r>
      <w:r w:rsidR="00641E7B" w:rsidRPr="003765A3">
        <w:rPr>
          <w:rFonts w:ascii="Book Antiqua" w:hAnsi="Book Antiqua"/>
          <w:lang w:val="es-DO"/>
        </w:rPr>
        <w:t xml:space="preserve"> compareció</w:t>
      </w:r>
      <w:r w:rsidR="003765A3" w:rsidRPr="003765A3">
        <w:rPr>
          <w:rFonts w:ascii="Book Antiqua" w:hAnsi="Book Antiqua"/>
          <w:lang w:val="es-DO"/>
        </w:rPr>
        <w:t xml:space="preserve"> representada por su asesor legal, el </w:t>
      </w:r>
      <w:r w:rsidR="00836AAE">
        <w:rPr>
          <w:rFonts w:ascii="Book Antiqua" w:hAnsi="Book Antiqua"/>
          <w:lang w:val="es-DO"/>
        </w:rPr>
        <w:t>l</w:t>
      </w:r>
      <w:r w:rsidR="003765A3" w:rsidRPr="003765A3">
        <w:rPr>
          <w:rFonts w:ascii="Book Antiqua" w:hAnsi="Book Antiqua"/>
          <w:lang w:val="es-DO"/>
        </w:rPr>
        <w:t>icenciado Ricardo Rolón</w:t>
      </w:r>
      <w:r w:rsidR="005A247B" w:rsidRPr="003765A3">
        <w:rPr>
          <w:rFonts w:ascii="Book Antiqua" w:hAnsi="Book Antiqua"/>
          <w:lang w:val="es-DO"/>
        </w:rPr>
        <w:t xml:space="preserve"> Morales</w:t>
      </w:r>
      <w:r w:rsidR="003765A3" w:rsidRPr="003765A3">
        <w:rPr>
          <w:rFonts w:ascii="Book Antiqua" w:hAnsi="Book Antiqua"/>
          <w:lang w:val="es-DO"/>
        </w:rPr>
        <w:t>, y reconoció</w:t>
      </w:r>
      <w:r w:rsidR="003765A3" w:rsidRPr="003765A3">
        <w:rPr>
          <w:rFonts w:ascii="Book Antiqua" w:hAnsi="Book Antiqua"/>
        </w:rPr>
        <w:t xml:space="preserve"> que la intención de modernizar los procesos administrativos municipales es legítima, pero que la medida presenta </w:t>
      </w:r>
      <w:r w:rsidR="00836AAE" w:rsidRPr="003765A3">
        <w:rPr>
          <w:rFonts w:ascii="Book Antiqua" w:hAnsi="Book Antiqua"/>
        </w:rPr>
        <w:t>deficiencias que</w:t>
      </w:r>
      <w:r w:rsidR="003765A3" w:rsidRPr="003765A3">
        <w:rPr>
          <w:rFonts w:ascii="Book Antiqua" w:hAnsi="Book Antiqua"/>
        </w:rPr>
        <w:t xml:space="preserve"> ameritan su reconsideración. En primer lugar, mencionan el proyecto no atiende el costo de implementación que conlleva la adopción de este modelo. Según su </w:t>
      </w:r>
      <w:r w:rsidR="003765A3" w:rsidRPr="003765A3">
        <w:rPr>
          <w:rFonts w:ascii="Book Antiqua" w:hAnsi="Book Antiqua"/>
        </w:rPr>
        <w:lastRenderedPageBreak/>
        <w:t xml:space="preserve">opinión la implantación de vistas por videoconferencia requiere inversión en plataformas tecnológicas, equipos, capacitación de personal, soporte técnico, así como el cumplimiento con requisitos de grabación y resguardo de expedientes. No obstante, la medida no identifica ni asigna recursos para atender dichas obligaciones. Este señalamiento cobra mayor relevancia a la luz del Artículo 1.007 del Código Municipal de Puerto Rico, el cual dispone que toda medida legislativa que imponga responsabilidades que conlleven obligaciones económicas a los municipios debe identificar los recursos para sufragarlas. </w:t>
      </w:r>
    </w:p>
    <w:p w14:paraId="04B551CE" w14:textId="7DF134BA" w:rsidR="003765A3" w:rsidRDefault="003765A3" w:rsidP="00374C78">
      <w:pPr>
        <w:pStyle w:val="NormalWeb"/>
        <w:spacing w:before="240" w:beforeAutospacing="0" w:after="240" w:afterAutospacing="0"/>
        <w:jc w:val="both"/>
        <w:rPr>
          <w:rFonts w:ascii="Book Antiqua" w:hAnsi="Book Antiqua"/>
        </w:rPr>
      </w:pPr>
      <w:r w:rsidRPr="003765A3">
        <w:rPr>
          <w:rFonts w:ascii="Book Antiqua" w:hAnsi="Book Antiqua"/>
        </w:rPr>
        <w:t xml:space="preserve">En segundo lugar, mencionan que la medida establece la videoconferencia como “primera opción”, lo </w:t>
      </w:r>
      <w:r w:rsidR="00836AAE" w:rsidRPr="003765A3">
        <w:rPr>
          <w:rFonts w:ascii="Book Antiqua" w:hAnsi="Book Antiqua"/>
        </w:rPr>
        <w:t>que,</w:t>
      </w:r>
      <w:r w:rsidRPr="003765A3">
        <w:rPr>
          <w:rFonts w:ascii="Book Antiqua" w:hAnsi="Book Antiqua"/>
        </w:rPr>
        <w:t xml:space="preserve"> según su opinión, constituye una </w:t>
      </w:r>
      <w:r w:rsidR="00836AAE" w:rsidRPr="003765A3">
        <w:rPr>
          <w:rFonts w:ascii="Book Antiqua" w:hAnsi="Book Antiqua"/>
        </w:rPr>
        <w:t>imposición que</w:t>
      </w:r>
      <w:r w:rsidRPr="003765A3">
        <w:rPr>
          <w:rFonts w:ascii="Book Antiqua" w:hAnsi="Book Antiqua"/>
        </w:rPr>
        <w:t xml:space="preserve"> limita la autonomía municipal. Conforme al Artículo 1.003 del Código Municipal, se reconoce que los municipios son la entidad gubernamental más cercana al ciudadano y el mejor intérprete de sus necesidades, por lo que deben contar con la discreción necesaria para organizar sus servicios. Si bien dicha política pública promueve el uso de la tecnología, lo hace en el contexto de una mayor autonomía y descentralización, no mediante la imposición centralizada de modelos únicos. </w:t>
      </w:r>
    </w:p>
    <w:p w14:paraId="42929C56" w14:textId="46CC5572" w:rsidR="003765A3" w:rsidRPr="003765A3" w:rsidRDefault="003765A3" w:rsidP="00374C78">
      <w:pPr>
        <w:pStyle w:val="NormalWeb"/>
        <w:spacing w:before="240" w:beforeAutospacing="0" w:after="240" w:afterAutospacing="0"/>
        <w:jc w:val="both"/>
        <w:rPr>
          <w:rFonts w:ascii="Book Antiqua" w:hAnsi="Book Antiqua"/>
        </w:rPr>
      </w:pPr>
      <w:r w:rsidRPr="003765A3">
        <w:rPr>
          <w:rFonts w:ascii="Book Antiqua" w:hAnsi="Book Antiqua"/>
        </w:rPr>
        <w:t>En ánimo de contribuir constructivamente, la F</w:t>
      </w:r>
      <w:r w:rsidR="00836AAE">
        <w:rPr>
          <w:rFonts w:ascii="Book Antiqua" w:hAnsi="Book Antiqua"/>
        </w:rPr>
        <w:t>APR</w:t>
      </w:r>
      <w:r w:rsidRPr="003765A3">
        <w:rPr>
          <w:rFonts w:ascii="Book Antiqua" w:hAnsi="Book Antiqua"/>
        </w:rPr>
        <w:t xml:space="preserve"> propuso las siguientes recomendaciones: (1) convertir la disposición en una facultativa, permitiendo a los municipios adoptar la videoconferencia conforme a su realidad; (2) eliminar el carácter de “primera opción”, devolviendo al oficial examinador la discreción para determinar el mecanismo adecuado; (3) cumplir con el Artículo 1.007 del Código Municipal, identificando y asignando recursos para sufragar los costos de implementación; (4) reafirmar expresamente la autonomía municipal, permitiendo que cada municipio reglamente estos procesos conforme a sus capacidades; y (5) establecer un proceso de implementación gradual y flexible, en armonía con la política pública de descentralización contenida en el Artículo 1.003.</w:t>
      </w:r>
    </w:p>
    <w:p w14:paraId="0D846410" w14:textId="78A9C7FC" w:rsidR="003765A3" w:rsidRDefault="003765A3" w:rsidP="00374C78">
      <w:pPr>
        <w:pStyle w:val="NormalWeb"/>
        <w:spacing w:before="0" w:beforeAutospacing="0" w:after="0" w:afterAutospacing="0"/>
        <w:jc w:val="both"/>
        <w:rPr>
          <w:rFonts w:ascii="Book Antiqua" w:hAnsi="Book Antiqua"/>
        </w:rPr>
      </w:pPr>
      <w:r w:rsidRPr="003765A3">
        <w:rPr>
          <w:rFonts w:ascii="Book Antiqua" w:hAnsi="Book Antiqua"/>
        </w:rPr>
        <w:t>La F</w:t>
      </w:r>
      <w:r w:rsidR="00836AAE">
        <w:rPr>
          <w:rFonts w:ascii="Book Antiqua" w:hAnsi="Book Antiqua"/>
        </w:rPr>
        <w:t>APR</w:t>
      </w:r>
      <w:r w:rsidRPr="003765A3">
        <w:rPr>
          <w:rFonts w:ascii="Book Antiqua" w:hAnsi="Book Antiqua"/>
        </w:rPr>
        <w:t xml:space="preserve"> concluye, que, aunque la modernización de los procesos adjudicativos constituye un objetivo válido, recomienda no aprobar la medida en su forma actual y considerar las enmiendas propuestas.</w:t>
      </w:r>
    </w:p>
    <w:p w14:paraId="1C5ABF08" w14:textId="77777777" w:rsidR="00374C78" w:rsidRPr="003765A3" w:rsidRDefault="00374C78" w:rsidP="00374C78">
      <w:pPr>
        <w:pStyle w:val="NormalWeb"/>
        <w:spacing w:before="0" w:beforeAutospacing="0" w:after="0" w:afterAutospacing="0"/>
        <w:jc w:val="both"/>
        <w:rPr>
          <w:rFonts w:ascii="Book Antiqua" w:hAnsi="Book Antiqua"/>
        </w:rPr>
      </w:pPr>
    </w:p>
    <w:p w14:paraId="4F6C7934" w14:textId="77777777" w:rsidR="00836AAE" w:rsidRDefault="00CB2D3C" w:rsidP="00374C78">
      <w:pPr>
        <w:pStyle w:val="NormalWeb"/>
        <w:spacing w:before="0" w:beforeAutospacing="0" w:after="0" w:afterAutospacing="0"/>
        <w:jc w:val="center"/>
        <w:rPr>
          <w:rFonts w:ascii="Book Antiqua" w:hAnsi="Book Antiqua"/>
          <w:b/>
          <w:bCs/>
          <w:i/>
          <w:iCs/>
          <w:lang w:val="es-DO"/>
        </w:rPr>
      </w:pPr>
      <w:r>
        <w:rPr>
          <w:rFonts w:ascii="Book Antiqua" w:hAnsi="Book Antiqua"/>
          <w:b/>
          <w:bCs/>
          <w:i/>
          <w:iCs/>
          <w:lang w:val="es-DO"/>
        </w:rPr>
        <w:t>Resumen de Memoriales:</w:t>
      </w:r>
    </w:p>
    <w:p w14:paraId="7EC78436" w14:textId="2E09F799" w:rsidR="00CB2D3C" w:rsidRDefault="00CB2D3C" w:rsidP="00836AAE">
      <w:pPr>
        <w:pStyle w:val="NormalWeb"/>
        <w:jc w:val="both"/>
        <w:rPr>
          <w:rFonts w:ascii="Book Antiqua" w:hAnsi="Book Antiqua"/>
          <w:lang w:val="es-DO"/>
        </w:rPr>
      </w:pPr>
      <w:r>
        <w:rPr>
          <w:rFonts w:ascii="Book Antiqua" w:hAnsi="Book Antiqua"/>
          <w:lang w:val="es-DO"/>
        </w:rPr>
        <w:t>Durante el proceso de análisis de la medida, se recibieron las posiciones por escrito de las siguientes agencias:</w:t>
      </w:r>
    </w:p>
    <w:p w14:paraId="4EDBB668" w14:textId="1C55530B" w:rsidR="00CB2D3C" w:rsidRPr="00CB2D3C" w:rsidRDefault="00CB2D3C" w:rsidP="000545A0">
      <w:pPr>
        <w:pStyle w:val="NormalWeb"/>
        <w:numPr>
          <w:ilvl w:val="0"/>
          <w:numId w:val="45"/>
        </w:numPr>
        <w:jc w:val="both"/>
        <w:rPr>
          <w:rFonts w:ascii="Book Antiqua" w:hAnsi="Book Antiqua"/>
          <w:b/>
          <w:bCs/>
          <w:i/>
          <w:iCs/>
          <w:lang w:val="es-DO"/>
        </w:rPr>
      </w:pPr>
      <w:r w:rsidRPr="00CB2D3C">
        <w:rPr>
          <w:rFonts w:ascii="Book Antiqua" w:hAnsi="Book Antiqua"/>
          <w:b/>
          <w:bCs/>
          <w:i/>
          <w:iCs/>
          <w:lang w:val="es-DO"/>
        </w:rPr>
        <w:t>Departamento de Justicia</w:t>
      </w:r>
      <w:r w:rsidR="00836AAE">
        <w:rPr>
          <w:rFonts w:ascii="Book Antiqua" w:hAnsi="Book Antiqua"/>
          <w:b/>
          <w:bCs/>
          <w:i/>
          <w:iCs/>
          <w:lang w:val="es-DO"/>
        </w:rPr>
        <w:t xml:space="preserve"> (DJ)</w:t>
      </w:r>
    </w:p>
    <w:p w14:paraId="7124195D" w14:textId="7A4DDA8A" w:rsidR="00CB2D3C" w:rsidRDefault="00CB2D3C" w:rsidP="000545A0">
      <w:pPr>
        <w:pStyle w:val="NormalWeb"/>
        <w:numPr>
          <w:ilvl w:val="0"/>
          <w:numId w:val="45"/>
        </w:numPr>
        <w:jc w:val="both"/>
        <w:rPr>
          <w:rFonts w:ascii="Book Antiqua" w:hAnsi="Book Antiqua"/>
          <w:b/>
          <w:bCs/>
          <w:i/>
          <w:iCs/>
          <w:lang w:val="es-DO"/>
        </w:rPr>
      </w:pPr>
      <w:r w:rsidRPr="00CB2D3C">
        <w:rPr>
          <w:rFonts w:ascii="Book Antiqua" w:hAnsi="Book Antiqua"/>
          <w:b/>
          <w:bCs/>
          <w:i/>
          <w:iCs/>
          <w:lang w:val="es-DO"/>
        </w:rPr>
        <w:t>Oficina de Administración de Tribunale</w:t>
      </w:r>
      <w:r w:rsidR="00836AAE">
        <w:rPr>
          <w:rFonts w:ascii="Book Antiqua" w:hAnsi="Book Antiqua"/>
          <w:b/>
          <w:bCs/>
          <w:i/>
          <w:iCs/>
          <w:lang w:val="es-DO"/>
        </w:rPr>
        <w:t>s (OAT)</w:t>
      </w:r>
    </w:p>
    <w:p w14:paraId="499CA57F" w14:textId="6E63863D" w:rsidR="00CB2D3C" w:rsidRPr="00836AAE" w:rsidRDefault="00CB2D3C" w:rsidP="000545A0">
      <w:pPr>
        <w:pStyle w:val="NormalWeb"/>
        <w:numPr>
          <w:ilvl w:val="0"/>
          <w:numId w:val="45"/>
        </w:numPr>
        <w:jc w:val="both"/>
        <w:rPr>
          <w:rFonts w:ascii="Book Antiqua" w:hAnsi="Book Antiqua"/>
          <w:b/>
          <w:bCs/>
          <w:i/>
          <w:iCs/>
          <w:lang w:val="en-US"/>
        </w:rPr>
      </w:pPr>
      <w:r w:rsidRPr="00836AAE">
        <w:rPr>
          <w:rFonts w:ascii="Book Antiqua" w:hAnsi="Book Antiqua"/>
          <w:b/>
          <w:bCs/>
          <w:i/>
          <w:iCs/>
          <w:lang w:val="en-US"/>
        </w:rPr>
        <w:t xml:space="preserve">“Puerto Rico Innovation and Technology Services” </w:t>
      </w:r>
      <w:r w:rsidR="00836AAE">
        <w:rPr>
          <w:rFonts w:ascii="Book Antiqua" w:hAnsi="Book Antiqua"/>
          <w:b/>
          <w:bCs/>
          <w:i/>
          <w:iCs/>
          <w:lang w:val="en-US"/>
        </w:rPr>
        <w:t>(PRITS)</w:t>
      </w:r>
    </w:p>
    <w:p w14:paraId="79019849" w14:textId="39367A92" w:rsidR="00AF24FB" w:rsidRPr="00AF24FB" w:rsidRDefault="00AF24FB" w:rsidP="00AF24FB">
      <w:pPr>
        <w:pStyle w:val="NormalWeb"/>
        <w:jc w:val="both"/>
        <w:rPr>
          <w:rFonts w:ascii="Book Antiqua" w:hAnsi="Book Antiqua"/>
        </w:rPr>
      </w:pPr>
      <w:r w:rsidRPr="00AF24FB">
        <w:rPr>
          <w:rFonts w:ascii="Book Antiqua" w:hAnsi="Book Antiqua"/>
        </w:rPr>
        <w:lastRenderedPageBreak/>
        <w:t>El</w:t>
      </w:r>
      <w:r w:rsidRPr="00AF24FB">
        <w:rPr>
          <w:rFonts w:ascii="Book Antiqua" w:hAnsi="Book Antiqua"/>
          <w:b/>
          <w:bCs/>
          <w:i/>
          <w:iCs/>
        </w:rPr>
        <w:t xml:space="preserve"> Departamento de Justicia</w:t>
      </w:r>
      <w:r w:rsidR="00836AAE">
        <w:rPr>
          <w:rFonts w:ascii="Book Antiqua" w:hAnsi="Book Antiqua"/>
          <w:b/>
          <w:bCs/>
          <w:i/>
          <w:iCs/>
        </w:rPr>
        <w:t xml:space="preserve"> (DJ) </w:t>
      </w:r>
      <w:r w:rsidRPr="00AF24FB">
        <w:rPr>
          <w:rFonts w:ascii="Book Antiqua" w:hAnsi="Book Antiqua"/>
        </w:rPr>
        <w:t>compareció mediante memorial suscrito por la subsecretaria Annette del C. Esteves Serrano, con fecha del 19 de marzo de 2026. En su análisis, expone que la Ley de Procedimiento Administrativo Uniforme del Gobierno de Puerto Rico (LPAU) establece como política pública fomentar la solución informal de las controversias administrativas presentadas ante las agencias, facultando a estas a adoptar reglas y procedimientos dirigidos a propiciar la resolución ágil y efectiva de los asuntos, siempre en salvaguarda de los derechos constitucionales y aquellos garantizados por ley.</w:t>
      </w:r>
    </w:p>
    <w:p w14:paraId="4D3C1B76" w14:textId="77777777" w:rsidR="00AF24FB" w:rsidRPr="00AF24FB" w:rsidRDefault="00AF24FB" w:rsidP="00AF24FB">
      <w:pPr>
        <w:pStyle w:val="NormalWeb"/>
        <w:jc w:val="both"/>
        <w:rPr>
          <w:rFonts w:ascii="Book Antiqua" w:hAnsi="Book Antiqua"/>
        </w:rPr>
      </w:pPr>
      <w:r w:rsidRPr="00AF24FB">
        <w:rPr>
          <w:rFonts w:ascii="Book Antiqua" w:hAnsi="Book Antiqua"/>
        </w:rPr>
        <w:t>Asimismo, señala que dicho estatuto sustituyó la anterior Ley Núm. 170-1988, manteniendo su propósito esencial de proveer un marco uniforme para la revisión judicial de las actuaciones administrativas, tanto en la adopción de reglamentos como en la adjudicación de casos, y promoviendo el uso de mecanismos informales antes de agotar la etapa decisional formal. En ese contexto, la LPAU persigue establecer un proceso administrativo flexible, ágil, justo y económico, garantizando soluciones equitativas.</w:t>
      </w:r>
    </w:p>
    <w:p w14:paraId="15F649EC" w14:textId="45CA61BC" w:rsidR="00AF24FB" w:rsidRPr="00AF24FB" w:rsidRDefault="00AF24FB" w:rsidP="00AF24FB">
      <w:pPr>
        <w:pStyle w:val="NormalWeb"/>
        <w:jc w:val="both"/>
        <w:rPr>
          <w:rFonts w:ascii="Book Antiqua" w:hAnsi="Book Antiqua"/>
        </w:rPr>
      </w:pPr>
      <w:r w:rsidRPr="00AF24FB">
        <w:rPr>
          <w:rFonts w:ascii="Book Antiqua" w:hAnsi="Book Antiqua"/>
        </w:rPr>
        <w:t>A la luz de lo anterior, el D</w:t>
      </w:r>
      <w:r w:rsidR="00836AAE">
        <w:rPr>
          <w:rFonts w:ascii="Book Antiqua" w:hAnsi="Book Antiqua"/>
        </w:rPr>
        <w:t>J</w:t>
      </w:r>
      <w:r w:rsidRPr="00AF24FB">
        <w:rPr>
          <w:rFonts w:ascii="Book Antiqua" w:hAnsi="Book Antiqua"/>
        </w:rPr>
        <w:t xml:space="preserve"> indica que la medida bajo consideración busca incorporar estos principios al ámbito municipal, particularmente mediante la adopción de la videoconferencia como mecanismo alterno para la celebración de vistas. En ese sentido, señala que el nuevo Artículo 4.009-A propuesto constituye, en lo sustancial, una adaptación del Artículo 3.22 de la LPAU, con ajustes técnicos en su redacción para atemperarlo al contexto municipal.</w:t>
      </w:r>
    </w:p>
    <w:p w14:paraId="247EA439" w14:textId="77777777" w:rsidR="00AF24FB" w:rsidRPr="00AF24FB" w:rsidRDefault="00AF24FB" w:rsidP="00AF24FB">
      <w:pPr>
        <w:pStyle w:val="NormalWeb"/>
        <w:jc w:val="both"/>
        <w:rPr>
          <w:rFonts w:ascii="Book Antiqua" w:hAnsi="Book Antiqua"/>
        </w:rPr>
      </w:pPr>
      <w:r w:rsidRPr="00AF24FB">
        <w:rPr>
          <w:rFonts w:ascii="Book Antiqua" w:hAnsi="Book Antiqua"/>
        </w:rPr>
        <w:t>No obstante, advierte que la propuesta reduce los criterios de evaluación para la celebración de vistas por videoconferencia de cuatro a tres factores —(1) la complejidad del caso, (2) la naturaleza de la prueba a presentarse y (3) las circunstancias personales de las partes— omitiendo el criterio relativo a la naturaleza de la vista a celebrarse, lo que podría limitar el análisis integral requerido.</w:t>
      </w:r>
    </w:p>
    <w:p w14:paraId="296EEF1B" w14:textId="21978776" w:rsidR="00AF24FB" w:rsidRPr="00AF24FB" w:rsidRDefault="00AF24FB" w:rsidP="00AF24FB">
      <w:pPr>
        <w:pStyle w:val="NormalWeb"/>
        <w:jc w:val="both"/>
        <w:rPr>
          <w:rFonts w:ascii="Book Antiqua" w:hAnsi="Book Antiqua"/>
        </w:rPr>
      </w:pPr>
      <w:r w:rsidRPr="00AF24FB">
        <w:rPr>
          <w:rFonts w:ascii="Book Antiqua" w:hAnsi="Book Antiqua"/>
        </w:rPr>
        <w:t>El D</w:t>
      </w:r>
      <w:r w:rsidR="00836AAE">
        <w:rPr>
          <w:rFonts w:ascii="Book Antiqua" w:hAnsi="Book Antiqua"/>
        </w:rPr>
        <w:t>J</w:t>
      </w:r>
      <w:r w:rsidRPr="00AF24FB">
        <w:rPr>
          <w:rFonts w:ascii="Book Antiqua" w:hAnsi="Book Antiqua"/>
        </w:rPr>
        <w:t xml:space="preserve"> también reconoce que la videoconferencia ha sido incorporada progresivamente en el sistema adjudicativo, incluyendo el ámbito judicial, y que su utilización fue validada por el Tribunal Supremo de Puerto Rico, siempre que se garanticen los derechos constitucionales de las partes. En ese sentido, concluye que su implementación en el ámbito administrativo municipal resulta viable y compatible con el debido proceso de ley.</w:t>
      </w:r>
    </w:p>
    <w:p w14:paraId="1FD7B4D4" w14:textId="722A81AA" w:rsidR="00AF24FB" w:rsidRPr="00AF24FB" w:rsidRDefault="00AF24FB" w:rsidP="00AF24FB">
      <w:pPr>
        <w:pStyle w:val="NormalWeb"/>
        <w:jc w:val="both"/>
        <w:rPr>
          <w:rFonts w:ascii="Book Antiqua" w:hAnsi="Book Antiqua"/>
        </w:rPr>
      </w:pPr>
      <w:r w:rsidRPr="00AF24FB">
        <w:rPr>
          <w:rFonts w:ascii="Book Antiqua" w:hAnsi="Book Antiqua"/>
        </w:rPr>
        <w:t>Sin embargo, señala como observación técnica que la ubicación del nuevo artículo dentro del Capítulo II del Código Municipal —relativo a la restauración de comunidades— podría generar ambigüedad en cuanto a su alcance, toda vez que la celebración de vistas administrativas trasciende dicho contexto. Por ello, sugiere evaluar su inclusión en el Capítulo I (Disposiciones Generales) o, en la alternativa, clarificar expresamente su alcance.</w:t>
      </w:r>
    </w:p>
    <w:p w14:paraId="3140F093" w14:textId="3C52819F" w:rsidR="00AF24FB" w:rsidRPr="00AF24FB" w:rsidRDefault="00AF24FB" w:rsidP="00AF24FB">
      <w:pPr>
        <w:pStyle w:val="NormalWeb"/>
        <w:jc w:val="both"/>
        <w:rPr>
          <w:rFonts w:ascii="Book Antiqua" w:hAnsi="Book Antiqua"/>
        </w:rPr>
      </w:pPr>
      <w:r w:rsidRPr="00AF24FB">
        <w:rPr>
          <w:rFonts w:ascii="Book Antiqua" w:hAnsi="Book Antiqua"/>
        </w:rPr>
        <w:lastRenderedPageBreak/>
        <w:t>El Departamento de Justicia entiende que el Proyecto de la Cámara 995 promueve la eficiencia, accesibilidad y modernización de los procesos adjudicativos municipales, en armonía con los principios del debido proceso de ley y la política pública vigente. Por tal razón, endosa la medida propuesta.</w:t>
      </w:r>
    </w:p>
    <w:p w14:paraId="787110E7" w14:textId="72F13EA2" w:rsidR="00CB2D3C" w:rsidRDefault="00AF24FB" w:rsidP="00AF24FB">
      <w:pPr>
        <w:pStyle w:val="NormalWeb"/>
        <w:jc w:val="both"/>
        <w:rPr>
          <w:rFonts w:ascii="Book Antiqua" w:hAnsi="Book Antiqua"/>
          <w:lang w:val="es-DO"/>
        </w:rPr>
      </w:pPr>
      <w:r w:rsidRPr="00AF24FB">
        <w:rPr>
          <w:rFonts w:ascii="Book Antiqua" w:hAnsi="Book Antiqua"/>
          <w:lang w:val="es-DO"/>
        </w:rPr>
        <w:t xml:space="preserve">La </w:t>
      </w:r>
      <w:r w:rsidRPr="00AF24FB">
        <w:rPr>
          <w:rFonts w:ascii="Book Antiqua" w:hAnsi="Book Antiqua"/>
          <w:b/>
          <w:bCs/>
          <w:i/>
          <w:iCs/>
          <w:lang w:val="es-DO"/>
        </w:rPr>
        <w:t>Oficina de Administración de los Tribunales (OAT),</w:t>
      </w:r>
      <w:r w:rsidRPr="00AF24FB">
        <w:rPr>
          <w:rFonts w:ascii="Book Antiqua" w:hAnsi="Book Antiqua"/>
          <w:lang w:val="es-DO"/>
        </w:rPr>
        <w:t xml:space="preserve"> mediante comunicación suscrita </w:t>
      </w:r>
      <w:r w:rsidR="00836AAE" w:rsidRPr="00AF24FB">
        <w:rPr>
          <w:rFonts w:ascii="Book Antiqua" w:hAnsi="Book Antiqua"/>
          <w:lang w:val="es-DO"/>
        </w:rPr>
        <w:t>por,</w:t>
      </w:r>
      <w:r w:rsidRPr="00AF24FB">
        <w:rPr>
          <w:rFonts w:ascii="Book Antiqua" w:hAnsi="Book Antiqua"/>
          <w:lang w:val="es-DO"/>
        </w:rPr>
        <w:t xml:space="preserve"> Sigfrido Steidel Figueroa, con fecha del 16 de enero de 2026, informó que el asunto objeto del Proyecto de la Cámara 995 corresponde al ámbito de autoridad de las ramas Legislativa y Ejecutiva. En ese sentido, indicó que, conforme a su práctica institucional, la OAT se abstiene de emitir juicios sobre asuntos de política pública gubernamental que recaen dentro de la competencia de otras ramas de gobierno. Por tal razón, declinó emitir comentarios en cuanto a los méritos de la propuesta legislativa contenida en la medida.</w:t>
      </w:r>
    </w:p>
    <w:p w14:paraId="39B51EFE" w14:textId="36417E65" w:rsidR="00AF24FB" w:rsidRPr="00AF24FB" w:rsidRDefault="00AF24FB" w:rsidP="00AF24FB">
      <w:pPr>
        <w:pStyle w:val="NormalWeb"/>
        <w:jc w:val="both"/>
        <w:rPr>
          <w:rFonts w:ascii="Book Antiqua" w:hAnsi="Book Antiqua"/>
        </w:rPr>
      </w:pPr>
      <w:r w:rsidRPr="00AF24FB">
        <w:rPr>
          <w:rFonts w:ascii="Book Antiqua" w:hAnsi="Book Antiqua"/>
        </w:rPr>
        <w:t xml:space="preserve">El </w:t>
      </w:r>
      <w:r w:rsidRPr="00AF24FB">
        <w:rPr>
          <w:rFonts w:ascii="Book Antiqua" w:hAnsi="Book Antiqua"/>
          <w:b/>
          <w:bCs/>
          <w:i/>
          <w:iCs/>
        </w:rPr>
        <w:t xml:space="preserve">Puerto Rico </w:t>
      </w:r>
      <w:proofErr w:type="spellStart"/>
      <w:r w:rsidRPr="00AF24FB">
        <w:rPr>
          <w:rFonts w:ascii="Book Antiqua" w:hAnsi="Book Antiqua"/>
          <w:b/>
          <w:bCs/>
          <w:i/>
          <w:iCs/>
        </w:rPr>
        <w:t>Innovation</w:t>
      </w:r>
      <w:proofErr w:type="spellEnd"/>
      <w:r w:rsidRPr="00AF24FB">
        <w:rPr>
          <w:rFonts w:ascii="Book Antiqua" w:hAnsi="Book Antiqua"/>
          <w:b/>
          <w:bCs/>
          <w:i/>
          <w:iCs/>
        </w:rPr>
        <w:t xml:space="preserve"> and </w:t>
      </w:r>
      <w:proofErr w:type="spellStart"/>
      <w:r w:rsidRPr="00AF24FB">
        <w:rPr>
          <w:rFonts w:ascii="Book Antiqua" w:hAnsi="Book Antiqua"/>
          <w:b/>
          <w:bCs/>
          <w:i/>
          <w:iCs/>
        </w:rPr>
        <w:t>Technology</w:t>
      </w:r>
      <w:proofErr w:type="spellEnd"/>
      <w:r w:rsidRPr="00AF24FB">
        <w:rPr>
          <w:rFonts w:ascii="Book Antiqua" w:hAnsi="Book Antiqua"/>
          <w:b/>
          <w:bCs/>
          <w:i/>
          <w:iCs/>
        </w:rPr>
        <w:t xml:space="preserve"> Service (PRITS) </w:t>
      </w:r>
      <w:r w:rsidRPr="00AF24FB">
        <w:rPr>
          <w:rFonts w:ascii="Book Antiqua" w:hAnsi="Book Antiqua"/>
        </w:rPr>
        <w:t xml:space="preserve">sometió su memorial el 21 de enero de 2026, suscrito por su </w:t>
      </w:r>
      <w:r w:rsidR="00836AAE">
        <w:rPr>
          <w:rFonts w:ascii="Book Antiqua" w:hAnsi="Book Antiqua"/>
        </w:rPr>
        <w:t>d</w:t>
      </w:r>
      <w:r w:rsidRPr="00AF24FB">
        <w:rPr>
          <w:rFonts w:ascii="Book Antiqua" w:hAnsi="Book Antiqua"/>
        </w:rPr>
        <w:t xml:space="preserve">irector </w:t>
      </w:r>
      <w:r w:rsidR="00836AAE">
        <w:rPr>
          <w:rFonts w:ascii="Book Antiqua" w:hAnsi="Book Antiqua"/>
        </w:rPr>
        <w:t>e</w:t>
      </w:r>
      <w:r w:rsidRPr="00AF24FB">
        <w:rPr>
          <w:rFonts w:ascii="Book Antiqua" w:hAnsi="Book Antiqua"/>
        </w:rPr>
        <w:t xml:space="preserve">jecutivo, Poincaré Díaz Peña. En su ponencia, expresa su respaldo a la aprobación del Proyecto de la Cámara 995, por entender que la medida se alinea con la política pública de digitalización y modernización tecnológica del Gobierno de Puerto Rico, conforme a la Ley Núm. 75-2019, según enmendada, conocida como la “Ley de la Puerto Rico </w:t>
      </w:r>
      <w:proofErr w:type="spellStart"/>
      <w:r w:rsidRPr="00AF24FB">
        <w:rPr>
          <w:rFonts w:ascii="Book Antiqua" w:hAnsi="Book Antiqua"/>
        </w:rPr>
        <w:t>Innovation</w:t>
      </w:r>
      <w:proofErr w:type="spellEnd"/>
      <w:r w:rsidRPr="00AF24FB">
        <w:rPr>
          <w:rFonts w:ascii="Book Antiqua" w:hAnsi="Book Antiqua"/>
        </w:rPr>
        <w:t xml:space="preserve"> and </w:t>
      </w:r>
      <w:proofErr w:type="spellStart"/>
      <w:r w:rsidRPr="00AF24FB">
        <w:rPr>
          <w:rFonts w:ascii="Book Antiqua" w:hAnsi="Book Antiqua"/>
        </w:rPr>
        <w:t>Technology</w:t>
      </w:r>
      <w:proofErr w:type="spellEnd"/>
      <w:r w:rsidRPr="00AF24FB">
        <w:rPr>
          <w:rFonts w:ascii="Book Antiqua" w:hAnsi="Book Antiqua"/>
        </w:rPr>
        <w:t xml:space="preserve"> Service”.</w:t>
      </w:r>
    </w:p>
    <w:p w14:paraId="7472BA15" w14:textId="77777777" w:rsidR="00AF24FB" w:rsidRPr="00AF24FB" w:rsidRDefault="00AF24FB" w:rsidP="00AF24FB">
      <w:pPr>
        <w:pStyle w:val="NormalWeb"/>
        <w:jc w:val="both"/>
        <w:rPr>
          <w:rFonts w:ascii="Book Antiqua" w:hAnsi="Book Antiqua"/>
        </w:rPr>
      </w:pPr>
      <w:r w:rsidRPr="00AF24FB">
        <w:rPr>
          <w:rFonts w:ascii="Book Antiqua" w:hAnsi="Book Antiqua"/>
        </w:rPr>
        <w:t xml:space="preserve">PRITS señala que el análisis de la medida debe </w:t>
      </w:r>
      <w:proofErr w:type="gramStart"/>
      <w:r w:rsidRPr="00AF24FB">
        <w:rPr>
          <w:rFonts w:ascii="Book Antiqua" w:hAnsi="Book Antiqua"/>
        </w:rPr>
        <w:t>enmarcarse dentro del</w:t>
      </w:r>
      <w:proofErr w:type="gramEnd"/>
      <w:r w:rsidRPr="00AF24FB">
        <w:rPr>
          <w:rFonts w:ascii="Book Antiqua" w:hAnsi="Book Antiqua"/>
        </w:rPr>
        <w:t xml:space="preserve"> ordenamiento jurídico que rige los procedimientos adjudicativos y la política pública de integración tecnológica en la gestión gubernamental. En ese sentido, destaca que tanto la Asamblea Legislativa como el Poder Judicial han reconocido la utilidad de mecanismos tecnológicos para promover procesos más ágiles, accesibles y eficientes, sin menoscabo del debido proceso de ley.</w:t>
      </w:r>
    </w:p>
    <w:p w14:paraId="7059A03A" w14:textId="77777777" w:rsidR="00AF24FB" w:rsidRPr="00AF24FB" w:rsidRDefault="00AF24FB" w:rsidP="00AF24FB">
      <w:pPr>
        <w:pStyle w:val="NormalWeb"/>
        <w:jc w:val="both"/>
        <w:rPr>
          <w:rFonts w:ascii="Book Antiqua" w:hAnsi="Book Antiqua"/>
        </w:rPr>
      </w:pPr>
      <w:r w:rsidRPr="00AF24FB">
        <w:rPr>
          <w:rFonts w:ascii="Book Antiqua" w:hAnsi="Book Antiqua"/>
        </w:rPr>
        <w:t>Asimismo, resalta que la Ley de Procedimiento Administrativo Uniforme del Gobierno de Puerto Rico (LPAU) establece como política pública que los procedimientos administrativos se diluciden de forma rápida, justa y económica, promoviendo la utilización de herramientas tecnológicas que faciliten la participación efectiva de las partes. Añade que esta política ha sido fortalecida mediante legislación posterior, incluyendo la Ley Núm. 16-2025, la cual impulsa la integración de soluciones tecnológicas en los procesos administrativos del Poder Ejecutivo, siempre garantizando el acceso equitativo para aquellas personas que carezcan de medios electrónicos.</w:t>
      </w:r>
    </w:p>
    <w:p w14:paraId="3964C0CA" w14:textId="77777777" w:rsidR="00AF24FB" w:rsidRPr="00AF24FB" w:rsidRDefault="00AF24FB" w:rsidP="00AF24FB">
      <w:pPr>
        <w:pStyle w:val="NormalWeb"/>
        <w:jc w:val="both"/>
        <w:rPr>
          <w:rFonts w:ascii="Book Antiqua" w:hAnsi="Book Antiqua"/>
        </w:rPr>
      </w:pPr>
      <w:r w:rsidRPr="00AF24FB">
        <w:rPr>
          <w:rFonts w:ascii="Book Antiqua" w:hAnsi="Book Antiqua"/>
        </w:rPr>
        <w:t xml:space="preserve">De igual forma, PRITS destaca que el uso de la videoconferencia ha sido validado en el ámbito judicial, citando jurisprudencia como </w:t>
      </w:r>
      <w:r w:rsidRPr="00AF24FB">
        <w:rPr>
          <w:rStyle w:val="Emphasis"/>
          <w:rFonts w:ascii="Book Antiqua" w:hAnsi="Book Antiqua"/>
        </w:rPr>
        <w:t>Pueblo v. Santiago Cruz</w:t>
      </w:r>
      <w:r w:rsidRPr="00AF24FB">
        <w:rPr>
          <w:rFonts w:ascii="Book Antiqua" w:hAnsi="Book Antiqua"/>
        </w:rPr>
        <w:t>, 205 DPR 7 (2020), y las guías adoptadas por el Poder Judicial, lo que refuerza la viabilidad de su implementación en el ámbito administrativo municipal.</w:t>
      </w:r>
    </w:p>
    <w:p w14:paraId="6944D8A0" w14:textId="255EC17D" w:rsidR="00AF24FB" w:rsidRPr="00AF24FB" w:rsidRDefault="00AF24FB" w:rsidP="00AF24FB">
      <w:pPr>
        <w:pStyle w:val="NormalWeb"/>
        <w:jc w:val="both"/>
        <w:rPr>
          <w:rFonts w:ascii="Book Antiqua" w:hAnsi="Book Antiqua"/>
        </w:rPr>
      </w:pPr>
      <w:r w:rsidRPr="00AF24FB">
        <w:rPr>
          <w:rFonts w:ascii="Book Antiqua" w:hAnsi="Book Antiqua"/>
        </w:rPr>
        <w:t xml:space="preserve">Desde esa perspectiva, indica que el Proyecto de la Cámara 995 se inserta dentro de una política pública consistente dirigida a integrar la tecnología como herramienta para </w:t>
      </w:r>
      <w:r w:rsidRPr="00AF24FB">
        <w:rPr>
          <w:rFonts w:ascii="Book Antiqua" w:hAnsi="Book Antiqua"/>
        </w:rPr>
        <w:lastRenderedPageBreak/>
        <w:t>fortalecer la eficiencia, accesibilidad y economía procesal en los procesos adjudicativos. Señala que la utilización de la videoconferencia permite reducir costos de traslado, optimizar el tiempo de las partes y mejorar el acceso a los servicios municipales.</w:t>
      </w:r>
    </w:p>
    <w:p w14:paraId="11376AC3" w14:textId="77777777" w:rsidR="00AF24FB" w:rsidRPr="00AF24FB" w:rsidRDefault="00AF24FB" w:rsidP="00AF24FB">
      <w:pPr>
        <w:pStyle w:val="NormalWeb"/>
        <w:jc w:val="both"/>
        <w:rPr>
          <w:rFonts w:ascii="Book Antiqua" w:hAnsi="Book Antiqua"/>
        </w:rPr>
      </w:pPr>
      <w:r w:rsidRPr="00AF24FB">
        <w:rPr>
          <w:rFonts w:ascii="Book Antiqua" w:hAnsi="Book Antiqua"/>
        </w:rPr>
        <w:t xml:space="preserve">Asimismo, enfatiza que la medida reconoce la necesidad de salvaguardar los derechos de las personas sin acceso a medios tecnológicos, al disponer que la modalidad virtual estará sujeta a la evaluación de factores como la complejidad del caso, la naturaleza de la prueba y las circunstancias personales de las partes, así como a la obligación de proveer alternativas de comparecencia cuando corresponda. En ese contexto, también hace referencia a la Ley Núm. 20-2024, conocida como la “Ley </w:t>
      </w:r>
      <w:proofErr w:type="gramStart"/>
      <w:r w:rsidRPr="00AF24FB">
        <w:rPr>
          <w:rFonts w:ascii="Book Antiqua" w:hAnsi="Book Antiqua"/>
        </w:rPr>
        <w:t>Anti Discrimen</w:t>
      </w:r>
      <w:proofErr w:type="gramEnd"/>
      <w:r w:rsidRPr="00AF24FB">
        <w:rPr>
          <w:rFonts w:ascii="Book Antiqua" w:hAnsi="Book Antiqua"/>
        </w:rPr>
        <w:t xml:space="preserve"> Cibernético”, la cual establece garantías para evitar que el uso de tecnologías genere exclusión o discrimen.</w:t>
      </w:r>
    </w:p>
    <w:p w14:paraId="5051798D" w14:textId="31AA3FD4" w:rsidR="00CB2D3C" w:rsidRDefault="00AF24FB" w:rsidP="00374C78">
      <w:pPr>
        <w:pStyle w:val="NormalWeb"/>
        <w:spacing w:before="0" w:beforeAutospacing="0" w:after="0" w:afterAutospacing="0"/>
        <w:jc w:val="both"/>
        <w:rPr>
          <w:rFonts w:ascii="Book Antiqua" w:hAnsi="Book Antiqua"/>
        </w:rPr>
      </w:pPr>
      <w:r w:rsidRPr="00AF24FB">
        <w:rPr>
          <w:rFonts w:ascii="Book Antiqua" w:hAnsi="Book Antiqua"/>
        </w:rPr>
        <w:t>Finalmente, PRITS concluye que la medida promueve una política pública dirigida a poner la tecnología al servicio de la ciudadanía, facilitando el acceso a los servicios gubernamentales, reduciendo cargas administrativas y eliminando barreras asociadas a la presencialidad. Por tal razón, endosa la aprobación del Proyecto de la Cámara 995.</w:t>
      </w:r>
    </w:p>
    <w:p w14:paraId="39807820" w14:textId="77777777" w:rsidR="00374C78" w:rsidRPr="00374C78" w:rsidRDefault="00374C78" w:rsidP="00374C78">
      <w:pPr>
        <w:pStyle w:val="NormalWeb"/>
        <w:spacing w:before="0" w:beforeAutospacing="0" w:after="0" w:afterAutospacing="0"/>
        <w:jc w:val="both"/>
        <w:rPr>
          <w:rFonts w:ascii="Book Antiqua" w:hAnsi="Book Antiqua"/>
          <w:sz w:val="22"/>
          <w:szCs w:val="22"/>
        </w:rPr>
      </w:pPr>
    </w:p>
    <w:p w14:paraId="4FF2ECB3" w14:textId="26597104" w:rsidR="009B3675" w:rsidRDefault="009B3675" w:rsidP="00374C78">
      <w:pPr>
        <w:pStyle w:val="NormalWeb"/>
        <w:spacing w:before="0" w:beforeAutospacing="0" w:after="0" w:afterAutospacing="0"/>
        <w:jc w:val="center"/>
        <w:rPr>
          <w:rFonts w:ascii="Book Antiqua" w:hAnsi="Book Antiqua"/>
          <w:b/>
          <w:i/>
          <w:smallCaps/>
          <w:color w:val="000000" w:themeColor="text1"/>
          <w:lang w:val="es-ES_tradnl"/>
        </w:rPr>
      </w:pPr>
      <w:r w:rsidRPr="00721BCE">
        <w:rPr>
          <w:rFonts w:ascii="Book Antiqua" w:hAnsi="Book Antiqua"/>
          <w:b/>
          <w:i/>
          <w:smallCaps/>
          <w:color w:val="000000" w:themeColor="text1"/>
          <w:lang w:val="es-ES_tradnl"/>
        </w:rPr>
        <w:t>Enmiendas Recomendadas</w:t>
      </w:r>
    </w:p>
    <w:p w14:paraId="1550B1D8" w14:textId="77777777" w:rsidR="00374C78" w:rsidRPr="00374C78" w:rsidRDefault="00374C78" w:rsidP="00374C78">
      <w:pPr>
        <w:pStyle w:val="NormalWeb"/>
        <w:spacing w:before="0" w:beforeAutospacing="0" w:after="0" w:afterAutospacing="0"/>
        <w:jc w:val="center"/>
        <w:rPr>
          <w:rFonts w:ascii="Book Antiqua" w:hAnsi="Book Antiqua"/>
          <w:b/>
          <w:i/>
          <w:smallCaps/>
          <w:color w:val="000000" w:themeColor="text1"/>
          <w:sz w:val="22"/>
          <w:szCs w:val="22"/>
          <w:lang w:val="es-ES_tradnl"/>
        </w:rPr>
      </w:pPr>
    </w:p>
    <w:p w14:paraId="0CB58781" w14:textId="77777777" w:rsidR="00D12494" w:rsidRPr="00D12494" w:rsidRDefault="00D12494" w:rsidP="00374C78">
      <w:pPr>
        <w:pStyle w:val="NormalWeb"/>
        <w:spacing w:before="0" w:beforeAutospacing="0" w:after="0" w:afterAutospacing="0"/>
        <w:jc w:val="both"/>
        <w:rPr>
          <w:rFonts w:ascii="Book Antiqua" w:hAnsi="Book Antiqua"/>
        </w:rPr>
      </w:pPr>
      <w:r w:rsidRPr="00D12494">
        <w:rPr>
          <w:rFonts w:ascii="Book Antiqua" w:hAnsi="Book Antiqua"/>
        </w:rPr>
        <w:t>En cuanto a las enmiendas incorporadas al Proyecto de la Cámara 995, se introdujeron ajustes dirigidos a precisar su alcance y fortalecer su implementación. En primer lugar, en la Sección 1 del “</w:t>
      </w:r>
      <w:proofErr w:type="spellStart"/>
      <w:r w:rsidRPr="00D12494">
        <w:rPr>
          <w:rFonts w:ascii="Book Antiqua" w:hAnsi="Book Antiqua"/>
        </w:rPr>
        <w:t>Decrétase</w:t>
      </w:r>
      <w:proofErr w:type="spellEnd"/>
      <w:r w:rsidRPr="00D12494">
        <w:rPr>
          <w:rFonts w:ascii="Book Antiqua" w:hAnsi="Book Antiqua"/>
        </w:rPr>
        <w:t>”, se añadió la frase “en virtud del Artículo 4.009 de este Código”, con el propósito de brindar mayor claridad jurídica y vincular expresamente la nueva disposición con el marco normativo ya existente sobre vistas administrativas en el ámbito municipal.</w:t>
      </w:r>
    </w:p>
    <w:p w14:paraId="786A2F57" w14:textId="77777777" w:rsidR="00374C78" w:rsidRPr="00374C78" w:rsidRDefault="00374C78" w:rsidP="00374C78">
      <w:pPr>
        <w:pStyle w:val="NormalWeb"/>
        <w:spacing w:before="0" w:beforeAutospacing="0" w:after="0" w:afterAutospacing="0"/>
        <w:jc w:val="both"/>
        <w:rPr>
          <w:rFonts w:ascii="Book Antiqua" w:hAnsi="Book Antiqua"/>
          <w:sz w:val="22"/>
          <w:szCs w:val="22"/>
        </w:rPr>
      </w:pPr>
    </w:p>
    <w:p w14:paraId="2B1C1B82" w14:textId="6100D7F8" w:rsidR="00D12494" w:rsidRPr="00D12494" w:rsidRDefault="00D12494" w:rsidP="00374C78">
      <w:pPr>
        <w:pStyle w:val="NormalWeb"/>
        <w:spacing w:before="0" w:beforeAutospacing="0" w:after="0" w:afterAutospacing="0"/>
        <w:jc w:val="both"/>
        <w:rPr>
          <w:rFonts w:ascii="Book Antiqua" w:hAnsi="Book Antiqua"/>
        </w:rPr>
      </w:pPr>
      <w:r w:rsidRPr="00D12494">
        <w:rPr>
          <w:rFonts w:ascii="Book Antiqua" w:hAnsi="Book Antiqua"/>
        </w:rPr>
        <w:t>Por otro lado, en la Sección 3, relativa a la vigencia de la medida, se enmendó el término originalmente propuesto de sesenta (60) días para reducirlo a treinta (30) días. Este cambio responde a la intención de viabilizar una implementación más ágil de la ley, permitiendo a los municipios adoptar las disposiciones en un término más corto, en armonía con los objetivos de modernización y eficiencia administrativa que persigue la medida.</w:t>
      </w:r>
    </w:p>
    <w:p w14:paraId="4F8ADFA8" w14:textId="77777777" w:rsidR="00374C78" w:rsidRDefault="00374C78" w:rsidP="00374C78">
      <w:pPr>
        <w:jc w:val="center"/>
        <w:rPr>
          <w:rFonts w:ascii="Book Antiqua" w:hAnsi="Book Antiqua"/>
          <w:b/>
          <w:i/>
          <w:smallCaps/>
          <w:color w:val="000000" w:themeColor="text1"/>
          <w:szCs w:val="24"/>
          <w:lang w:val="es-ES_tradnl"/>
        </w:rPr>
      </w:pPr>
    </w:p>
    <w:p w14:paraId="0513540A" w14:textId="1CA70C2D" w:rsidR="00721BCE" w:rsidRDefault="004000AE" w:rsidP="00374C78">
      <w:pPr>
        <w:jc w:val="center"/>
        <w:rPr>
          <w:rFonts w:ascii="Book Antiqua" w:hAnsi="Book Antiqua"/>
          <w:b/>
          <w:i/>
          <w:smallCaps/>
          <w:color w:val="000000" w:themeColor="text1"/>
          <w:szCs w:val="24"/>
          <w:lang w:val="es-ES_tradnl"/>
        </w:rPr>
      </w:pPr>
      <w:r w:rsidRPr="00FF33FB">
        <w:rPr>
          <w:rFonts w:ascii="Book Antiqua" w:hAnsi="Book Antiqua"/>
          <w:b/>
          <w:i/>
          <w:smallCaps/>
          <w:color w:val="000000" w:themeColor="text1"/>
          <w:szCs w:val="24"/>
          <w:lang w:val="es-ES_tradnl"/>
        </w:rPr>
        <w:t xml:space="preserve">Análisis </w:t>
      </w:r>
      <w:r w:rsidR="00C646DB" w:rsidRPr="00FF33FB">
        <w:rPr>
          <w:rFonts w:ascii="Book Antiqua" w:hAnsi="Book Antiqua"/>
          <w:b/>
          <w:i/>
          <w:smallCaps/>
          <w:color w:val="000000" w:themeColor="text1"/>
          <w:szCs w:val="24"/>
          <w:lang w:val="es-ES_tradnl"/>
        </w:rPr>
        <w:t>De la Medida</w:t>
      </w:r>
    </w:p>
    <w:p w14:paraId="65715239" w14:textId="77777777" w:rsidR="00374C78" w:rsidRDefault="00374C78" w:rsidP="00374C78">
      <w:pPr>
        <w:jc w:val="center"/>
        <w:rPr>
          <w:rFonts w:ascii="Book Antiqua" w:hAnsi="Book Antiqua"/>
          <w:b/>
          <w:i/>
          <w:smallCaps/>
          <w:color w:val="000000" w:themeColor="text1"/>
          <w:szCs w:val="24"/>
          <w:lang w:val="es-ES_tradnl"/>
        </w:rPr>
      </w:pPr>
    </w:p>
    <w:p w14:paraId="44C29478" w14:textId="7DAD61A3" w:rsidR="0026368D" w:rsidRPr="0026368D" w:rsidRDefault="0026368D" w:rsidP="00374C78">
      <w:pPr>
        <w:jc w:val="both"/>
        <w:rPr>
          <w:rFonts w:ascii="Book Antiqua" w:eastAsia="Times New Roman" w:hAnsi="Book Antiqua"/>
          <w:szCs w:val="24"/>
          <w:lang w:val="es-DO"/>
        </w:rPr>
      </w:pPr>
      <w:r w:rsidRPr="0026368D">
        <w:rPr>
          <w:rFonts w:ascii="Book Antiqua" w:eastAsia="Times New Roman" w:hAnsi="Book Antiqua"/>
          <w:szCs w:val="24"/>
          <w:lang w:val="es-DO"/>
        </w:rPr>
        <w:t>El Proyecto de la Cámara 995 persigue modernizar los procesos adjudicativos en el ámbito municipal mediante la incorporación de la videoconferencia como mecanismo para la celebración de vistas administrativas. A juicio de esta Comisión, la medida responde a una tendencia clara y consistente dentro del ordenamiento jurídico puertorriqueño dirigida a integrar el uso de la tecnología en la gestión pública, con el fin de promover procesos más ágiles, accesibles y eficientes.</w:t>
      </w:r>
    </w:p>
    <w:p w14:paraId="77C69E26" w14:textId="77777777" w:rsidR="0026368D" w:rsidRPr="0026368D" w:rsidRDefault="0026368D" w:rsidP="00374C78">
      <w:pPr>
        <w:jc w:val="both"/>
        <w:rPr>
          <w:rFonts w:ascii="Book Antiqua" w:eastAsia="Times New Roman" w:hAnsi="Book Antiqua"/>
          <w:szCs w:val="24"/>
          <w:lang w:val="es-DO"/>
        </w:rPr>
      </w:pPr>
      <w:r w:rsidRPr="0026368D">
        <w:rPr>
          <w:rFonts w:ascii="Book Antiqua" w:eastAsia="Times New Roman" w:hAnsi="Book Antiqua"/>
          <w:szCs w:val="24"/>
          <w:lang w:val="es-DO"/>
        </w:rPr>
        <w:lastRenderedPageBreak/>
        <w:t>En primer lugar, resulta importante destacar que la utilización de mecanismos tecnológicos en procedimientos adjudicativos no constituye una innovación aislada, sino una práctica ya consolidada en el ámbito administrativo. Bajo la Ley de Procedimiento Administrativo Uniforme del Gobierno de Puerto Rico (Ley 38-2017), las agencias gubernamentales han incorporado el uso de herramientas tecnológicas para la celebración de vistas, notificaciones electrónicas y participación remota de las partes. Estas prácticas han demostrado ser compatibles con las garantías del debido proceso de ley, al tiempo que facilitan la accesibilidad y reducen cargas administrativas.</w:t>
      </w:r>
    </w:p>
    <w:p w14:paraId="4A7CB280" w14:textId="77777777" w:rsidR="00374C78" w:rsidRPr="00374C78" w:rsidRDefault="00374C78" w:rsidP="00374C78">
      <w:pPr>
        <w:jc w:val="both"/>
        <w:rPr>
          <w:rFonts w:ascii="Book Antiqua" w:eastAsia="Times New Roman" w:hAnsi="Book Antiqua"/>
          <w:sz w:val="22"/>
          <w:szCs w:val="22"/>
          <w:lang w:val="es-DO"/>
        </w:rPr>
      </w:pPr>
    </w:p>
    <w:p w14:paraId="19AE20DA" w14:textId="4D54D503" w:rsidR="0026368D" w:rsidRPr="0026368D" w:rsidRDefault="0026368D" w:rsidP="00374C78">
      <w:pPr>
        <w:jc w:val="both"/>
        <w:rPr>
          <w:rFonts w:ascii="Book Antiqua" w:eastAsia="Times New Roman" w:hAnsi="Book Antiqua"/>
          <w:szCs w:val="24"/>
          <w:lang w:val="es-DO"/>
        </w:rPr>
      </w:pPr>
      <w:r w:rsidRPr="0026368D">
        <w:rPr>
          <w:rFonts w:ascii="Book Antiqua" w:eastAsia="Times New Roman" w:hAnsi="Book Antiqua"/>
          <w:szCs w:val="24"/>
          <w:lang w:val="es-DO"/>
        </w:rPr>
        <w:t>De igual forma, el Poder Judicial ha adoptado de manera amplia el uso de la videoconferencia para la celebración de vistas en diversas salas, incluyendo asuntos civiles, criminales, de relaciones de familia y de menores. Estas vistas pueden ser autorizadas por el tribunal o solicitadas por las partes, permitiendo la comparecencia remota desde cualquier lugar con acceso a internet, incluyendo el modelo de Sala Municipal Virtual. La experiencia judicial ha evidenciado que la tecnología puede ser utilizada de forma efectiva sin menoscabar los derechos de las partes, incluso en contextos donde las garantías procesales son más rigurosas.</w:t>
      </w:r>
    </w:p>
    <w:p w14:paraId="799A1565" w14:textId="77777777" w:rsidR="00374C78" w:rsidRPr="00374C78" w:rsidRDefault="00374C78" w:rsidP="00374C78">
      <w:pPr>
        <w:jc w:val="both"/>
        <w:rPr>
          <w:rFonts w:ascii="Book Antiqua" w:eastAsia="Times New Roman" w:hAnsi="Book Antiqua"/>
          <w:sz w:val="22"/>
          <w:szCs w:val="22"/>
          <w:lang w:val="es-DO"/>
        </w:rPr>
      </w:pPr>
    </w:p>
    <w:p w14:paraId="482F0736" w14:textId="39EDF9EF" w:rsidR="0026368D" w:rsidRPr="0026368D" w:rsidRDefault="0026368D" w:rsidP="00374C78">
      <w:pPr>
        <w:jc w:val="both"/>
        <w:rPr>
          <w:rFonts w:ascii="Book Antiqua" w:eastAsia="Times New Roman" w:hAnsi="Book Antiqua"/>
          <w:szCs w:val="24"/>
          <w:lang w:val="es-DO"/>
        </w:rPr>
      </w:pPr>
      <w:r w:rsidRPr="0026368D">
        <w:rPr>
          <w:rFonts w:ascii="Book Antiqua" w:eastAsia="Times New Roman" w:hAnsi="Book Antiqua"/>
          <w:szCs w:val="24"/>
          <w:lang w:val="es-DO"/>
        </w:rPr>
        <w:t>A la luz de lo anterior, resulta razonable concluir que, si la videoconferencia ha sido implementada exitosamente tanto en el ámbito administrativo como en el judicial, no existe impedimento para su adopción en el contexto municipal. Por el contrario, su incorporación fortalece el acceso a la justicia administrativa, al eliminar barreras geográficas, reducir costos de traslado y facilitar la participación ciudadana en los procesos adjudicativos.</w:t>
      </w:r>
    </w:p>
    <w:p w14:paraId="53283108" w14:textId="77777777" w:rsidR="00374C78" w:rsidRPr="00374C78" w:rsidRDefault="00374C78" w:rsidP="00374C78">
      <w:pPr>
        <w:jc w:val="both"/>
        <w:rPr>
          <w:rFonts w:ascii="Book Antiqua" w:eastAsia="Times New Roman" w:hAnsi="Book Antiqua"/>
          <w:sz w:val="22"/>
          <w:szCs w:val="22"/>
          <w:lang w:val="es-DO"/>
        </w:rPr>
      </w:pPr>
    </w:p>
    <w:p w14:paraId="4F348F6A" w14:textId="0D85700C" w:rsidR="0026368D" w:rsidRPr="0026368D" w:rsidRDefault="0026368D" w:rsidP="00374C78">
      <w:pPr>
        <w:jc w:val="both"/>
        <w:rPr>
          <w:rFonts w:ascii="Book Antiqua" w:eastAsia="Times New Roman" w:hAnsi="Book Antiqua"/>
          <w:szCs w:val="24"/>
          <w:lang w:val="es-DO"/>
        </w:rPr>
      </w:pPr>
      <w:r w:rsidRPr="0026368D">
        <w:rPr>
          <w:rFonts w:ascii="Book Antiqua" w:eastAsia="Times New Roman" w:hAnsi="Book Antiqua"/>
          <w:szCs w:val="24"/>
          <w:lang w:val="es-DO"/>
        </w:rPr>
        <w:t xml:space="preserve">El análisis de los memoriales sometidos refleja un balance mayormente favorable a la medida. Por un lado, entidades como el Departamento de Justicia y el Puerto Rico </w:t>
      </w:r>
      <w:proofErr w:type="spellStart"/>
      <w:r w:rsidRPr="0026368D">
        <w:rPr>
          <w:rFonts w:ascii="Book Antiqua" w:eastAsia="Times New Roman" w:hAnsi="Book Antiqua"/>
          <w:szCs w:val="24"/>
          <w:lang w:val="es-DO"/>
        </w:rPr>
        <w:t>Innovation</w:t>
      </w:r>
      <w:proofErr w:type="spellEnd"/>
      <w:r w:rsidRPr="0026368D">
        <w:rPr>
          <w:rFonts w:ascii="Book Antiqua" w:eastAsia="Times New Roman" w:hAnsi="Book Antiqua"/>
          <w:szCs w:val="24"/>
          <w:lang w:val="es-DO"/>
        </w:rPr>
        <w:t xml:space="preserve"> and </w:t>
      </w:r>
      <w:proofErr w:type="spellStart"/>
      <w:r w:rsidRPr="0026368D">
        <w:rPr>
          <w:rFonts w:ascii="Book Antiqua" w:eastAsia="Times New Roman" w:hAnsi="Book Antiqua"/>
          <w:szCs w:val="24"/>
          <w:lang w:val="es-DO"/>
        </w:rPr>
        <w:t>Technology</w:t>
      </w:r>
      <w:proofErr w:type="spellEnd"/>
      <w:r w:rsidRPr="0026368D">
        <w:rPr>
          <w:rFonts w:ascii="Book Antiqua" w:eastAsia="Times New Roman" w:hAnsi="Book Antiqua"/>
          <w:szCs w:val="24"/>
          <w:lang w:val="es-DO"/>
        </w:rPr>
        <w:t xml:space="preserve"> Service (PRITS) respaldan la propuesta, destacando su compatibilidad con la política pública vigente y su potencial para mejorar la eficiencia y accesibilidad de los procesos administrativos. Por otro lado, aunque la Federación de Alcaldes</w:t>
      </w:r>
      <w:r w:rsidR="00836AAE">
        <w:rPr>
          <w:rFonts w:ascii="Book Antiqua" w:eastAsia="Times New Roman" w:hAnsi="Book Antiqua"/>
          <w:szCs w:val="24"/>
          <w:lang w:val="es-DO"/>
        </w:rPr>
        <w:t xml:space="preserve"> de Puerto Rico</w:t>
      </w:r>
      <w:r w:rsidRPr="0026368D">
        <w:rPr>
          <w:rFonts w:ascii="Book Antiqua" w:eastAsia="Times New Roman" w:hAnsi="Book Antiqua"/>
          <w:szCs w:val="24"/>
          <w:lang w:val="es-DO"/>
        </w:rPr>
        <w:t xml:space="preserve"> expresó reservas relacionadas con costos de implementación y autonomía municipal, estas preocupaciones pueden ser atendidas mediante enmiendas o ajustes en la reglamentación, sin que ello desvirtúe el propósito principal de la medida. </w:t>
      </w:r>
    </w:p>
    <w:p w14:paraId="35091D23" w14:textId="77777777" w:rsidR="00374C78" w:rsidRPr="00374C78" w:rsidRDefault="00374C78" w:rsidP="00374C78">
      <w:pPr>
        <w:jc w:val="both"/>
        <w:rPr>
          <w:rFonts w:ascii="Book Antiqua" w:eastAsia="Times New Roman" w:hAnsi="Book Antiqua"/>
          <w:sz w:val="22"/>
          <w:szCs w:val="22"/>
          <w:lang w:val="es-DO"/>
        </w:rPr>
      </w:pPr>
    </w:p>
    <w:p w14:paraId="2E6EA575" w14:textId="678A05B0" w:rsidR="0026368D" w:rsidRPr="0026368D" w:rsidRDefault="0026368D" w:rsidP="00374C78">
      <w:pPr>
        <w:jc w:val="both"/>
        <w:rPr>
          <w:rFonts w:ascii="Book Antiqua" w:eastAsia="Times New Roman" w:hAnsi="Book Antiqua"/>
          <w:szCs w:val="24"/>
          <w:lang w:val="es-DO"/>
        </w:rPr>
      </w:pPr>
      <w:r w:rsidRPr="0026368D">
        <w:rPr>
          <w:rFonts w:ascii="Book Antiqua" w:eastAsia="Times New Roman" w:hAnsi="Book Antiqua"/>
          <w:szCs w:val="24"/>
          <w:lang w:val="es-DO"/>
        </w:rPr>
        <w:t xml:space="preserve">Asimismo, la Asociación de </w:t>
      </w:r>
      <w:proofErr w:type="gramStart"/>
      <w:r w:rsidRPr="0026368D">
        <w:rPr>
          <w:rFonts w:ascii="Book Antiqua" w:eastAsia="Times New Roman" w:hAnsi="Book Antiqua"/>
          <w:szCs w:val="24"/>
          <w:lang w:val="es-DO"/>
        </w:rPr>
        <w:t>Alcaldes</w:t>
      </w:r>
      <w:proofErr w:type="gramEnd"/>
      <w:r w:rsidR="00836AAE">
        <w:rPr>
          <w:rFonts w:ascii="Book Antiqua" w:eastAsia="Times New Roman" w:hAnsi="Book Antiqua"/>
          <w:szCs w:val="24"/>
          <w:lang w:val="es-DO"/>
        </w:rPr>
        <w:t xml:space="preserve"> de Puerto Rico</w:t>
      </w:r>
      <w:r w:rsidRPr="0026368D">
        <w:rPr>
          <w:rFonts w:ascii="Book Antiqua" w:eastAsia="Times New Roman" w:hAnsi="Book Antiqua"/>
          <w:szCs w:val="24"/>
          <w:lang w:val="es-DO"/>
        </w:rPr>
        <w:t xml:space="preserve"> manifestó su respaldo a la medida, condicionando su implementación a la coexistencia de modalidades presenciales y virtuales, lo cual reafirma la viabilidad del proyecto en la medida en que se salvaguarden las garantías de acceso y debido proceso. </w:t>
      </w:r>
    </w:p>
    <w:p w14:paraId="014CF026" w14:textId="77777777" w:rsidR="00374C78" w:rsidRPr="00374C78" w:rsidRDefault="00374C78" w:rsidP="00374C78">
      <w:pPr>
        <w:jc w:val="both"/>
        <w:rPr>
          <w:rFonts w:ascii="Book Antiqua" w:eastAsia="Times New Roman" w:hAnsi="Book Antiqua"/>
          <w:sz w:val="22"/>
          <w:szCs w:val="22"/>
          <w:lang w:val="es-DO"/>
        </w:rPr>
      </w:pPr>
    </w:p>
    <w:p w14:paraId="65CE4C13" w14:textId="5ABC3513" w:rsidR="0026368D" w:rsidRPr="0026368D" w:rsidRDefault="0026368D" w:rsidP="00374C78">
      <w:pPr>
        <w:jc w:val="both"/>
        <w:rPr>
          <w:rFonts w:ascii="Book Antiqua" w:eastAsia="Times New Roman" w:hAnsi="Book Antiqua"/>
          <w:szCs w:val="24"/>
          <w:lang w:val="es-DO"/>
        </w:rPr>
      </w:pPr>
      <w:r w:rsidRPr="0026368D">
        <w:rPr>
          <w:rFonts w:ascii="Book Antiqua" w:eastAsia="Times New Roman" w:hAnsi="Book Antiqua"/>
          <w:szCs w:val="24"/>
          <w:lang w:val="es-DO"/>
        </w:rPr>
        <w:t xml:space="preserve">En términos de política pública, la medida se alinea con los esfuerzos de modernización del Gobierno de Puerto Rico, incluyendo la Ley Núm. 75-2019, que promueve la integración de la tecnología en la prestación de servicios gubernamentales, así como con legislación reciente que impulsa el uso de herramientas digitales en los procesos </w:t>
      </w:r>
      <w:r w:rsidRPr="0026368D">
        <w:rPr>
          <w:rFonts w:ascii="Book Antiqua" w:eastAsia="Times New Roman" w:hAnsi="Book Antiqua"/>
          <w:szCs w:val="24"/>
          <w:lang w:val="es-DO"/>
        </w:rPr>
        <w:lastRenderedPageBreak/>
        <w:t>administrativos. La utilización de la videoconferencia permite optimizar recursos, reducir gastos operacionales, agilizar la adjudicación de controversias y acercar los servicios gubernamentales a la ciudadanía.</w:t>
      </w:r>
    </w:p>
    <w:p w14:paraId="5B006868" w14:textId="77777777" w:rsidR="00374C78" w:rsidRPr="00374C78" w:rsidRDefault="00374C78" w:rsidP="00BE0B25">
      <w:pPr>
        <w:jc w:val="both"/>
        <w:rPr>
          <w:rFonts w:ascii="Book Antiqua" w:eastAsia="Times New Roman" w:hAnsi="Book Antiqua"/>
          <w:sz w:val="22"/>
          <w:szCs w:val="22"/>
          <w:lang w:val="es-DO"/>
        </w:rPr>
      </w:pPr>
    </w:p>
    <w:p w14:paraId="36495530" w14:textId="1F1A9CDC" w:rsidR="0026368D" w:rsidRDefault="0026368D" w:rsidP="00BE0B25">
      <w:pPr>
        <w:jc w:val="both"/>
        <w:rPr>
          <w:rFonts w:ascii="Book Antiqua" w:eastAsia="Times New Roman" w:hAnsi="Book Antiqua"/>
          <w:szCs w:val="24"/>
          <w:lang w:val="es-DO"/>
        </w:rPr>
      </w:pPr>
      <w:r w:rsidRPr="0026368D">
        <w:rPr>
          <w:rFonts w:ascii="Book Antiqua" w:eastAsia="Times New Roman" w:hAnsi="Book Antiqua"/>
          <w:szCs w:val="24"/>
          <w:lang w:val="es-DO"/>
        </w:rPr>
        <w:t>De igual manera, la medida incorpora salvaguardas importantes al establecer que la utilización de la videoconferencia estará sujeta a la evaluación de factores como la complejidad del caso, la naturaleza de la prueba y las circunstancias de las partes, garantizando así que su aplicación no menoscabe el debido proceso de ley.</w:t>
      </w:r>
    </w:p>
    <w:p w14:paraId="1755D923" w14:textId="77777777" w:rsidR="00BE0B25" w:rsidRPr="00374C78" w:rsidRDefault="00BE0B25" w:rsidP="00BE0B25">
      <w:pPr>
        <w:jc w:val="both"/>
        <w:rPr>
          <w:rFonts w:ascii="Book Antiqua" w:eastAsia="Times New Roman" w:hAnsi="Book Antiqua"/>
          <w:sz w:val="22"/>
          <w:szCs w:val="22"/>
          <w:lang w:val="es-DO"/>
        </w:rPr>
      </w:pPr>
    </w:p>
    <w:p w14:paraId="4E995367" w14:textId="1027409F" w:rsidR="00A76B51" w:rsidRDefault="00F04A9A" w:rsidP="00BE0B25">
      <w:pPr>
        <w:pStyle w:val="NormalWeb"/>
        <w:spacing w:before="0" w:beforeAutospacing="0" w:after="0" w:afterAutospacing="0"/>
        <w:jc w:val="center"/>
        <w:rPr>
          <w:rFonts w:ascii="Book Antiqua" w:hAnsi="Book Antiqua"/>
          <w:b/>
          <w:i/>
          <w:smallCaps/>
          <w:lang w:val="es-ES_tradnl"/>
        </w:rPr>
      </w:pPr>
      <w:r>
        <w:rPr>
          <w:rFonts w:ascii="Book Antiqua" w:hAnsi="Book Antiqua"/>
          <w:b/>
          <w:i/>
          <w:smallCaps/>
          <w:lang w:val="es-ES_tradnl"/>
        </w:rPr>
        <w:t>Impacto Fiscal</w:t>
      </w:r>
    </w:p>
    <w:p w14:paraId="35245458" w14:textId="77777777" w:rsidR="00BE0B25" w:rsidRPr="00374C78" w:rsidRDefault="00BE0B25" w:rsidP="00BE0B25">
      <w:pPr>
        <w:pStyle w:val="NormalWeb"/>
        <w:spacing w:before="0" w:beforeAutospacing="0" w:after="0" w:afterAutospacing="0"/>
        <w:jc w:val="center"/>
        <w:rPr>
          <w:rFonts w:ascii="Book Antiqua" w:hAnsi="Book Antiqua"/>
          <w:b/>
          <w:i/>
          <w:smallCaps/>
          <w:sz w:val="22"/>
          <w:szCs w:val="22"/>
          <w:lang w:val="es-ES_tradnl"/>
        </w:rPr>
      </w:pPr>
    </w:p>
    <w:p w14:paraId="32E90FA0" w14:textId="63FA5F33" w:rsidR="00476E5E" w:rsidRDefault="008E3F18" w:rsidP="00BE0B25">
      <w:pPr>
        <w:jc w:val="both"/>
        <w:rPr>
          <w:rFonts w:ascii="Book Antiqua" w:hAnsi="Book Antiqua"/>
          <w:lang w:val="es-ES"/>
        </w:rPr>
      </w:pPr>
      <w:r w:rsidRPr="008E3F18">
        <w:rPr>
          <w:rFonts w:ascii="Book Antiqua" w:hAnsi="Book Antiqua"/>
          <w:lang w:val="es-ES"/>
        </w:rPr>
        <w:t xml:space="preserve">En cumplimiento </w:t>
      </w:r>
      <w:r w:rsidR="0054506D">
        <w:rPr>
          <w:rFonts w:ascii="Book Antiqua" w:hAnsi="Book Antiqua"/>
          <w:lang w:val="es-ES"/>
        </w:rPr>
        <w:t>de</w:t>
      </w:r>
      <w:r w:rsidRPr="008E3F18">
        <w:rPr>
          <w:rFonts w:ascii="Book Antiqua" w:hAnsi="Book Antiqua"/>
          <w:lang w:val="es-ES"/>
        </w:rPr>
        <w:t xml:space="preserve"> lo dispuesto en el Artículo 1.007 de la Ley 107-2020 (21 L.P.R.A. § 7012), conocida como el </w:t>
      </w:r>
      <w:r w:rsidRPr="008E3F18">
        <w:rPr>
          <w:rStyle w:val="Emphasis"/>
          <w:rFonts w:ascii="Book Antiqua" w:hAnsi="Book Antiqua"/>
          <w:lang w:val="es-ES"/>
        </w:rPr>
        <w:t>Código Municipal de Puerto Rico</w:t>
      </w:r>
      <w:r w:rsidRPr="008E3F18">
        <w:rPr>
          <w:rFonts w:ascii="Book Antiqua" w:hAnsi="Book Antiqua"/>
          <w:lang w:val="es-ES"/>
        </w:rPr>
        <w:t xml:space="preserve">, la Comisión de Asuntos Municipales certifica que la medida legislativa </w:t>
      </w:r>
      <w:r w:rsidR="0054506D">
        <w:rPr>
          <w:rFonts w:ascii="Book Antiqua" w:hAnsi="Book Antiqua"/>
          <w:lang w:val="es-ES"/>
        </w:rPr>
        <w:t>objeto de</w:t>
      </w:r>
      <w:r w:rsidRPr="008E3F18">
        <w:rPr>
          <w:rFonts w:ascii="Book Antiqua" w:hAnsi="Book Antiqua"/>
          <w:lang w:val="es-ES"/>
        </w:rPr>
        <w:t xml:space="preserve"> análisis no conlleva un impacto económico adverso sobre el presupuesto de los gobiernos municipales. </w:t>
      </w:r>
    </w:p>
    <w:p w14:paraId="634DED60" w14:textId="77777777" w:rsidR="00BE0B25" w:rsidRPr="00374C78" w:rsidRDefault="00BE0B25" w:rsidP="00BE0B25">
      <w:pPr>
        <w:jc w:val="both"/>
        <w:rPr>
          <w:rFonts w:ascii="Book Antiqua" w:hAnsi="Book Antiqua"/>
          <w:sz w:val="22"/>
          <w:szCs w:val="22"/>
          <w:lang w:val="es-ES"/>
        </w:rPr>
      </w:pPr>
    </w:p>
    <w:p w14:paraId="64E4266F" w14:textId="32093F06" w:rsidR="004000AE" w:rsidRDefault="004000AE" w:rsidP="00BE0B25">
      <w:pPr>
        <w:jc w:val="center"/>
        <w:rPr>
          <w:rFonts w:ascii="Book Antiqua" w:hAnsi="Book Antiqua"/>
          <w:b/>
          <w:i/>
          <w:smallCaps/>
          <w:szCs w:val="24"/>
          <w:lang w:val="es-ES_tradnl"/>
        </w:rPr>
      </w:pPr>
      <w:r>
        <w:rPr>
          <w:rFonts w:ascii="Book Antiqua" w:hAnsi="Book Antiqua"/>
          <w:b/>
          <w:i/>
          <w:smallCaps/>
          <w:szCs w:val="24"/>
          <w:lang w:val="es-ES_tradnl"/>
        </w:rPr>
        <w:t>Conclusión</w:t>
      </w:r>
    </w:p>
    <w:p w14:paraId="52791B03" w14:textId="77777777" w:rsidR="00BE0B25" w:rsidRPr="00217451" w:rsidRDefault="00BE0B25" w:rsidP="00BE0B25">
      <w:pPr>
        <w:jc w:val="center"/>
        <w:rPr>
          <w:rFonts w:ascii="Book Antiqua" w:hAnsi="Book Antiqua"/>
          <w:b/>
          <w:i/>
          <w:smallCaps/>
          <w:sz w:val="22"/>
          <w:szCs w:val="22"/>
          <w:lang w:val="es-ES_tradnl"/>
        </w:rPr>
      </w:pPr>
    </w:p>
    <w:p w14:paraId="091EEC0D" w14:textId="77777777" w:rsidR="0026368D" w:rsidRPr="0026368D" w:rsidRDefault="0026368D" w:rsidP="00BE0B25">
      <w:pPr>
        <w:jc w:val="both"/>
        <w:rPr>
          <w:rFonts w:ascii="Book Antiqua" w:eastAsia="Times New Roman" w:hAnsi="Book Antiqua"/>
          <w:szCs w:val="24"/>
          <w:lang w:val="es-DO"/>
        </w:rPr>
      </w:pPr>
      <w:r w:rsidRPr="0026368D">
        <w:rPr>
          <w:rFonts w:ascii="Book Antiqua" w:eastAsia="Times New Roman" w:hAnsi="Book Antiqua"/>
          <w:szCs w:val="24"/>
          <w:lang w:val="es-DO"/>
        </w:rPr>
        <w:t>A base de lo antes expuesto, esta Comisión concluye que el Proyecto de la Cámara 995 constituye una medida necesaria y oportuna para modernizar los procesos administrativos municipales y ampliar el acceso a la justicia. La experiencia acumulada en el ámbito administrativo y judicial demuestra que el uso de la videoconferencia es una herramienta viable, eficiente y compatible con las garantías procesales.</w:t>
      </w:r>
    </w:p>
    <w:p w14:paraId="02525B02" w14:textId="77777777" w:rsidR="0026368D" w:rsidRPr="0026368D" w:rsidRDefault="0026368D" w:rsidP="00374C78">
      <w:pPr>
        <w:jc w:val="both"/>
        <w:rPr>
          <w:rFonts w:ascii="Book Antiqua" w:eastAsia="Times New Roman" w:hAnsi="Book Antiqua"/>
          <w:szCs w:val="24"/>
          <w:lang w:val="es-DO"/>
        </w:rPr>
      </w:pPr>
      <w:r w:rsidRPr="0026368D">
        <w:rPr>
          <w:rFonts w:ascii="Book Antiqua" w:eastAsia="Times New Roman" w:hAnsi="Book Antiqua"/>
          <w:szCs w:val="24"/>
          <w:lang w:val="es-DO"/>
        </w:rPr>
        <w:t>Asimismo, la medida responde a la realidad tecnológica actual y a la necesidad de transformar la gestión pública hacia modelos más accesibles, eficientes y centrados en el ciudadano. Su aprobación permitirá a los municipios contar con herramientas adicionales para la adjudicación de controversias, sin eliminar la posibilidad de vistas presenciales cuando así lo requieran las circunstancias.</w:t>
      </w:r>
    </w:p>
    <w:p w14:paraId="4B36B2C3" w14:textId="77777777" w:rsidR="00374C78" w:rsidRPr="00374C78" w:rsidRDefault="00374C78" w:rsidP="00374C78">
      <w:pPr>
        <w:jc w:val="both"/>
        <w:rPr>
          <w:rFonts w:ascii="Book Antiqua" w:eastAsia="Times New Roman" w:hAnsi="Book Antiqua"/>
          <w:sz w:val="22"/>
          <w:szCs w:val="22"/>
          <w:lang w:val="es-DO"/>
        </w:rPr>
      </w:pPr>
    </w:p>
    <w:p w14:paraId="2C7A1C9E" w14:textId="6EABADC8" w:rsidR="0026368D" w:rsidRPr="0026368D" w:rsidRDefault="0026368D" w:rsidP="00374C78">
      <w:pPr>
        <w:jc w:val="both"/>
        <w:rPr>
          <w:rFonts w:ascii="Book Antiqua" w:eastAsia="Times New Roman" w:hAnsi="Book Antiqua"/>
          <w:szCs w:val="24"/>
          <w:lang w:val="es-DO"/>
        </w:rPr>
      </w:pPr>
      <w:r w:rsidRPr="0026368D">
        <w:rPr>
          <w:rFonts w:ascii="Book Antiqua" w:eastAsia="Times New Roman" w:hAnsi="Book Antiqua"/>
          <w:szCs w:val="24"/>
          <w:lang w:val="es-DO"/>
        </w:rPr>
        <w:t xml:space="preserve">En consecuencia, esta Comisión entiende que los beneficios de la medida superan las preocupaciones planteadas, las cuales pueden ser atendidas mediante ajustes reglamentarios o enmiendas técnicas. </w:t>
      </w:r>
    </w:p>
    <w:p w14:paraId="6698AE74" w14:textId="77777777" w:rsidR="00374C78" w:rsidRPr="00374C78" w:rsidRDefault="00374C78" w:rsidP="004000AE">
      <w:pPr>
        <w:jc w:val="both"/>
        <w:rPr>
          <w:rFonts w:ascii="Book Antiqua" w:hAnsi="Book Antiqua" w:cs="Arial"/>
          <w:sz w:val="22"/>
          <w:szCs w:val="22"/>
          <w:lang w:val="es-ES"/>
        </w:rPr>
      </w:pPr>
    </w:p>
    <w:p w14:paraId="693ABEB6" w14:textId="44EA2BA2" w:rsidR="0076466B" w:rsidRDefault="0076466B" w:rsidP="004000AE">
      <w:pPr>
        <w:jc w:val="both"/>
        <w:rPr>
          <w:rFonts w:ascii="Book Antiqua" w:hAnsi="Book Antiqua" w:cs="Arial"/>
          <w:lang w:val="es-ES"/>
        </w:rPr>
      </w:pPr>
      <w:r>
        <w:rPr>
          <w:rFonts w:ascii="Book Antiqua" w:hAnsi="Book Antiqua" w:cs="Arial"/>
          <w:lang w:val="es-ES"/>
        </w:rPr>
        <w:t xml:space="preserve">Por todos los fundamentos expuestos, </w:t>
      </w:r>
      <w:r w:rsidR="00E304DB">
        <w:rPr>
          <w:rFonts w:ascii="Book Antiqua" w:hAnsi="Book Antiqua" w:cs="Arial"/>
          <w:lang w:val="es-ES"/>
        </w:rPr>
        <w:t>la</w:t>
      </w:r>
      <w:r>
        <w:rPr>
          <w:rFonts w:ascii="Book Antiqua" w:hAnsi="Book Antiqua" w:cs="Arial"/>
          <w:lang w:val="es-ES"/>
        </w:rPr>
        <w:t xml:space="preserve"> Comisión de Asuntos Municipales de la Cámara de Representantes, recomienda a este Alto Cuerpo la aprobación del Proyecto de la Cámara </w:t>
      </w:r>
      <w:r w:rsidR="00716BAA">
        <w:rPr>
          <w:rFonts w:ascii="Book Antiqua" w:hAnsi="Book Antiqua" w:cs="Arial"/>
          <w:lang w:val="es-ES"/>
        </w:rPr>
        <w:t>995</w:t>
      </w:r>
      <w:r w:rsidR="003004EC">
        <w:rPr>
          <w:rFonts w:ascii="Book Antiqua" w:hAnsi="Book Antiqua" w:cs="Arial"/>
          <w:lang w:val="es-ES"/>
        </w:rPr>
        <w:t xml:space="preserve">, </w:t>
      </w:r>
      <w:r w:rsidR="003004EC" w:rsidRPr="009B3675">
        <w:rPr>
          <w:rFonts w:ascii="Book Antiqua" w:hAnsi="Book Antiqua" w:cs="Arial"/>
          <w:lang w:val="es-ES"/>
        </w:rPr>
        <w:t>con</w:t>
      </w:r>
      <w:r w:rsidR="009B3675" w:rsidRPr="009B3675">
        <w:rPr>
          <w:rFonts w:ascii="Book Antiqua" w:hAnsi="Book Antiqua" w:cs="Arial"/>
          <w:lang w:val="es-ES"/>
        </w:rPr>
        <w:t xml:space="preserve"> las enmiendas que se incluyen en el entirillado electrónico que acompaña este </w:t>
      </w:r>
      <w:r w:rsidR="00BE0B25">
        <w:rPr>
          <w:rFonts w:ascii="Book Antiqua" w:hAnsi="Book Antiqua" w:cs="Arial"/>
          <w:lang w:val="es-ES"/>
        </w:rPr>
        <w:t>i</w:t>
      </w:r>
      <w:r w:rsidR="009B3675" w:rsidRPr="009B3675">
        <w:rPr>
          <w:rFonts w:ascii="Book Antiqua" w:hAnsi="Book Antiqua" w:cs="Arial"/>
          <w:lang w:val="es-ES"/>
        </w:rPr>
        <w:t xml:space="preserve">nforme. </w:t>
      </w:r>
    </w:p>
    <w:p w14:paraId="2D3414A2" w14:textId="77777777" w:rsidR="0076466B" w:rsidRPr="00374C78" w:rsidRDefault="0076466B" w:rsidP="004000AE">
      <w:pPr>
        <w:jc w:val="both"/>
        <w:rPr>
          <w:rFonts w:ascii="Book Antiqua" w:hAnsi="Book Antiqua" w:cs="Arial"/>
          <w:sz w:val="22"/>
          <w:szCs w:val="22"/>
          <w:lang w:val="es-ES"/>
        </w:rPr>
      </w:pPr>
    </w:p>
    <w:p w14:paraId="0636930C" w14:textId="77777777" w:rsidR="00AC0B45" w:rsidRPr="00AC0B45" w:rsidRDefault="00AC0B45" w:rsidP="00AC0B45">
      <w:pPr>
        <w:jc w:val="both"/>
        <w:rPr>
          <w:rFonts w:ascii="Book Antiqua" w:hAnsi="Book Antiqua" w:cs="Arial"/>
          <w:lang w:val="es-ES"/>
        </w:rPr>
      </w:pPr>
      <w:r w:rsidRPr="00AC0B45">
        <w:rPr>
          <w:rFonts w:ascii="Book Antiqua" w:hAnsi="Book Antiqua" w:cs="Arial"/>
          <w:lang w:val="es-ES"/>
        </w:rPr>
        <w:t>Respetuosamente sometido,</w:t>
      </w:r>
    </w:p>
    <w:p w14:paraId="73C7FD62" w14:textId="77777777" w:rsidR="00AC0B45" w:rsidRPr="00374C78" w:rsidRDefault="00AC0B45" w:rsidP="00AC0B45">
      <w:pPr>
        <w:rPr>
          <w:sz w:val="22"/>
          <w:szCs w:val="22"/>
          <w:lang w:val="es-ES"/>
        </w:rPr>
      </w:pPr>
    </w:p>
    <w:p w14:paraId="5A509428" w14:textId="77777777" w:rsidR="00AC0B45" w:rsidRPr="00374C78" w:rsidRDefault="00AC0B45" w:rsidP="00AC0B45">
      <w:pPr>
        <w:rPr>
          <w:sz w:val="22"/>
          <w:szCs w:val="22"/>
          <w:lang w:val="es-ES"/>
        </w:rPr>
      </w:pPr>
    </w:p>
    <w:p w14:paraId="38A6D931" w14:textId="77777777" w:rsidR="00374C78" w:rsidRDefault="00304C16" w:rsidP="00374C78">
      <w:pPr>
        <w:jc w:val="both"/>
        <w:rPr>
          <w:rFonts w:ascii="Book Antiqua" w:hAnsi="Book Antiqua"/>
          <w:b/>
          <w:i/>
          <w:szCs w:val="24"/>
          <w:lang w:val="es-ES_tradnl"/>
        </w:rPr>
      </w:pPr>
      <w:r w:rsidRPr="00760D4D">
        <w:rPr>
          <w:rFonts w:ascii="Book Antiqua" w:hAnsi="Book Antiqua"/>
          <w:b/>
          <w:i/>
          <w:szCs w:val="24"/>
          <w:lang w:val="es-ES_tradnl"/>
        </w:rPr>
        <w:t>Luis Pérez Ortiz</w:t>
      </w:r>
    </w:p>
    <w:p w14:paraId="0F2FEC51" w14:textId="77777777" w:rsidR="00374C78" w:rsidRDefault="00AC0B45" w:rsidP="00374C78">
      <w:pPr>
        <w:jc w:val="both"/>
        <w:rPr>
          <w:rFonts w:ascii="Book Antiqua" w:hAnsi="Book Antiqua" w:cs="Arial"/>
          <w:lang w:val="es-ES"/>
        </w:rPr>
      </w:pPr>
      <w:r w:rsidRPr="00304C16">
        <w:rPr>
          <w:rFonts w:ascii="Book Antiqua" w:hAnsi="Book Antiqua" w:cs="Arial"/>
          <w:lang w:val="es-ES"/>
        </w:rPr>
        <w:t>Presidente</w:t>
      </w:r>
    </w:p>
    <w:p w14:paraId="3D9F1629" w14:textId="057C5E07" w:rsidR="00AC0B45" w:rsidRPr="00A30BC4" w:rsidRDefault="00AC0B45" w:rsidP="00374C78">
      <w:pPr>
        <w:jc w:val="both"/>
        <w:rPr>
          <w:rFonts w:ascii="Book Antiqua" w:hAnsi="Book Antiqua" w:cs="Arial"/>
          <w:lang w:val="es-ES"/>
        </w:rPr>
      </w:pPr>
      <w:r w:rsidRPr="00304C16">
        <w:rPr>
          <w:rFonts w:ascii="Book Antiqua" w:hAnsi="Book Antiqua" w:cs="Arial"/>
          <w:lang w:val="es-ES"/>
        </w:rPr>
        <w:t xml:space="preserve">Comisión de Asuntos Municipales   </w:t>
      </w:r>
    </w:p>
    <w:sectPr w:rsidR="00AC0B45" w:rsidRPr="00A30BC4" w:rsidSect="006705DD">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EA5ADF" w14:textId="77777777" w:rsidR="004F5A36" w:rsidRDefault="004F5A36" w:rsidP="006705DD">
      <w:r>
        <w:separator/>
      </w:r>
    </w:p>
  </w:endnote>
  <w:endnote w:type="continuationSeparator" w:id="0">
    <w:p w14:paraId="7D55D18D" w14:textId="77777777" w:rsidR="004F5A36" w:rsidRDefault="004F5A36" w:rsidP="00670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atang">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DXANP N+ Serifa B T,">
    <w:altName w:val="Times New Roman"/>
    <w:charset w:val="00"/>
    <w:family w:val="auto"/>
    <w:pitch w:val="default"/>
  </w:font>
  <w:font w:name="Times New Roman (Body CS)">
    <w:altName w:val="Times New Roman"/>
    <w:charset w:val="00"/>
    <w:family w:val="roman"/>
    <w:pitch w:val="default"/>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DB636" w14:textId="77777777" w:rsidR="009A24F9" w:rsidRDefault="009A24F9" w:rsidP="006705DD">
    <w:pPr>
      <w:pStyle w:val="Footer"/>
      <w:tabs>
        <w:tab w:val="left" w:pos="5508"/>
      </w:tabs>
      <w:jc w:val="center"/>
      <w:rPr>
        <w:rFonts w:ascii="Verdana" w:hAnsi="Verdana"/>
        <w:i/>
        <w:sz w:val="20"/>
        <w:lang w:val="es-ES"/>
      </w:rPr>
    </w:pPr>
  </w:p>
  <w:p w14:paraId="15B3E2F4" w14:textId="1B15EE07" w:rsidR="009A24F9" w:rsidRPr="005777F7" w:rsidRDefault="009A24F9" w:rsidP="006705DD">
    <w:pPr>
      <w:pStyle w:val="Footer"/>
      <w:tabs>
        <w:tab w:val="left" w:pos="5508"/>
      </w:tabs>
      <w:jc w:val="center"/>
      <w:rPr>
        <w:rFonts w:ascii="Book Antiqua" w:hAnsi="Book Antiqua"/>
        <w:i/>
        <w:sz w:val="22"/>
        <w:szCs w:val="22"/>
        <w:lang w:val="es-ES"/>
      </w:rPr>
    </w:pPr>
    <w:r>
      <w:rPr>
        <w:rFonts w:ascii="Book Antiqua" w:hAnsi="Book Antiqua"/>
        <w:i/>
        <w:noProof/>
        <w:sz w:val="22"/>
        <w:szCs w:val="22"/>
      </w:rPr>
      <mc:AlternateContent>
        <mc:Choice Requires="wps">
          <w:drawing>
            <wp:anchor distT="4294967295" distB="4294967295" distL="114300" distR="114300" simplePos="0" relativeHeight="251661312" behindDoc="0" locked="0" layoutInCell="1" allowOverlap="1" wp14:anchorId="23ACEF40" wp14:editId="3C63327C">
              <wp:simplePos x="0" y="0"/>
              <wp:positionH relativeFrom="column">
                <wp:posOffset>0</wp:posOffset>
              </wp:positionH>
              <wp:positionV relativeFrom="paragraph">
                <wp:posOffset>-31751</wp:posOffset>
              </wp:positionV>
              <wp:extent cx="59436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chemeClr val="tx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1D68E6" id="Straight Connector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2.5pt" to="468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oR+rwEAAEcDAAAOAAAAZHJzL2Uyb0RvYy54bWysUk1vGyEQvVfKf0Dc4127ddSsvM7BaXpJ&#10;W0tJfsAYWC8qMIjB3vW/L+CPRM0tygXBfDzeezOLu9EatleBNLqWTyc1Z8oJlNptW/7y/HD9nTOK&#10;4CQYdKrlB0X8bnn1ZTH4Rs2wRyNVYAnEUTP4lvcx+qaqSPTKAk3QK5eSHQYLMT3DtpIBhoRuTTWr&#10;65tqwCB9QKGIUvT+mOTLgt91SsQ/XUcqMtPyxC2WM5Rzk89quYBmG8D3WpxowAdYWNAufXqBuocI&#10;bBf0OyirRUDCLk4E2gq7TgtVNCQ10/o/NU89eFW0JHPIX2yiz4MVv/crtw6Zuhjdk39E8ZeYw1UP&#10;bqsKgeeDT4ObZquqwVNzackP8uvANsMvlKkGdhGLC2MXbIZM+thYzD5czFZjZCIF57ffvt7UaSbi&#10;nKugOTf6QPGnQsvypeVGu+wDNLB/pJiJQHMuyWGHD9qYMkvj2NDy2/lsXhoIjZY5mcvKVqmVCWwP&#10;aR/ieBSVEm+rAu6cLFi9AvnjdI+gzfGe/jbu5EWWn3eNmg3KwzqcPUrTKiRPm5XX4e27dL/u//If&#10;AAAA//8DAFBLAwQUAAYACAAAACEAn5wDkdsAAAAGAQAADwAAAGRycy9kb3ducmV2LnhtbEyPy07D&#10;MBBF90j8gzVI7FqHV9SmcSqEYIPYJHQBOzeexhHxOI2dJvw9g1iU1Tzu6N4z+XZ2nTjhEFpPCm6W&#10;CQik2puWGgW795fFCkSImozuPKGCbwywLS4vcp0ZP1GJpyo2gk0oZFqBjbHPpAy1RafD0vdIrB38&#10;4HTkcWikGfTE5q6Tt0mSSqdb4gSre3yyWH9Vo1PwenwLu/u0fC4/jqtq+jyMtvGo1PXV/LgBEXGO&#10;52P4xWd0KJhp70cyQXQK+JGoYPHAldX1XcrN/m8hi1z+xy9+AAAA//8DAFBLAQItABQABgAIAAAA&#10;IQC2gziS/gAAAOEBAAATAAAAAAAAAAAAAAAAAAAAAABbQ29udGVudF9UeXBlc10ueG1sUEsBAi0A&#10;FAAGAAgAAAAhADj9If/WAAAAlAEAAAsAAAAAAAAAAAAAAAAALwEAAF9yZWxzLy5yZWxzUEsBAi0A&#10;FAAGAAgAAAAhAMtGhH6vAQAARwMAAA4AAAAAAAAAAAAAAAAALgIAAGRycy9lMm9Eb2MueG1sUEsB&#10;Ai0AFAAGAAgAAAAhAJ+cA5HbAAAABgEAAA8AAAAAAAAAAAAAAAAACQQAAGRycy9kb3ducmV2Lnht&#10;bFBLBQYAAAAABAAEAPMAAAARBQAAAAA=&#10;" strokecolor="black [3213]"/>
          </w:pict>
        </mc:Fallback>
      </mc:AlternateContent>
    </w:r>
    <w:r w:rsidRPr="005777F7">
      <w:rPr>
        <w:rFonts w:ascii="Book Antiqua" w:hAnsi="Book Antiqua"/>
        <w:i/>
        <w:sz w:val="22"/>
        <w:szCs w:val="22"/>
        <w:lang w:val="es-ES"/>
      </w:rPr>
      <w:t xml:space="preserve">Comisión de </w:t>
    </w:r>
    <w:r w:rsidR="005E345A">
      <w:rPr>
        <w:rFonts w:ascii="Book Antiqua" w:hAnsi="Book Antiqua"/>
        <w:i/>
        <w:sz w:val="22"/>
        <w:szCs w:val="22"/>
        <w:lang w:val="es-ES"/>
      </w:rPr>
      <w:t>Asuntos Municipales</w:t>
    </w:r>
  </w:p>
  <w:p w14:paraId="311659FF" w14:textId="77777777" w:rsidR="009A24F9" w:rsidRPr="006705DD" w:rsidRDefault="009A24F9">
    <w:pPr>
      <w:pStyle w:val="Footer"/>
      <w:rPr>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186AAE" w14:textId="77777777" w:rsidR="004F5A36" w:rsidRDefault="004F5A36" w:rsidP="006705DD">
      <w:r>
        <w:separator/>
      </w:r>
    </w:p>
  </w:footnote>
  <w:footnote w:type="continuationSeparator" w:id="0">
    <w:p w14:paraId="2D61E15F" w14:textId="77777777" w:rsidR="004F5A36" w:rsidRDefault="004F5A36" w:rsidP="006705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BAB4B" w14:textId="3356C72F" w:rsidR="009A24F9" w:rsidRPr="009A24F9" w:rsidRDefault="005E345A" w:rsidP="006705DD">
    <w:pPr>
      <w:pStyle w:val="Header"/>
      <w:rPr>
        <w:rStyle w:val="PageNumber"/>
        <w:lang w:val="es-PR"/>
      </w:rPr>
    </w:pPr>
    <w:r>
      <w:rPr>
        <w:rFonts w:ascii="Arial Narrow" w:hAnsi="Arial Narrow"/>
        <w:noProof/>
      </w:rPr>
      <w:drawing>
        <wp:anchor distT="0" distB="0" distL="114300" distR="114300" simplePos="0" relativeHeight="251662336" behindDoc="0" locked="0" layoutInCell="1" allowOverlap="1" wp14:anchorId="713F5125" wp14:editId="3B92D826">
          <wp:simplePos x="0" y="0"/>
          <wp:positionH relativeFrom="margin">
            <wp:posOffset>2609215</wp:posOffset>
          </wp:positionH>
          <wp:positionV relativeFrom="paragraph">
            <wp:posOffset>-335280</wp:posOffset>
          </wp:positionV>
          <wp:extent cx="738505" cy="821791"/>
          <wp:effectExtent l="0" t="0" r="4445" b="0"/>
          <wp:wrapNone/>
          <wp:docPr id="17156912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r:link="rId2" cstate="print">
                    <a:extLst>
                      <a:ext uri="{28A0092B-C50C-407E-A947-70E740481C1C}">
                        <a14:useLocalDpi xmlns:a14="http://schemas.microsoft.com/office/drawing/2010/main" val="0"/>
                      </a:ext>
                    </a:extLst>
                  </a:blip>
                  <a:srcRect r="64545"/>
                  <a:stretch/>
                </pic:blipFill>
                <pic:spPr bwMode="auto">
                  <a:xfrm>
                    <a:off x="0" y="0"/>
                    <a:ext cx="738505" cy="82179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A24F9" w:rsidRPr="005777F7">
      <w:rPr>
        <w:rStyle w:val="PageNumber"/>
        <w:rFonts w:ascii="Book Antiqua" w:hAnsi="Book Antiqua"/>
        <w:i/>
        <w:sz w:val="22"/>
        <w:szCs w:val="22"/>
        <w:lang w:val="es-PR"/>
      </w:rPr>
      <w:tab/>
    </w:r>
    <w:r w:rsidR="009A24F9" w:rsidRPr="005777F7">
      <w:rPr>
        <w:rStyle w:val="PageNumber"/>
        <w:rFonts w:ascii="Book Antiqua" w:hAnsi="Book Antiqua"/>
        <w:i/>
        <w:sz w:val="22"/>
        <w:szCs w:val="22"/>
        <w:lang w:val="es-PR"/>
      </w:rPr>
      <w:tab/>
    </w:r>
  </w:p>
  <w:p w14:paraId="5CDEC73C" w14:textId="1C59EA7F" w:rsidR="005E345A" w:rsidRPr="009A24F9" w:rsidRDefault="005E345A" w:rsidP="005E345A">
    <w:pPr>
      <w:pStyle w:val="Header"/>
      <w:rPr>
        <w:rStyle w:val="PageNumber"/>
        <w:lang w:val="es-PR"/>
      </w:rPr>
    </w:pPr>
    <w:r>
      <w:rPr>
        <w:rFonts w:ascii="Book Antiqua" w:hAnsi="Book Antiqua"/>
        <w:i/>
        <w:noProof/>
        <w:sz w:val="22"/>
        <w:szCs w:val="22"/>
      </w:rPr>
      <mc:AlternateContent>
        <mc:Choice Requires="wps">
          <w:drawing>
            <wp:anchor distT="4294967295" distB="4294967295" distL="114300" distR="114300" simplePos="0" relativeHeight="251659264" behindDoc="0" locked="0" layoutInCell="1" allowOverlap="1" wp14:anchorId="0A79470A" wp14:editId="61E5FFD7">
              <wp:simplePos x="0" y="0"/>
              <wp:positionH relativeFrom="margin">
                <wp:align>center</wp:align>
              </wp:positionH>
              <wp:positionV relativeFrom="paragraph">
                <wp:posOffset>265430</wp:posOffset>
              </wp:positionV>
              <wp:extent cx="6057900" cy="0"/>
              <wp:effectExtent l="0" t="0" r="0" b="0"/>
              <wp:wrapNone/>
              <wp:docPr id="3"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FB9CA6" id="Straight Connector 1" o:spid="_x0000_s1026" style="position:absolute;z-index:251659264;visibility:visible;mso-wrap-style:square;mso-width-percent:0;mso-height-percent:0;mso-wrap-distance-left:9pt;mso-wrap-distance-top:-3e-5mm;mso-wrap-distance-right:9pt;mso-wrap-distance-bottom:-3e-5mm;mso-position-horizontal:center;mso-position-horizontal-relative:margin;mso-position-vertical:absolute;mso-position-vertical-relative:text;mso-width-percent:0;mso-height-percent:0;mso-width-relative:page;mso-height-relative:page" from="0,20.9pt" to="477pt,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Hw/sAEAAEgDAAAOAAAAZHJzL2Uyb0RvYy54bWysU8Fu2zAMvQ/YPwi6L3YCpFuNOD2k7S7d&#10;FqDdBzCSbAuVRYFU4uTvJ6lJVmy3YT4Ikkg+vfdIr+6OoxMHQ2zRt3I+q6UwXqG2vm/lz5fHT1+k&#10;4Aheg0NvWnkyLO/WHz+sptCYBQ7otCGRQDw3U2jlEGNoqorVYEbgGQbjU7BDGiGmI/WVJpgS+uiq&#10;RV3fVBOSDoTKMKfb+7egXBf8rjMq/ug6NlG4ViZusaxU1l1eq/UKmp4gDFadacA/sBjB+vToFeoe&#10;Iog92b+gRqsIGbs4UzhW2HVWmaIhqZnXf6h5HiCYoiWZw+FqE/8/WPX9sPFbytTV0T+HJ1SvLDxu&#10;BvC9KQReTiE1bp6tqqbAzbUkHzhsSeymb6hTDuwjFheOHY0ZMukTx2L26Wq2OUah0uVNvfx8W6ee&#10;qEusguZSGIjjV4OjyJtWOuuzD9DA4YljJgLNJSVfe3y0zpVeOi+mVt4uF8tSwOiszsGcxtTvNo7E&#10;AfI0lK+oSpH3aYR7rwvYYEA/nPcRrHvbp8edP5uR9edh42aH+rSli0mpXYXlebTyPLw/l+rfP8D6&#10;FwAAAP//AwBQSwMEFAAGAAgAAAAhAOTHabjaAAAABgEAAA8AAABkcnMvZG93bnJldi54bWxMj0FP&#10;wkAQhe8m/ofNmHghsAXRaOmWGLU3LqLE69Ad24bubOkuUP31jPGgx/fe5L1vsuXgWnWkPjSeDUwn&#10;CSji0tuGKwPvb8X4HlSIyBZbz2TgiwIs88uLDFPrT/xKx3WslJRwSNFAHWOXah3KmhyGie+IJfv0&#10;vcMosq+07fEk5a7VsyS50w4bloUaO3qqqdytD85AKDa0L75H5Sj5uKk8zfbPqxc05vpqeFyAijTE&#10;v2P4wRd0yIVp6w9sg2oNyCPRwHwq/JI+3M7F2P4aOs/0f/z8DAAA//8DAFBLAQItABQABgAIAAAA&#10;IQC2gziS/gAAAOEBAAATAAAAAAAAAAAAAAAAAAAAAABbQ29udGVudF9UeXBlc10ueG1sUEsBAi0A&#10;FAAGAAgAAAAhADj9If/WAAAAlAEAAAsAAAAAAAAAAAAAAAAALwEAAF9yZWxzLy5yZWxzUEsBAi0A&#10;FAAGAAgAAAAhAPoMfD+wAQAASAMAAA4AAAAAAAAAAAAAAAAALgIAAGRycy9lMm9Eb2MueG1sUEsB&#10;Ai0AFAAGAAgAAAAhAOTHabjaAAAABgEAAA8AAAAAAAAAAAAAAAAACgQAAGRycy9kb3ducmV2Lnht&#10;bFBLBQYAAAAABAAEAPMAAAARBQAAAAA=&#10;">
              <w10:wrap anchorx="margin"/>
            </v:line>
          </w:pict>
        </mc:Fallback>
      </mc:AlternateContent>
    </w:r>
    <w:r w:rsidRPr="005777F7">
      <w:rPr>
        <w:rStyle w:val="PageNumber"/>
        <w:rFonts w:ascii="Book Antiqua" w:hAnsi="Book Antiqua"/>
        <w:i/>
        <w:sz w:val="22"/>
        <w:szCs w:val="22"/>
        <w:lang w:val="es-PR"/>
      </w:rPr>
      <w:t>Informe</w:t>
    </w:r>
    <w:r w:rsidR="00A56BC5">
      <w:rPr>
        <w:rStyle w:val="PageNumber"/>
        <w:rFonts w:ascii="Book Antiqua" w:hAnsi="Book Antiqua"/>
        <w:i/>
        <w:sz w:val="22"/>
        <w:szCs w:val="22"/>
        <w:lang w:val="es-PR"/>
      </w:rPr>
      <w:t xml:space="preserve"> Positivo</w:t>
    </w:r>
    <w:r>
      <w:rPr>
        <w:rStyle w:val="PageNumber"/>
        <w:rFonts w:ascii="Book Antiqua" w:hAnsi="Book Antiqua"/>
        <w:i/>
        <w:sz w:val="22"/>
        <w:szCs w:val="22"/>
        <w:lang w:val="es-PR"/>
      </w:rPr>
      <w:t xml:space="preserve"> </w:t>
    </w:r>
    <w:r w:rsidRPr="005777F7">
      <w:rPr>
        <w:rStyle w:val="PageNumber"/>
        <w:rFonts w:ascii="Book Antiqua" w:hAnsi="Book Antiqua"/>
        <w:i/>
        <w:sz w:val="22"/>
        <w:szCs w:val="22"/>
        <w:lang w:val="es-PR"/>
      </w:rPr>
      <w:t xml:space="preserve">P. de la C. </w:t>
    </w:r>
    <w:r w:rsidR="00716BAA">
      <w:rPr>
        <w:rStyle w:val="PageNumber"/>
        <w:rFonts w:ascii="Book Antiqua" w:hAnsi="Book Antiqua"/>
        <w:i/>
        <w:sz w:val="22"/>
        <w:szCs w:val="22"/>
        <w:lang w:val="es-PR"/>
      </w:rPr>
      <w:t>995</w:t>
    </w:r>
    <w:r>
      <w:rPr>
        <w:rStyle w:val="PageNumber"/>
        <w:rFonts w:ascii="Book Antiqua" w:hAnsi="Book Antiqua"/>
        <w:i/>
        <w:sz w:val="22"/>
        <w:szCs w:val="22"/>
        <w:lang w:val="es-PR"/>
      </w:rPr>
      <w:tab/>
    </w:r>
    <w:r>
      <w:rPr>
        <w:rStyle w:val="PageNumber"/>
        <w:rFonts w:ascii="Book Antiqua" w:hAnsi="Book Antiqua"/>
        <w:i/>
        <w:sz w:val="22"/>
        <w:szCs w:val="22"/>
        <w:lang w:val="es-PR"/>
      </w:rPr>
      <w:tab/>
    </w:r>
    <w:r w:rsidRPr="005777F7">
      <w:rPr>
        <w:rStyle w:val="PageNumber"/>
        <w:rFonts w:ascii="Book Antiqua" w:hAnsi="Book Antiqua"/>
        <w:i/>
        <w:sz w:val="22"/>
        <w:szCs w:val="22"/>
        <w:lang w:val="es-PR"/>
      </w:rPr>
      <w:t xml:space="preserve">Página </w:t>
    </w:r>
    <w:r w:rsidRPr="005777F7">
      <w:rPr>
        <w:rStyle w:val="PageNumber"/>
        <w:rFonts w:ascii="Book Antiqua" w:hAnsi="Book Antiqua"/>
        <w:i/>
        <w:sz w:val="22"/>
        <w:szCs w:val="22"/>
      </w:rPr>
      <w:fldChar w:fldCharType="begin"/>
    </w:r>
    <w:r w:rsidRPr="005777F7">
      <w:rPr>
        <w:rStyle w:val="PageNumber"/>
        <w:rFonts w:ascii="Book Antiqua" w:hAnsi="Book Antiqua"/>
        <w:i/>
        <w:sz w:val="22"/>
        <w:szCs w:val="22"/>
        <w:lang w:val="es-PR"/>
      </w:rPr>
      <w:instrText xml:space="preserve"> PAGE </w:instrText>
    </w:r>
    <w:r w:rsidRPr="005777F7">
      <w:rPr>
        <w:rStyle w:val="PageNumber"/>
        <w:rFonts w:ascii="Book Antiqua" w:hAnsi="Book Antiqua"/>
        <w:i/>
        <w:sz w:val="22"/>
        <w:szCs w:val="22"/>
      </w:rPr>
      <w:fldChar w:fldCharType="separate"/>
    </w:r>
    <w:r w:rsidRPr="005E345A">
      <w:rPr>
        <w:rStyle w:val="PageNumber"/>
        <w:rFonts w:ascii="Book Antiqua" w:hAnsi="Book Antiqua"/>
        <w:i/>
        <w:sz w:val="22"/>
        <w:szCs w:val="22"/>
        <w:lang w:val="es-ES"/>
      </w:rPr>
      <w:t>3</w:t>
    </w:r>
    <w:r w:rsidRPr="005777F7">
      <w:rPr>
        <w:rStyle w:val="PageNumber"/>
        <w:rFonts w:ascii="Book Antiqua" w:hAnsi="Book Antiqua"/>
        <w:i/>
        <w:sz w:val="22"/>
        <w:szCs w:val="22"/>
      </w:rPr>
      <w:fldChar w:fldCharType="end"/>
    </w:r>
  </w:p>
  <w:p w14:paraId="44E0AE6E" w14:textId="698E2E2C" w:rsidR="009A24F9" w:rsidRPr="009A24F9" w:rsidRDefault="009A24F9">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B547F"/>
    <w:multiLevelType w:val="hybridMultilevel"/>
    <w:tmpl w:val="BBC03750"/>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04590862"/>
    <w:multiLevelType w:val="multilevel"/>
    <w:tmpl w:val="965AA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8B7677"/>
    <w:multiLevelType w:val="hybridMultilevel"/>
    <w:tmpl w:val="2348E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0B043D"/>
    <w:multiLevelType w:val="hybridMultilevel"/>
    <w:tmpl w:val="9460CAA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0C69490D"/>
    <w:multiLevelType w:val="multilevel"/>
    <w:tmpl w:val="624A3C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B90103C"/>
    <w:multiLevelType w:val="hybridMultilevel"/>
    <w:tmpl w:val="EC365394"/>
    <w:lvl w:ilvl="0" w:tplc="20000019">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1C482395"/>
    <w:multiLevelType w:val="multilevel"/>
    <w:tmpl w:val="7304D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6B63A8"/>
    <w:multiLevelType w:val="multilevel"/>
    <w:tmpl w:val="E350F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E965E8"/>
    <w:multiLevelType w:val="hybridMultilevel"/>
    <w:tmpl w:val="9CC60086"/>
    <w:lvl w:ilvl="0" w:tplc="200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287669E9"/>
    <w:multiLevelType w:val="hybridMultilevel"/>
    <w:tmpl w:val="777A11B2"/>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0" w15:restartNumberingAfterBreak="0">
    <w:nsid w:val="296256AE"/>
    <w:multiLevelType w:val="multilevel"/>
    <w:tmpl w:val="35E29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AC807C9"/>
    <w:multiLevelType w:val="multilevel"/>
    <w:tmpl w:val="AE684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E41DBD"/>
    <w:multiLevelType w:val="hybridMultilevel"/>
    <w:tmpl w:val="D6C84DC0"/>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3" w15:restartNumberingAfterBreak="0">
    <w:nsid w:val="333D6D16"/>
    <w:multiLevelType w:val="multilevel"/>
    <w:tmpl w:val="5E3EE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35246B"/>
    <w:multiLevelType w:val="hybridMultilevel"/>
    <w:tmpl w:val="DCF418A6"/>
    <w:lvl w:ilvl="0" w:tplc="26B8A67E">
      <w:start w:val="1"/>
      <w:numFmt w:val="upperLetter"/>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5" w15:restartNumberingAfterBreak="0">
    <w:nsid w:val="35AB2028"/>
    <w:multiLevelType w:val="hybridMultilevel"/>
    <w:tmpl w:val="81260CAA"/>
    <w:lvl w:ilvl="0" w:tplc="ACE2E85A">
      <w:numFmt w:val="bullet"/>
      <w:lvlText w:val="-"/>
      <w:lvlJc w:val="left"/>
      <w:pPr>
        <w:ind w:left="720" w:hanging="360"/>
      </w:pPr>
      <w:rPr>
        <w:rFonts w:ascii="Book Antiqua" w:eastAsia="Times New Roman" w:hAnsi="Book Antiqua"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6" w15:restartNumberingAfterBreak="0">
    <w:nsid w:val="380D7E1E"/>
    <w:multiLevelType w:val="multilevel"/>
    <w:tmpl w:val="3FE22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D830B5"/>
    <w:multiLevelType w:val="multilevel"/>
    <w:tmpl w:val="BED20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C1D530C"/>
    <w:multiLevelType w:val="hybridMultilevel"/>
    <w:tmpl w:val="66C88768"/>
    <w:lvl w:ilvl="0" w:tplc="38D25564">
      <w:start w:val="1"/>
      <w:numFmt w:val="upperRoman"/>
      <w:lvlText w:val="%1."/>
      <w:lvlJc w:val="left"/>
      <w:pPr>
        <w:ind w:left="81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CA53925"/>
    <w:multiLevelType w:val="hybridMultilevel"/>
    <w:tmpl w:val="75886524"/>
    <w:lvl w:ilvl="0" w:tplc="2000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19F45B0"/>
    <w:multiLevelType w:val="multilevel"/>
    <w:tmpl w:val="48BA54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26C7E36"/>
    <w:multiLevelType w:val="multilevel"/>
    <w:tmpl w:val="816A4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28C3DB4"/>
    <w:multiLevelType w:val="multilevel"/>
    <w:tmpl w:val="AA587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3857F1D"/>
    <w:multiLevelType w:val="hybridMultilevel"/>
    <w:tmpl w:val="FF6EC138"/>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4" w15:restartNumberingAfterBreak="0">
    <w:nsid w:val="43AE1BB8"/>
    <w:multiLevelType w:val="hybridMultilevel"/>
    <w:tmpl w:val="491633B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49F5291"/>
    <w:multiLevelType w:val="hybridMultilevel"/>
    <w:tmpl w:val="B45235AC"/>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6" w15:restartNumberingAfterBreak="0">
    <w:nsid w:val="49103E17"/>
    <w:multiLevelType w:val="multilevel"/>
    <w:tmpl w:val="50229E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0A45D1C"/>
    <w:multiLevelType w:val="multilevel"/>
    <w:tmpl w:val="A17CA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1805A61"/>
    <w:multiLevelType w:val="hybridMultilevel"/>
    <w:tmpl w:val="7134391C"/>
    <w:lvl w:ilvl="0" w:tplc="760C217E">
      <w:start w:val="1"/>
      <w:numFmt w:val="upperRoman"/>
      <w:lvlText w:val="%1."/>
      <w:lvlJc w:val="left"/>
      <w:pPr>
        <w:ind w:left="1080" w:hanging="72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5AE725BA"/>
    <w:multiLevelType w:val="multilevel"/>
    <w:tmpl w:val="3A183E3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C0D15F1"/>
    <w:multiLevelType w:val="multilevel"/>
    <w:tmpl w:val="EFD69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DF5581F"/>
    <w:multiLevelType w:val="hybridMultilevel"/>
    <w:tmpl w:val="A68856E4"/>
    <w:lvl w:ilvl="0" w:tplc="0409000F">
      <w:start w:val="1"/>
      <w:numFmt w:val="decimal"/>
      <w:lvlText w:val="%1."/>
      <w:lvlJc w:val="left"/>
      <w:pPr>
        <w:ind w:left="990" w:hanging="360"/>
      </w:pPr>
      <w:rPr>
        <w:rFonts w:hint="default"/>
      </w:rPr>
    </w:lvl>
    <w:lvl w:ilvl="1" w:tplc="BF16401E" w:tentative="1">
      <w:start w:val="1"/>
      <w:numFmt w:val="bullet"/>
      <w:lvlText w:val="•"/>
      <w:lvlJc w:val="left"/>
      <w:pPr>
        <w:tabs>
          <w:tab w:val="num" w:pos="1440"/>
        </w:tabs>
        <w:ind w:left="1440" w:hanging="360"/>
      </w:pPr>
      <w:rPr>
        <w:rFonts w:ascii="Arial" w:hAnsi="Arial" w:hint="default"/>
      </w:rPr>
    </w:lvl>
    <w:lvl w:ilvl="2" w:tplc="42A083FE" w:tentative="1">
      <w:start w:val="1"/>
      <w:numFmt w:val="bullet"/>
      <w:lvlText w:val="•"/>
      <w:lvlJc w:val="left"/>
      <w:pPr>
        <w:tabs>
          <w:tab w:val="num" w:pos="2160"/>
        </w:tabs>
        <w:ind w:left="2160" w:hanging="360"/>
      </w:pPr>
      <w:rPr>
        <w:rFonts w:ascii="Arial" w:hAnsi="Arial" w:hint="default"/>
      </w:rPr>
    </w:lvl>
    <w:lvl w:ilvl="3" w:tplc="3212443A" w:tentative="1">
      <w:start w:val="1"/>
      <w:numFmt w:val="bullet"/>
      <w:lvlText w:val="•"/>
      <w:lvlJc w:val="left"/>
      <w:pPr>
        <w:tabs>
          <w:tab w:val="num" w:pos="2880"/>
        </w:tabs>
        <w:ind w:left="2880" w:hanging="360"/>
      </w:pPr>
      <w:rPr>
        <w:rFonts w:ascii="Arial" w:hAnsi="Arial" w:hint="default"/>
      </w:rPr>
    </w:lvl>
    <w:lvl w:ilvl="4" w:tplc="D356002E" w:tentative="1">
      <w:start w:val="1"/>
      <w:numFmt w:val="bullet"/>
      <w:lvlText w:val="•"/>
      <w:lvlJc w:val="left"/>
      <w:pPr>
        <w:tabs>
          <w:tab w:val="num" w:pos="3600"/>
        </w:tabs>
        <w:ind w:left="3600" w:hanging="360"/>
      </w:pPr>
      <w:rPr>
        <w:rFonts w:ascii="Arial" w:hAnsi="Arial" w:hint="default"/>
      </w:rPr>
    </w:lvl>
    <w:lvl w:ilvl="5" w:tplc="40E628FC" w:tentative="1">
      <w:start w:val="1"/>
      <w:numFmt w:val="bullet"/>
      <w:lvlText w:val="•"/>
      <w:lvlJc w:val="left"/>
      <w:pPr>
        <w:tabs>
          <w:tab w:val="num" w:pos="4320"/>
        </w:tabs>
        <w:ind w:left="4320" w:hanging="360"/>
      </w:pPr>
      <w:rPr>
        <w:rFonts w:ascii="Arial" w:hAnsi="Arial" w:hint="default"/>
      </w:rPr>
    </w:lvl>
    <w:lvl w:ilvl="6" w:tplc="98BE2582" w:tentative="1">
      <w:start w:val="1"/>
      <w:numFmt w:val="bullet"/>
      <w:lvlText w:val="•"/>
      <w:lvlJc w:val="left"/>
      <w:pPr>
        <w:tabs>
          <w:tab w:val="num" w:pos="5040"/>
        </w:tabs>
        <w:ind w:left="5040" w:hanging="360"/>
      </w:pPr>
      <w:rPr>
        <w:rFonts w:ascii="Arial" w:hAnsi="Arial" w:hint="default"/>
      </w:rPr>
    </w:lvl>
    <w:lvl w:ilvl="7" w:tplc="42589562" w:tentative="1">
      <w:start w:val="1"/>
      <w:numFmt w:val="bullet"/>
      <w:lvlText w:val="•"/>
      <w:lvlJc w:val="left"/>
      <w:pPr>
        <w:tabs>
          <w:tab w:val="num" w:pos="5760"/>
        </w:tabs>
        <w:ind w:left="5760" w:hanging="360"/>
      </w:pPr>
      <w:rPr>
        <w:rFonts w:ascii="Arial" w:hAnsi="Arial" w:hint="default"/>
      </w:rPr>
    </w:lvl>
    <w:lvl w:ilvl="8" w:tplc="69427EA8"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5E216019"/>
    <w:multiLevelType w:val="hybridMultilevel"/>
    <w:tmpl w:val="B2B42476"/>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3" w15:restartNumberingAfterBreak="0">
    <w:nsid w:val="5EB81360"/>
    <w:multiLevelType w:val="hybridMultilevel"/>
    <w:tmpl w:val="FF982BFA"/>
    <w:lvl w:ilvl="0" w:tplc="4FA6012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12229B6"/>
    <w:multiLevelType w:val="hybridMultilevel"/>
    <w:tmpl w:val="C8B0840C"/>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5" w15:restartNumberingAfterBreak="0">
    <w:nsid w:val="63BD0DEB"/>
    <w:multiLevelType w:val="hybridMultilevel"/>
    <w:tmpl w:val="AE988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7B42B34"/>
    <w:multiLevelType w:val="multilevel"/>
    <w:tmpl w:val="6F626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86A6D4F"/>
    <w:multiLevelType w:val="hybridMultilevel"/>
    <w:tmpl w:val="491633B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8AB2DA6"/>
    <w:multiLevelType w:val="hybridMultilevel"/>
    <w:tmpl w:val="2348E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93E48DF"/>
    <w:multiLevelType w:val="hybridMultilevel"/>
    <w:tmpl w:val="D23C097E"/>
    <w:lvl w:ilvl="0" w:tplc="20000015">
      <w:start w:val="1"/>
      <w:numFmt w:val="upp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0" w15:restartNumberingAfterBreak="0">
    <w:nsid w:val="716342DF"/>
    <w:multiLevelType w:val="hybridMultilevel"/>
    <w:tmpl w:val="2C24E428"/>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41" w15:restartNumberingAfterBreak="0">
    <w:nsid w:val="74163B78"/>
    <w:multiLevelType w:val="multilevel"/>
    <w:tmpl w:val="72243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41B6F11"/>
    <w:multiLevelType w:val="multilevel"/>
    <w:tmpl w:val="62D2A8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8413AFF"/>
    <w:multiLevelType w:val="multilevel"/>
    <w:tmpl w:val="FCB69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97C501D"/>
    <w:multiLevelType w:val="hybridMultilevel"/>
    <w:tmpl w:val="696256E8"/>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5" w15:restartNumberingAfterBreak="0">
    <w:nsid w:val="7A6679F1"/>
    <w:multiLevelType w:val="multilevel"/>
    <w:tmpl w:val="B852D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11621562">
    <w:abstractNumId w:val="2"/>
  </w:num>
  <w:num w:numId="2" w16cid:durableId="12457928">
    <w:abstractNumId w:val="33"/>
  </w:num>
  <w:num w:numId="3" w16cid:durableId="150217024">
    <w:abstractNumId w:val="35"/>
  </w:num>
  <w:num w:numId="4" w16cid:durableId="1144077218">
    <w:abstractNumId w:val="24"/>
  </w:num>
  <w:num w:numId="5" w16cid:durableId="1391071492">
    <w:abstractNumId w:val="38"/>
  </w:num>
  <w:num w:numId="6" w16cid:durableId="1887521205">
    <w:abstractNumId w:val="37"/>
  </w:num>
  <w:num w:numId="7" w16cid:durableId="172000890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17391682">
    <w:abstractNumId w:val="31"/>
  </w:num>
  <w:num w:numId="9" w16cid:durableId="978419079">
    <w:abstractNumId w:val="22"/>
  </w:num>
  <w:num w:numId="10" w16cid:durableId="1431662367">
    <w:abstractNumId w:val="16"/>
  </w:num>
  <w:num w:numId="11" w16cid:durableId="745687741">
    <w:abstractNumId w:val="21"/>
  </w:num>
  <w:num w:numId="12" w16cid:durableId="788547495">
    <w:abstractNumId w:val="41"/>
  </w:num>
  <w:num w:numId="13" w16cid:durableId="953445716">
    <w:abstractNumId w:val="40"/>
  </w:num>
  <w:num w:numId="14" w16cid:durableId="194583800">
    <w:abstractNumId w:val="18"/>
  </w:num>
  <w:num w:numId="15" w16cid:durableId="523634993">
    <w:abstractNumId w:val="10"/>
  </w:num>
  <w:num w:numId="16" w16cid:durableId="640503561">
    <w:abstractNumId w:val="25"/>
  </w:num>
  <w:num w:numId="17" w16cid:durableId="558250333">
    <w:abstractNumId w:val="20"/>
  </w:num>
  <w:num w:numId="18" w16cid:durableId="544635036">
    <w:abstractNumId w:val="45"/>
  </w:num>
  <w:num w:numId="19" w16cid:durableId="328294607">
    <w:abstractNumId w:val="43"/>
  </w:num>
  <w:num w:numId="20" w16cid:durableId="1746873194">
    <w:abstractNumId w:val="11"/>
  </w:num>
  <w:num w:numId="21" w16cid:durableId="796483149">
    <w:abstractNumId w:val="27"/>
  </w:num>
  <w:num w:numId="22" w16cid:durableId="2005666296">
    <w:abstractNumId w:val="5"/>
  </w:num>
  <w:num w:numId="23" w16cid:durableId="1935046073">
    <w:abstractNumId w:val="36"/>
  </w:num>
  <w:num w:numId="24" w16cid:durableId="1003436762">
    <w:abstractNumId w:val="4"/>
  </w:num>
  <w:num w:numId="25" w16cid:durableId="363680753">
    <w:abstractNumId w:val="13"/>
  </w:num>
  <w:num w:numId="26" w16cid:durableId="819734833">
    <w:abstractNumId w:val="34"/>
  </w:num>
  <w:num w:numId="27" w16cid:durableId="319966295">
    <w:abstractNumId w:val="0"/>
  </w:num>
  <w:num w:numId="28" w16cid:durableId="1320692743">
    <w:abstractNumId w:val="9"/>
  </w:num>
  <w:num w:numId="29" w16cid:durableId="1485123259">
    <w:abstractNumId w:val="26"/>
  </w:num>
  <w:num w:numId="30" w16cid:durableId="994458932">
    <w:abstractNumId w:val="42"/>
  </w:num>
  <w:num w:numId="31" w16cid:durableId="1152524602">
    <w:abstractNumId w:val="29"/>
  </w:num>
  <w:num w:numId="32" w16cid:durableId="2128505462">
    <w:abstractNumId w:val="3"/>
  </w:num>
  <w:num w:numId="33" w16cid:durableId="2058430843">
    <w:abstractNumId w:val="30"/>
  </w:num>
  <w:num w:numId="34" w16cid:durableId="1740865236">
    <w:abstractNumId w:val="39"/>
  </w:num>
  <w:num w:numId="35" w16cid:durableId="1029069065">
    <w:abstractNumId w:val="44"/>
  </w:num>
  <w:num w:numId="36" w16cid:durableId="297496150">
    <w:abstractNumId w:val="19"/>
  </w:num>
  <w:num w:numId="37" w16cid:durableId="2012371553">
    <w:abstractNumId w:val="14"/>
  </w:num>
  <w:num w:numId="38" w16cid:durableId="1867980670">
    <w:abstractNumId w:val="32"/>
  </w:num>
  <w:num w:numId="39" w16cid:durableId="595214970">
    <w:abstractNumId w:val="7"/>
  </w:num>
  <w:num w:numId="40" w16cid:durableId="372965489">
    <w:abstractNumId w:val="1"/>
  </w:num>
  <w:num w:numId="41" w16cid:durableId="851263836">
    <w:abstractNumId w:val="6"/>
  </w:num>
  <w:num w:numId="42" w16cid:durableId="1152453367">
    <w:abstractNumId w:val="17"/>
  </w:num>
  <w:num w:numId="43" w16cid:durableId="1164661321">
    <w:abstractNumId w:val="23"/>
  </w:num>
  <w:num w:numId="44" w16cid:durableId="339770725">
    <w:abstractNumId w:val="15"/>
  </w:num>
  <w:num w:numId="45" w16cid:durableId="1102451534">
    <w:abstractNumId w:val="8"/>
  </w:num>
  <w:num w:numId="46" w16cid:durableId="14720173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5DD"/>
    <w:rsid w:val="00005988"/>
    <w:rsid w:val="0001317F"/>
    <w:rsid w:val="00013214"/>
    <w:rsid w:val="0001647C"/>
    <w:rsid w:val="0002078C"/>
    <w:rsid w:val="000245A3"/>
    <w:rsid w:val="00040D4F"/>
    <w:rsid w:val="000412D4"/>
    <w:rsid w:val="0004232E"/>
    <w:rsid w:val="00046F97"/>
    <w:rsid w:val="000545A0"/>
    <w:rsid w:val="000549AC"/>
    <w:rsid w:val="00055E65"/>
    <w:rsid w:val="0006127A"/>
    <w:rsid w:val="00065627"/>
    <w:rsid w:val="0006657A"/>
    <w:rsid w:val="00071193"/>
    <w:rsid w:val="000711C1"/>
    <w:rsid w:val="00075649"/>
    <w:rsid w:val="00076BE2"/>
    <w:rsid w:val="00084B35"/>
    <w:rsid w:val="000862D3"/>
    <w:rsid w:val="00092273"/>
    <w:rsid w:val="00093070"/>
    <w:rsid w:val="00093599"/>
    <w:rsid w:val="00096B52"/>
    <w:rsid w:val="000A0DD0"/>
    <w:rsid w:val="000A1C03"/>
    <w:rsid w:val="000A3551"/>
    <w:rsid w:val="000A36B0"/>
    <w:rsid w:val="000A3926"/>
    <w:rsid w:val="000A3F06"/>
    <w:rsid w:val="000A55EE"/>
    <w:rsid w:val="000D12A2"/>
    <w:rsid w:val="000D4ACC"/>
    <w:rsid w:val="000E328C"/>
    <w:rsid w:val="000F7B85"/>
    <w:rsid w:val="00103081"/>
    <w:rsid w:val="00103ADD"/>
    <w:rsid w:val="00104793"/>
    <w:rsid w:val="00113F55"/>
    <w:rsid w:val="00115CCE"/>
    <w:rsid w:val="00117D0C"/>
    <w:rsid w:val="00121062"/>
    <w:rsid w:val="00126B90"/>
    <w:rsid w:val="001319DA"/>
    <w:rsid w:val="0014633D"/>
    <w:rsid w:val="00147634"/>
    <w:rsid w:val="00163B5C"/>
    <w:rsid w:val="00165840"/>
    <w:rsid w:val="00175AE5"/>
    <w:rsid w:val="0017614C"/>
    <w:rsid w:val="00176B06"/>
    <w:rsid w:val="00182ED3"/>
    <w:rsid w:val="0018793D"/>
    <w:rsid w:val="0019634E"/>
    <w:rsid w:val="001A2FCD"/>
    <w:rsid w:val="001A3733"/>
    <w:rsid w:val="001A6010"/>
    <w:rsid w:val="001B612F"/>
    <w:rsid w:val="001C6904"/>
    <w:rsid w:val="001D0ABB"/>
    <w:rsid w:val="001D3CBC"/>
    <w:rsid w:val="001E2BBC"/>
    <w:rsid w:val="001E51A0"/>
    <w:rsid w:val="001E58FE"/>
    <w:rsid w:val="001F7182"/>
    <w:rsid w:val="00214189"/>
    <w:rsid w:val="002169FB"/>
    <w:rsid w:val="00217451"/>
    <w:rsid w:val="00222553"/>
    <w:rsid w:val="0022554E"/>
    <w:rsid w:val="0022643F"/>
    <w:rsid w:val="0023264E"/>
    <w:rsid w:val="002360B5"/>
    <w:rsid w:val="002370D3"/>
    <w:rsid w:val="00242B71"/>
    <w:rsid w:val="00244C04"/>
    <w:rsid w:val="00245609"/>
    <w:rsid w:val="00252693"/>
    <w:rsid w:val="002566A6"/>
    <w:rsid w:val="0026368D"/>
    <w:rsid w:val="00276BDD"/>
    <w:rsid w:val="00276C3E"/>
    <w:rsid w:val="002808F0"/>
    <w:rsid w:val="00281A3B"/>
    <w:rsid w:val="00290C4B"/>
    <w:rsid w:val="00296D3F"/>
    <w:rsid w:val="002B3B61"/>
    <w:rsid w:val="002C5243"/>
    <w:rsid w:val="002D1D70"/>
    <w:rsid w:val="002D2285"/>
    <w:rsid w:val="002D4B38"/>
    <w:rsid w:val="002F2860"/>
    <w:rsid w:val="002F58EB"/>
    <w:rsid w:val="002F60E4"/>
    <w:rsid w:val="002F615B"/>
    <w:rsid w:val="003004EC"/>
    <w:rsid w:val="00300512"/>
    <w:rsid w:val="00304C16"/>
    <w:rsid w:val="00326892"/>
    <w:rsid w:val="00327EDE"/>
    <w:rsid w:val="00330D59"/>
    <w:rsid w:val="003403CB"/>
    <w:rsid w:val="003428AA"/>
    <w:rsid w:val="00352C61"/>
    <w:rsid w:val="00353DB9"/>
    <w:rsid w:val="0035537E"/>
    <w:rsid w:val="00361144"/>
    <w:rsid w:val="00364DCF"/>
    <w:rsid w:val="003700E9"/>
    <w:rsid w:val="00374C78"/>
    <w:rsid w:val="003765A3"/>
    <w:rsid w:val="003822D7"/>
    <w:rsid w:val="003908A7"/>
    <w:rsid w:val="00396560"/>
    <w:rsid w:val="00397AC7"/>
    <w:rsid w:val="003A69EF"/>
    <w:rsid w:val="003B644B"/>
    <w:rsid w:val="003B766F"/>
    <w:rsid w:val="003C1FA6"/>
    <w:rsid w:val="003C7016"/>
    <w:rsid w:val="003D07D2"/>
    <w:rsid w:val="003E4264"/>
    <w:rsid w:val="003F0372"/>
    <w:rsid w:val="003F2DE1"/>
    <w:rsid w:val="003F46BE"/>
    <w:rsid w:val="003F7352"/>
    <w:rsid w:val="003F7F49"/>
    <w:rsid w:val="004000AE"/>
    <w:rsid w:val="0040062C"/>
    <w:rsid w:val="00403A15"/>
    <w:rsid w:val="00415E27"/>
    <w:rsid w:val="0042474F"/>
    <w:rsid w:val="004315C4"/>
    <w:rsid w:val="00437BDC"/>
    <w:rsid w:val="00440C62"/>
    <w:rsid w:val="00451E85"/>
    <w:rsid w:val="004538A3"/>
    <w:rsid w:val="00462A7C"/>
    <w:rsid w:val="004641B9"/>
    <w:rsid w:val="00465358"/>
    <w:rsid w:val="004663D5"/>
    <w:rsid w:val="004719B8"/>
    <w:rsid w:val="00473250"/>
    <w:rsid w:val="004733FF"/>
    <w:rsid w:val="00476E5E"/>
    <w:rsid w:val="00487F38"/>
    <w:rsid w:val="004A40A5"/>
    <w:rsid w:val="004C0731"/>
    <w:rsid w:val="004C0E27"/>
    <w:rsid w:val="004C4B57"/>
    <w:rsid w:val="004C50B0"/>
    <w:rsid w:val="004D44C1"/>
    <w:rsid w:val="004D66E8"/>
    <w:rsid w:val="004D7CDB"/>
    <w:rsid w:val="004F0D7E"/>
    <w:rsid w:val="004F5A36"/>
    <w:rsid w:val="0050015A"/>
    <w:rsid w:val="0050357A"/>
    <w:rsid w:val="005054AB"/>
    <w:rsid w:val="0052307A"/>
    <w:rsid w:val="00531976"/>
    <w:rsid w:val="00540C4E"/>
    <w:rsid w:val="0054506D"/>
    <w:rsid w:val="005453CE"/>
    <w:rsid w:val="005616B3"/>
    <w:rsid w:val="00565C58"/>
    <w:rsid w:val="00565DB9"/>
    <w:rsid w:val="005670CC"/>
    <w:rsid w:val="00575591"/>
    <w:rsid w:val="00584F82"/>
    <w:rsid w:val="005852B6"/>
    <w:rsid w:val="005865D6"/>
    <w:rsid w:val="00592912"/>
    <w:rsid w:val="00593EDF"/>
    <w:rsid w:val="00594C0D"/>
    <w:rsid w:val="00597725"/>
    <w:rsid w:val="005A247B"/>
    <w:rsid w:val="005C2A30"/>
    <w:rsid w:val="005C5D02"/>
    <w:rsid w:val="005C6005"/>
    <w:rsid w:val="005D4247"/>
    <w:rsid w:val="005D697D"/>
    <w:rsid w:val="005E345A"/>
    <w:rsid w:val="005E4109"/>
    <w:rsid w:val="005F2117"/>
    <w:rsid w:val="005F2EC3"/>
    <w:rsid w:val="005F3B18"/>
    <w:rsid w:val="00602E0C"/>
    <w:rsid w:val="00610D55"/>
    <w:rsid w:val="00620546"/>
    <w:rsid w:val="00623B5D"/>
    <w:rsid w:val="00624B6C"/>
    <w:rsid w:val="00624DCF"/>
    <w:rsid w:val="00625848"/>
    <w:rsid w:val="00633B31"/>
    <w:rsid w:val="00636D47"/>
    <w:rsid w:val="00641E7B"/>
    <w:rsid w:val="00642D73"/>
    <w:rsid w:val="00650E7C"/>
    <w:rsid w:val="00651F6C"/>
    <w:rsid w:val="00663552"/>
    <w:rsid w:val="006679D2"/>
    <w:rsid w:val="006705DD"/>
    <w:rsid w:val="00677ADE"/>
    <w:rsid w:val="006A2E89"/>
    <w:rsid w:val="006A627D"/>
    <w:rsid w:val="006B0E23"/>
    <w:rsid w:val="006C6F08"/>
    <w:rsid w:val="006D2DAD"/>
    <w:rsid w:val="006E01C3"/>
    <w:rsid w:val="00716BAA"/>
    <w:rsid w:val="00716D4F"/>
    <w:rsid w:val="007202AB"/>
    <w:rsid w:val="00721BCE"/>
    <w:rsid w:val="00726C66"/>
    <w:rsid w:val="0073521E"/>
    <w:rsid w:val="00744889"/>
    <w:rsid w:val="007526B6"/>
    <w:rsid w:val="007540B2"/>
    <w:rsid w:val="00757B0E"/>
    <w:rsid w:val="0076466B"/>
    <w:rsid w:val="0076672E"/>
    <w:rsid w:val="00766BC6"/>
    <w:rsid w:val="007751EF"/>
    <w:rsid w:val="007767FD"/>
    <w:rsid w:val="00787CC3"/>
    <w:rsid w:val="00796D86"/>
    <w:rsid w:val="007A3330"/>
    <w:rsid w:val="007A442F"/>
    <w:rsid w:val="007A52BD"/>
    <w:rsid w:val="007B1F4C"/>
    <w:rsid w:val="007B284B"/>
    <w:rsid w:val="007B6A57"/>
    <w:rsid w:val="007B737C"/>
    <w:rsid w:val="007B75B4"/>
    <w:rsid w:val="007C1FB4"/>
    <w:rsid w:val="007C293F"/>
    <w:rsid w:val="007C5402"/>
    <w:rsid w:val="007D483B"/>
    <w:rsid w:val="007D502B"/>
    <w:rsid w:val="007E3FE5"/>
    <w:rsid w:val="007E6363"/>
    <w:rsid w:val="007F6BCF"/>
    <w:rsid w:val="0080494A"/>
    <w:rsid w:val="0083160D"/>
    <w:rsid w:val="00832BE1"/>
    <w:rsid w:val="00835666"/>
    <w:rsid w:val="00836AAE"/>
    <w:rsid w:val="00855DDC"/>
    <w:rsid w:val="008605D1"/>
    <w:rsid w:val="0086119E"/>
    <w:rsid w:val="00864A55"/>
    <w:rsid w:val="00866623"/>
    <w:rsid w:val="00873014"/>
    <w:rsid w:val="00874229"/>
    <w:rsid w:val="0087700A"/>
    <w:rsid w:val="008945B2"/>
    <w:rsid w:val="008A1DDA"/>
    <w:rsid w:val="008A24E0"/>
    <w:rsid w:val="008A3BFF"/>
    <w:rsid w:val="008B131A"/>
    <w:rsid w:val="008B5837"/>
    <w:rsid w:val="008C4E1E"/>
    <w:rsid w:val="008D1B6A"/>
    <w:rsid w:val="008D3AED"/>
    <w:rsid w:val="008E3F18"/>
    <w:rsid w:val="008E3FE1"/>
    <w:rsid w:val="008E4C98"/>
    <w:rsid w:val="008F3240"/>
    <w:rsid w:val="00916851"/>
    <w:rsid w:val="0091696B"/>
    <w:rsid w:val="009170EF"/>
    <w:rsid w:val="00920655"/>
    <w:rsid w:val="00922DA1"/>
    <w:rsid w:val="009375FE"/>
    <w:rsid w:val="00944B6E"/>
    <w:rsid w:val="00950543"/>
    <w:rsid w:val="00953576"/>
    <w:rsid w:val="0095762D"/>
    <w:rsid w:val="0097681C"/>
    <w:rsid w:val="0098155A"/>
    <w:rsid w:val="00986544"/>
    <w:rsid w:val="00986838"/>
    <w:rsid w:val="009912EA"/>
    <w:rsid w:val="009915D8"/>
    <w:rsid w:val="00995340"/>
    <w:rsid w:val="009962C2"/>
    <w:rsid w:val="009A0D8D"/>
    <w:rsid w:val="009A24F9"/>
    <w:rsid w:val="009A375D"/>
    <w:rsid w:val="009B2634"/>
    <w:rsid w:val="009B3675"/>
    <w:rsid w:val="009C27B4"/>
    <w:rsid w:val="009D7A6C"/>
    <w:rsid w:val="009D7AE4"/>
    <w:rsid w:val="009E093A"/>
    <w:rsid w:val="009E097D"/>
    <w:rsid w:val="009E291B"/>
    <w:rsid w:val="009F1CEE"/>
    <w:rsid w:val="00A00B79"/>
    <w:rsid w:val="00A06D24"/>
    <w:rsid w:val="00A2744F"/>
    <w:rsid w:val="00A30BC4"/>
    <w:rsid w:val="00A338D0"/>
    <w:rsid w:val="00A42BD2"/>
    <w:rsid w:val="00A51AED"/>
    <w:rsid w:val="00A56BC5"/>
    <w:rsid w:val="00A608EE"/>
    <w:rsid w:val="00A73459"/>
    <w:rsid w:val="00A74A7B"/>
    <w:rsid w:val="00A76B51"/>
    <w:rsid w:val="00A85717"/>
    <w:rsid w:val="00A927E0"/>
    <w:rsid w:val="00AA4EE8"/>
    <w:rsid w:val="00AC0B45"/>
    <w:rsid w:val="00AC6688"/>
    <w:rsid w:val="00AD7C3F"/>
    <w:rsid w:val="00AE4B98"/>
    <w:rsid w:val="00AE53C7"/>
    <w:rsid w:val="00AE7201"/>
    <w:rsid w:val="00AF24FB"/>
    <w:rsid w:val="00AF630A"/>
    <w:rsid w:val="00B11907"/>
    <w:rsid w:val="00B17F91"/>
    <w:rsid w:val="00B25CAC"/>
    <w:rsid w:val="00B34FF4"/>
    <w:rsid w:val="00B41353"/>
    <w:rsid w:val="00B41EA0"/>
    <w:rsid w:val="00B64DBC"/>
    <w:rsid w:val="00B656A1"/>
    <w:rsid w:val="00B65D50"/>
    <w:rsid w:val="00B66415"/>
    <w:rsid w:val="00B67267"/>
    <w:rsid w:val="00B75683"/>
    <w:rsid w:val="00B76FC7"/>
    <w:rsid w:val="00B921EB"/>
    <w:rsid w:val="00B95434"/>
    <w:rsid w:val="00B958BB"/>
    <w:rsid w:val="00B97282"/>
    <w:rsid w:val="00BA0B09"/>
    <w:rsid w:val="00BA796B"/>
    <w:rsid w:val="00BB04FE"/>
    <w:rsid w:val="00BB54F0"/>
    <w:rsid w:val="00BC1282"/>
    <w:rsid w:val="00BC4AEA"/>
    <w:rsid w:val="00BD740D"/>
    <w:rsid w:val="00BE0B25"/>
    <w:rsid w:val="00BE62B2"/>
    <w:rsid w:val="00BF2933"/>
    <w:rsid w:val="00BF30CB"/>
    <w:rsid w:val="00BF3E46"/>
    <w:rsid w:val="00BF76DF"/>
    <w:rsid w:val="00C0097E"/>
    <w:rsid w:val="00C0489D"/>
    <w:rsid w:val="00C04CC4"/>
    <w:rsid w:val="00C05074"/>
    <w:rsid w:val="00C06BB6"/>
    <w:rsid w:val="00C105C0"/>
    <w:rsid w:val="00C20727"/>
    <w:rsid w:val="00C23448"/>
    <w:rsid w:val="00C2466C"/>
    <w:rsid w:val="00C364C6"/>
    <w:rsid w:val="00C445E0"/>
    <w:rsid w:val="00C54F93"/>
    <w:rsid w:val="00C55349"/>
    <w:rsid w:val="00C61037"/>
    <w:rsid w:val="00C646DB"/>
    <w:rsid w:val="00C70147"/>
    <w:rsid w:val="00C72ADD"/>
    <w:rsid w:val="00C72BDF"/>
    <w:rsid w:val="00C746E5"/>
    <w:rsid w:val="00C868AA"/>
    <w:rsid w:val="00C93A19"/>
    <w:rsid w:val="00C971D6"/>
    <w:rsid w:val="00CA25B9"/>
    <w:rsid w:val="00CA25DD"/>
    <w:rsid w:val="00CB2D3C"/>
    <w:rsid w:val="00CB506C"/>
    <w:rsid w:val="00CB59F2"/>
    <w:rsid w:val="00CB7443"/>
    <w:rsid w:val="00CC0AC2"/>
    <w:rsid w:val="00CC169F"/>
    <w:rsid w:val="00CD6F6C"/>
    <w:rsid w:val="00CD7998"/>
    <w:rsid w:val="00CD7C8F"/>
    <w:rsid w:val="00CE50B0"/>
    <w:rsid w:val="00CE6859"/>
    <w:rsid w:val="00CE7FD0"/>
    <w:rsid w:val="00CF3279"/>
    <w:rsid w:val="00CF40DD"/>
    <w:rsid w:val="00D07AF6"/>
    <w:rsid w:val="00D10164"/>
    <w:rsid w:val="00D12494"/>
    <w:rsid w:val="00D16112"/>
    <w:rsid w:val="00D33C52"/>
    <w:rsid w:val="00D36F4D"/>
    <w:rsid w:val="00D400B4"/>
    <w:rsid w:val="00D4184F"/>
    <w:rsid w:val="00D46E38"/>
    <w:rsid w:val="00D54D79"/>
    <w:rsid w:val="00D66F82"/>
    <w:rsid w:val="00D75329"/>
    <w:rsid w:val="00D77998"/>
    <w:rsid w:val="00D83BC1"/>
    <w:rsid w:val="00D905F2"/>
    <w:rsid w:val="00DA02ED"/>
    <w:rsid w:val="00DA09E1"/>
    <w:rsid w:val="00DA7015"/>
    <w:rsid w:val="00DB2939"/>
    <w:rsid w:val="00DB2C23"/>
    <w:rsid w:val="00DD3A6C"/>
    <w:rsid w:val="00DE2021"/>
    <w:rsid w:val="00E104AB"/>
    <w:rsid w:val="00E1059A"/>
    <w:rsid w:val="00E227DF"/>
    <w:rsid w:val="00E27A93"/>
    <w:rsid w:val="00E3046D"/>
    <w:rsid w:val="00E304DB"/>
    <w:rsid w:val="00E3239A"/>
    <w:rsid w:val="00E46361"/>
    <w:rsid w:val="00E47CDB"/>
    <w:rsid w:val="00E501A0"/>
    <w:rsid w:val="00E53603"/>
    <w:rsid w:val="00E61D3F"/>
    <w:rsid w:val="00E662B1"/>
    <w:rsid w:val="00E66D25"/>
    <w:rsid w:val="00E70E1E"/>
    <w:rsid w:val="00E7435A"/>
    <w:rsid w:val="00E77106"/>
    <w:rsid w:val="00E8150B"/>
    <w:rsid w:val="00E87DFC"/>
    <w:rsid w:val="00E946CD"/>
    <w:rsid w:val="00EA0424"/>
    <w:rsid w:val="00EA1A07"/>
    <w:rsid w:val="00EA3EBA"/>
    <w:rsid w:val="00EA5C52"/>
    <w:rsid w:val="00EA7DC1"/>
    <w:rsid w:val="00EB166E"/>
    <w:rsid w:val="00EB1E3E"/>
    <w:rsid w:val="00EC506A"/>
    <w:rsid w:val="00EC6777"/>
    <w:rsid w:val="00EC745B"/>
    <w:rsid w:val="00ED1C67"/>
    <w:rsid w:val="00ED418B"/>
    <w:rsid w:val="00ED6D04"/>
    <w:rsid w:val="00EE5D67"/>
    <w:rsid w:val="00EE6494"/>
    <w:rsid w:val="00EF07C1"/>
    <w:rsid w:val="00F043A8"/>
    <w:rsid w:val="00F04A9A"/>
    <w:rsid w:val="00F11058"/>
    <w:rsid w:val="00F173C8"/>
    <w:rsid w:val="00F179C6"/>
    <w:rsid w:val="00F21142"/>
    <w:rsid w:val="00F21769"/>
    <w:rsid w:val="00F24049"/>
    <w:rsid w:val="00F2699A"/>
    <w:rsid w:val="00F34222"/>
    <w:rsid w:val="00F44081"/>
    <w:rsid w:val="00F46A5B"/>
    <w:rsid w:val="00F4737F"/>
    <w:rsid w:val="00F664B4"/>
    <w:rsid w:val="00F745F6"/>
    <w:rsid w:val="00F907CB"/>
    <w:rsid w:val="00FB691F"/>
    <w:rsid w:val="00FC11CC"/>
    <w:rsid w:val="00FC7A0C"/>
    <w:rsid w:val="00FD210C"/>
    <w:rsid w:val="00FD217D"/>
    <w:rsid w:val="00FE1861"/>
    <w:rsid w:val="00FE34F3"/>
    <w:rsid w:val="00FE4E48"/>
    <w:rsid w:val="00FF33FB"/>
    <w:rsid w:val="00FF548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4905D1"/>
  <w15:docId w15:val="{006252E0-B772-458E-8135-620798DBE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05DD"/>
    <w:pPr>
      <w:jc w:val="left"/>
    </w:pPr>
    <w:rPr>
      <w:rFonts w:ascii="Times New Roman" w:eastAsia="Batang" w:hAnsi="Times New Roman" w:cs="Times New Roman"/>
      <w:sz w:val="24"/>
      <w:szCs w:val="20"/>
    </w:rPr>
  </w:style>
  <w:style w:type="paragraph" w:styleId="Heading1">
    <w:name w:val="heading 1"/>
    <w:basedOn w:val="Normal"/>
    <w:next w:val="Normal"/>
    <w:link w:val="Heading1Char"/>
    <w:uiPriority w:val="9"/>
    <w:qFormat/>
    <w:rsid w:val="00AC0B4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352C61"/>
    <w:pPr>
      <w:spacing w:before="100" w:beforeAutospacing="1" w:after="100" w:afterAutospacing="1"/>
      <w:outlineLvl w:val="1"/>
    </w:pPr>
    <w:rPr>
      <w:rFonts w:eastAsia="Times New Roman"/>
      <w:b/>
      <w:bCs/>
      <w:sz w:val="36"/>
      <w:szCs w:val="36"/>
    </w:rPr>
  </w:style>
  <w:style w:type="paragraph" w:styleId="Heading3">
    <w:name w:val="heading 3"/>
    <w:basedOn w:val="Normal"/>
    <w:next w:val="Normal"/>
    <w:link w:val="Heading3Char"/>
    <w:uiPriority w:val="9"/>
    <w:unhideWhenUsed/>
    <w:qFormat/>
    <w:rsid w:val="008E3F18"/>
    <w:pPr>
      <w:keepNext/>
      <w:keepLines/>
      <w:spacing w:before="4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73521E"/>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6705DD"/>
    <w:pPr>
      <w:tabs>
        <w:tab w:val="left" w:pos="648"/>
        <w:tab w:val="right" w:pos="7776"/>
        <w:tab w:val="left" w:pos="7848"/>
      </w:tabs>
    </w:pPr>
  </w:style>
  <w:style w:type="paragraph" w:customStyle="1" w:styleId="Normal1">
    <w:name w:val="Normal1"/>
    <w:basedOn w:val="Normal"/>
    <w:rsid w:val="006705DD"/>
    <w:pPr>
      <w:overflowPunct w:val="0"/>
      <w:autoSpaceDE w:val="0"/>
      <w:autoSpaceDN w:val="0"/>
      <w:adjustRightInd w:val="0"/>
      <w:textAlignment w:val="baseline"/>
    </w:pPr>
    <w:rPr>
      <w:rFonts w:ascii="CG Times (W1)" w:hAnsi="CG Times (W1)"/>
    </w:rPr>
  </w:style>
  <w:style w:type="paragraph" w:styleId="Header">
    <w:name w:val="header"/>
    <w:basedOn w:val="Normal"/>
    <w:link w:val="HeaderChar"/>
    <w:unhideWhenUsed/>
    <w:rsid w:val="006705DD"/>
    <w:pPr>
      <w:tabs>
        <w:tab w:val="center" w:pos="4680"/>
        <w:tab w:val="right" w:pos="9360"/>
      </w:tabs>
    </w:pPr>
  </w:style>
  <w:style w:type="character" w:customStyle="1" w:styleId="HeaderChar">
    <w:name w:val="Header Char"/>
    <w:basedOn w:val="DefaultParagraphFont"/>
    <w:link w:val="Header"/>
    <w:uiPriority w:val="99"/>
    <w:rsid w:val="006705DD"/>
    <w:rPr>
      <w:rFonts w:ascii="Times New Roman" w:eastAsia="Batang" w:hAnsi="Times New Roman" w:cs="Times New Roman"/>
      <w:sz w:val="24"/>
      <w:szCs w:val="20"/>
    </w:rPr>
  </w:style>
  <w:style w:type="paragraph" w:styleId="Footer">
    <w:name w:val="footer"/>
    <w:basedOn w:val="Normal"/>
    <w:link w:val="FooterChar"/>
    <w:unhideWhenUsed/>
    <w:rsid w:val="006705DD"/>
    <w:pPr>
      <w:tabs>
        <w:tab w:val="center" w:pos="4680"/>
        <w:tab w:val="right" w:pos="9360"/>
      </w:tabs>
    </w:pPr>
  </w:style>
  <w:style w:type="character" w:customStyle="1" w:styleId="FooterChar">
    <w:name w:val="Footer Char"/>
    <w:basedOn w:val="DefaultParagraphFont"/>
    <w:link w:val="Footer"/>
    <w:rsid w:val="006705DD"/>
    <w:rPr>
      <w:rFonts w:ascii="Times New Roman" w:eastAsia="Batang" w:hAnsi="Times New Roman" w:cs="Times New Roman"/>
      <w:sz w:val="24"/>
      <w:szCs w:val="20"/>
    </w:rPr>
  </w:style>
  <w:style w:type="character" w:styleId="PageNumber">
    <w:name w:val="page number"/>
    <w:basedOn w:val="DefaultParagraphFont"/>
    <w:rsid w:val="006705DD"/>
  </w:style>
  <w:style w:type="paragraph" w:styleId="NormalWeb">
    <w:name w:val="Normal (Web)"/>
    <w:basedOn w:val="Normal"/>
    <w:uiPriority w:val="99"/>
    <w:unhideWhenUsed/>
    <w:rsid w:val="00B656A1"/>
    <w:pPr>
      <w:spacing w:before="100" w:beforeAutospacing="1" w:after="100" w:afterAutospacing="1"/>
    </w:pPr>
    <w:rPr>
      <w:rFonts w:eastAsia="Times New Roman"/>
      <w:szCs w:val="24"/>
      <w:lang w:val="es-PR" w:eastAsia="es-PR"/>
    </w:rPr>
  </w:style>
  <w:style w:type="character" w:customStyle="1" w:styleId="spelle">
    <w:name w:val="spelle"/>
    <w:rsid w:val="00B656A1"/>
  </w:style>
  <w:style w:type="character" w:customStyle="1" w:styleId="Heading2Char">
    <w:name w:val="Heading 2 Char"/>
    <w:basedOn w:val="DefaultParagraphFont"/>
    <w:link w:val="Heading2"/>
    <w:uiPriority w:val="9"/>
    <w:rsid w:val="00352C61"/>
    <w:rPr>
      <w:rFonts w:ascii="Times New Roman" w:eastAsia="Times New Roman" w:hAnsi="Times New Roman" w:cs="Times New Roman"/>
      <w:b/>
      <w:bCs/>
      <w:sz w:val="36"/>
      <w:szCs w:val="36"/>
    </w:rPr>
  </w:style>
  <w:style w:type="paragraph" w:styleId="ListParagraph">
    <w:name w:val="List Paragraph"/>
    <w:basedOn w:val="Normal"/>
    <w:uiPriority w:val="34"/>
    <w:qFormat/>
    <w:rsid w:val="0050357A"/>
    <w:pPr>
      <w:ind w:left="720"/>
      <w:contextualSpacing/>
      <w:jc w:val="both"/>
    </w:pPr>
    <w:rPr>
      <w:rFonts w:ascii="Arial Narrow" w:eastAsiaTheme="minorHAnsi" w:hAnsi="Arial Narrow" w:cstheme="minorBidi"/>
      <w:szCs w:val="22"/>
      <w:lang w:val="es-PR"/>
    </w:rPr>
  </w:style>
  <w:style w:type="paragraph" w:styleId="FootnoteText">
    <w:name w:val="footnote text"/>
    <w:basedOn w:val="Normal"/>
    <w:link w:val="FootnoteTextChar"/>
    <w:uiPriority w:val="99"/>
    <w:unhideWhenUsed/>
    <w:qFormat/>
    <w:rsid w:val="0050357A"/>
    <w:rPr>
      <w:rFonts w:asciiTheme="minorHAnsi" w:eastAsiaTheme="minorHAnsi" w:hAnsiTheme="minorHAnsi" w:cstheme="minorBidi"/>
      <w:szCs w:val="24"/>
      <w:lang w:val="es-PR"/>
    </w:rPr>
  </w:style>
  <w:style w:type="character" w:customStyle="1" w:styleId="FootnoteTextChar">
    <w:name w:val="Footnote Text Char"/>
    <w:basedOn w:val="DefaultParagraphFont"/>
    <w:link w:val="FootnoteText"/>
    <w:uiPriority w:val="99"/>
    <w:qFormat/>
    <w:rsid w:val="0050357A"/>
    <w:rPr>
      <w:sz w:val="24"/>
      <w:szCs w:val="24"/>
      <w:lang w:val="es-PR"/>
    </w:rPr>
  </w:style>
  <w:style w:type="character" w:styleId="FootnoteReference">
    <w:name w:val="footnote reference"/>
    <w:basedOn w:val="DefaultParagraphFont"/>
    <w:uiPriority w:val="99"/>
    <w:unhideWhenUsed/>
    <w:qFormat/>
    <w:rsid w:val="0050357A"/>
    <w:rPr>
      <w:vertAlign w:val="superscript"/>
    </w:rPr>
  </w:style>
  <w:style w:type="paragraph" w:styleId="BalloonText">
    <w:name w:val="Balloon Text"/>
    <w:basedOn w:val="Normal"/>
    <w:link w:val="BalloonTextChar"/>
    <w:uiPriority w:val="99"/>
    <w:semiHidden/>
    <w:unhideWhenUsed/>
    <w:rsid w:val="0046535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5358"/>
    <w:rPr>
      <w:rFonts w:ascii="Segoe UI" w:eastAsia="Batang" w:hAnsi="Segoe UI" w:cs="Segoe UI"/>
      <w:sz w:val="18"/>
      <w:szCs w:val="18"/>
    </w:rPr>
  </w:style>
  <w:style w:type="table" w:styleId="TableGrid">
    <w:name w:val="Table Grid"/>
    <w:basedOn w:val="TableNormal"/>
    <w:uiPriority w:val="39"/>
    <w:rsid w:val="00C009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99"/>
    <w:rsid w:val="00C0097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99"/>
    <w:rsid w:val="00C0097E"/>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MediumGrid1-Accent21">
    <w:name w:val="Medium Grid 1 - Accent 21"/>
    <w:basedOn w:val="Normal"/>
    <w:uiPriority w:val="34"/>
    <w:qFormat/>
    <w:rsid w:val="006A627D"/>
    <w:pPr>
      <w:spacing w:after="160" w:line="256" w:lineRule="auto"/>
      <w:ind w:left="720"/>
      <w:contextualSpacing/>
    </w:pPr>
    <w:rPr>
      <w:rFonts w:ascii="Calibri" w:eastAsia="Calibri" w:hAnsi="Calibri"/>
      <w:sz w:val="22"/>
      <w:szCs w:val="22"/>
    </w:rPr>
  </w:style>
  <w:style w:type="paragraph" w:customStyle="1" w:styleId="default">
    <w:name w:val="default"/>
    <w:basedOn w:val="Normal"/>
    <w:rsid w:val="00163B5C"/>
    <w:pPr>
      <w:autoSpaceDE w:val="0"/>
      <w:autoSpaceDN w:val="0"/>
    </w:pPr>
    <w:rPr>
      <w:rFonts w:ascii="DXANP N+ Serifa B T," w:eastAsia="Times New Roman" w:hAnsi="DXANP N+ Serifa B T,"/>
      <w:color w:val="000000"/>
      <w:szCs w:val="24"/>
    </w:rPr>
  </w:style>
  <w:style w:type="character" w:styleId="Hyperlink">
    <w:name w:val="Hyperlink"/>
    <w:basedOn w:val="DefaultParagraphFont"/>
    <w:uiPriority w:val="99"/>
    <w:unhideWhenUsed/>
    <w:rsid w:val="00163B5C"/>
    <w:rPr>
      <w:color w:val="0563C1" w:themeColor="hyperlink"/>
      <w:u w:val="single"/>
    </w:rPr>
  </w:style>
  <w:style w:type="paragraph" w:customStyle="1" w:styleId="Default0">
    <w:name w:val="Default"/>
    <w:rsid w:val="00716D4F"/>
    <w:pPr>
      <w:autoSpaceDE w:val="0"/>
      <w:autoSpaceDN w:val="0"/>
      <w:adjustRightInd w:val="0"/>
      <w:jc w:val="left"/>
    </w:pPr>
    <w:rPr>
      <w:rFonts w:ascii="Arial" w:hAnsi="Arial" w:cs="Arial"/>
      <w:color w:val="000000"/>
      <w:sz w:val="24"/>
      <w:szCs w:val="24"/>
    </w:rPr>
  </w:style>
  <w:style w:type="table" w:styleId="ListTable3">
    <w:name w:val="List Table 3"/>
    <w:basedOn w:val="TableNormal"/>
    <w:uiPriority w:val="48"/>
    <w:rsid w:val="004D66E8"/>
    <w:pPr>
      <w:jc w:val="left"/>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paragraph" w:styleId="BodyText">
    <w:name w:val="Body Text"/>
    <w:basedOn w:val="Normal"/>
    <w:link w:val="BodyTextChar"/>
    <w:uiPriority w:val="1"/>
    <w:qFormat/>
    <w:rsid w:val="005E345A"/>
    <w:pPr>
      <w:widowControl w:val="0"/>
      <w:tabs>
        <w:tab w:val="left" w:pos="-1440"/>
        <w:tab w:val="left" w:pos="-720"/>
      </w:tabs>
      <w:suppressAutoHyphens/>
      <w:spacing w:line="480" w:lineRule="auto"/>
      <w:jc w:val="both"/>
    </w:pPr>
    <w:rPr>
      <w:rFonts w:ascii="CG Times (W1)" w:eastAsia="Times New Roman" w:hAnsi="CG Times (W1)"/>
      <w:snapToGrid w:val="0"/>
      <w:spacing w:val="-3"/>
      <w:lang w:val="es-PR"/>
    </w:rPr>
  </w:style>
  <w:style w:type="character" w:customStyle="1" w:styleId="BodyTextChar">
    <w:name w:val="Body Text Char"/>
    <w:basedOn w:val="DefaultParagraphFont"/>
    <w:link w:val="BodyText"/>
    <w:uiPriority w:val="1"/>
    <w:rsid w:val="005E345A"/>
    <w:rPr>
      <w:rFonts w:ascii="CG Times (W1)" w:eastAsia="Times New Roman" w:hAnsi="CG Times (W1)" w:cs="Times New Roman"/>
      <w:snapToGrid w:val="0"/>
      <w:spacing w:val="-3"/>
      <w:sz w:val="24"/>
      <w:szCs w:val="20"/>
      <w:lang w:val="es-PR"/>
    </w:rPr>
  </w:style>
  <w:style w:type="character" w:customStyle="1" w:styleId="Heading1Char">
    <w:name w:val="Heading 1 Char"/>
    <w:basedOn w:val="DefaultParagraphFont"/>
    <w:link w:val="Heading1"/>
    <w:uiPriority w:val="9"/>
    <w:rsid w:val="00AC0B45"/>
    <w:rPr>
      <w:rFonts w:asciiTheme="majorHAnsi" w:eastAsiaTheme="majorEastAsia" w:hAnsiTheme="majorHAnsi" w:cstheme="majorBidi"/>
      <w:color w:val="2E74B5" w:themeColor="accent1" w:themeShade="BF"/>
      <w:sz w:val="32"/>
      <w:szCs w:val="32"/>
    </w:rPr>
  </w:style>
  <w:style w:type="character" w:styleId="Emphasis">
    <w:name w:val="Emphasis"/>
    <w:basedOn w:val="DefaultParagraphFont"/>
    <w:uiPriority w:val="20"/>
    <w:qFormat/>
    <w:rsid w:val="00AC0B45"/>
    <w:rPr>
      <w:i/>
      <w:iCs/>
    </w:rPr>
  </w:style>
  <w:style w:type="character" w:styleId="Strong">
    <w:name w:val="Strong"/>
    <w:basedOn w:val="DefaultParagraphFont"/>
    <w:uiPriority w:val="22"/>
    <w:qFormat/>
    <w:rsid w:val="00214189"/>
    <w:rPr>
      <w:b/>
      <w:bCs/>
    </w:rPr>
  </w:style>
  <w:style w:type="character" w:customStyle="1" w:styleId="Heading4Char">
    <w:name w:val="Heading 4 Char"/>
    <w:basedOn w:val="DefaultParagraphFont"/>
    <w:link w:val="Heading4"/>
    <w:uiPriority w:val="9"/>
    <w:semiHidden/>
    <w:rsid w:val="0073521E"/>
    <w:rPr>
      <w:rFonts w:asciiTheme="majorHAnsi" w:eastAsiaTheme="majorEastAsia" w:hAnsiTheme="majorHAnsi" w:cstheme="majorBidi"/>
      <w:i/>
      <w:iCs/>
      <w:color w:val="2E74B5" w:themeColor="accent1" w:themeShade="BF"/>
      <w:sz w:val="24"/>
      <w:szCs w:val="20"/>
    </w:rPr>
  </w:style>
  <w:style w:type="paragraph" w:customStyle="1" w:styleId="FootnoteText1">
    <w:name w:val="Footnote Text1"/>
    <w:basedOn w:val="Normal"/>
    <w:next w:val="FootnoteText"/>
    <w:uiPriority w:val="99"/>
    <w:semiHidden/>
    <w:unhideWhenUsed/>
    <w:rsid w:val="005616B3"/>
    <w:rPr>
      <w:rFonts w:asciiTheme="minorHAnsi" w:eastAsiaTheme="minorHAnsi" w:hAnsiTheme="minorHAnsi" w:cs="Times New Roman (Body CS)"/>
      <w:sz w:val="20"/>
    </w:rPr>
  </w:style>
  <w:style w:type="paragraph" w:styleId="NoSpacing">
    <w:name w:val="No Spacing"/>
    <w:uiPriority w:val="1"/>
    <w:qFormat/>
    <w:rsid w:val="000245A3"/>
    <w:pPr>
      <w:jc w:val="left"/>
    </w:pPr>
    <w:rPr>
      <w:rFonts w:ascii="Calibri" w:eastAsia="Calibri" w:hAnsi="Calibri" w:cs="Times New Roman"/>
      <w:lang w:val="es-PR"/>
    </w:rPr>
  </w:style>
  <w:style w:type="character" w:customStyle="1" w:styleId="Bodytext2">
    <w:name w:val="Body text (2)_"/>
    <w:basedOn w:val="DefaultParagraphFont"/>
    <w:link w:val="Bodytext20"/>
    <w:uiPriority w:val="99"/>
    <w:rsid w:val="00953576"/>
    <w:rPr>
      <w:shd w:val="clear" w:color="auto" w:fill="FFFFFF"/>
    </w:rPr>
  </w:style>
  <w:style w:type="paragraph" w:customStyle="1" w:styleId="Bodytext20">
    <w:name w:val="Body text (2)"/>
    <w:basedOn w:val="Normal"/>
    <w:link w:val="Bodytext2"/>
    <w:uiPriority w:val="99"/>
    <w:rsid w:val="00953576"/>
    <w:pPr>
      <w:widowControl w:val="0"/>
      <w:shd w:val="clear" w:color="auto" w:fill="FFFFFF"/>
      <w:spacing w:line="295" w:lineRule="exact"/>
      <w:ind w:hanging="500"/>
      <w:jc w:val="right"/>
    </w:pPr>
    <w:rPr>
      <w:rFonts w:asciiTheme="minorHAnsi" w:eastAsiaTheme="minorHAnsi" w:hAnsiTheme="minorHAnsi" w:cstheme="minorBidi"/>
      <w:sz w:val="22"/>
      <w:szCs w:val="22"/>
    </w:rPr>
  </w:style>
  <w:style w:type="character" w:customStyle="1" w:styleId="Heading3Char">
    <w:name w:val="Heading 3 Char"/>
    <w:basedOn w:val="DefaultParagraphFont"/>
    <w:link w:val="Heading3"/>
    <w:uiPriority w:val="9"/>
    <w:rsid w:val="008E3F18"/>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79260">
      <w:bodyDiv w:val="1"/>
      <w:marLeft w:val="0"/>
      <w:marRight w:val="0"/>
      <w:marTop w:val="0"/>
      <w:marBottom w:val="0"/>
      <w:divBdr>
        <w:top w:val="none" w:sz="0" w:space="0" w:color="auto"/>
        <w:left w:val="none" w:sz="0" w:space="0" w:color="auto"/>
        <w:bottom w:val="none" w:sz="0" w:space="0" w:color="auto"/>
        <w:right w:val="none" w:sz="0" w:space="0" w:color="auto"/>
      </w:divBdr>
    </w:div>
    <w:div w:id="16781907">
      <w:bodyDiv w:val="1"/>
      <w:marLeft w:val="0"/>
      <w:marRight w:val="0"/>
      <w:marTop w:val="0"/>
      <w:marBottom w:val="0"/>
      <w:divBdr>
        <w:top w:val="none" w:sz="0" w:space="0" w:color="auto"/>
        <w:left w:val="none" w:sz="0" w:space="0" w:color="auto"/>
        <w:bottom w:val="none" w:sz="0" w:space="0" w:color="auto"/>
        <w:right w:val="none" w:sz="0" w:space="0" w:color="auto"/>
      </w:divBdr>
    </w:div>
    <w:div w:id="93791814">
      <w:bodyDiv w:val="1"/>
      <w:marLeft w:val="0"/>
      <w:marRight w:val="0"/>
      <w:marTop w:val="0"/>
      <w:marBottom w:val="0"/>
      <w:divBdr>
        <w:top w:val="none" w:sz="0" w:space="0" w:color="auto"/>
        <w:left w:val="none" w:sz="0" w:space="0" w:color="auto"/>
        <w:bottom w:val="none" w:sz="0" w:space="0" w:color="auto"/>
        <w:right w:val="none" w:sz="0" w:space="0" w:color="auto"/>
      </w:divBdr>
    </w:div>
    <w:div w:id="97335297">
      <w:bodyDiv w:val="1"/>
      <w:marLeft w:val="0"/>
      <w:marRight w:val="0"/>
      <w:marTop w:val="0"/>
      <w:marBottom w:val="0"/>
      <w:divBdr>
        <w:top w:val="none" w:sz="0" w:space="0" w:color="auto"/>
        <w:left w:val="none" w:sz="0" w:space="0" w:color="auto"/>
        <w:bottom w:val="none" w:sz="0" w:space="0" w:color="auto"/>
        <w:right w:val="none" w:sz="0" w:space="0" w:color="auto"/>
      </w:divBdr>
    </w:div>
    <w:div w:id="100028018">
      <w:bodyDiv w:val="1"/>
      <w:marLeft w:val="0"/>
      <w:marRight w:val="0"/>
      <w:marTop w:val="0"/>
      <w:marBottom w:val="0"/>
      <w:divBdr>
        <w:top w:val="none" w:sz="0" w:space="0" w:color="auto"/>
        <w:left w:val="none" w:sz="0" w:space="0" w:color="auto"/>
        <w:bottom w:val="none" w:sz="0" w:space="0" w:color="auto"/>
        <w:right w:val="none" w:sz="0" w:space="0" w:color="auto"/>
      </w:divBdr>
    </w:div>
    <w:div w:id="168909140">
      <w:bodyDiv w:val="1"/>
      <w:marLeft w:val="0"/>
      <w:marRight w:val="0"/>
      <w:marTop w:val="0"/>
      <w:marBottom w:val="0"/>
      <w:divBdr>
        <w:top w:val="none" w:sz="0" w:space="0" w:color="auto"/>
        <w:left w:val="none" w:sz="0" w:space="0" w:color="auto"/>
        <w:bottom w:val="none" w:sz="0" w:space="0" w:color="auto"/>
        <w:right w:val="none" w:sz="0" w:space="0" w:color="auto"/>
      </w:divBdr>
    </w:div>
    <w:div w:id="175729554">
      <w:bodyDiv w:val="1"/>
      <w:marLeft w:val="0"/>
      <w:marRight w:val="0"/>
      <w:marTop w:val="0"/>
      <w:marBottom w:val="0"/>
      <w:divBdr>
        <w:top w:val="none" w:sz="0" w:space="0" w:color="auto"/>
        <w:left w:val="none" w:sz="0" w:space="0" w:color="auto"/>
        <w:bottom w:val="none" w:sz="0" w:space="0" w:color="auto"/>
        <w:right w:val="none" w:sz="0" w:space="0" w:color="auto"/>
      </w:divBdr>
    </w:div>
    <w:div w:id="208228448">
      <w:bodyDiv w:val="1"/>
      <w:marLeft w:val="0"/>
      <w:marRight w:val="0"/>
      <w:marTop w:val="0"/>
      <w:marBottom w:val="0"/>
      <w:divBdr>
        <w:top w:val="none" w:sz="0" w:space="0" w:color="auto"/>
        <w:left w:val="none" w:sz="0" w:space="0" w:color="auto"/>
        <w:bottom w:val="none" w:sz="0" w:space="0" w:color="auto"/>
        <w:right w:val="none" w:sz="0" w:space="0" w:color="auto"/>
      </w:divBdr>
    </w:div>
    <w:div w:id="218326374">
      <w:bodyDiv w:val="1"/>
      <w:marLeft w:val="0"/>
      <w:marRight w:val="0"/>
      <w:marTop w:val="0"/>
      <w:marBottom w:val="0"/>
      <w:divBdr>
        <w:top w:val="none" w:sz="0" w:space="0" w:color="auto"/>
        <w:left w:val="none" w:sz="0" w:space="0" w:color="auto"/>
        <w:bottom w:val="none" w:sz="0" w:space="0" w:color="auto"/>
        <w:right w:val="none" w:sz="0" w:space="0" w:color="auto"/>
      </w:divBdr>
    </w:div>
    <w:div w:id="298613740">
      <w:bodyDiv w:val="1"/>
      <w:marLeft w:val="0"/>
      <w:marRight w:val="0"/>
      <w:marTop w:val="0"/>
      <w:marBottom w:val="0"/>
      <w:divBdr>
        <w:top w:val="none" w:sz="0" w:space="0" w:color="auto"/>
        <w:left w:val="none" w:sz="0" w:space="0" w:color="auto"/>
        <w:bottom w:val="none" w:sz="0" w:space="0" w:color="auto"/>
        <w:right w:val="none" w:sz="0" w:space="0" w:color="auto"/>
      </w:divBdr>
    </w:div>
    <w:div w:id="309336393">
      <w:bodyDiv w:val="1"/>
      <w:marLeft w:val="0"/>
      <w:marRight w:val="0"/>
      <w:marTop w:val="0"/>
      <w:marBottom w:val="0"/>
      <w:divBdr>
        <w:top w:val="none" w:sz="0" w:space="0" w:color="auto"/>
        <w:left w:val="none" w:sz="0" w:space="0" w:color="auto"/>
        <w:bottom w:val="none" w:sz="0" w:space="0" w:color="auto"/>
        <w:right w:val="none" w:sz="0" w:space="0" w:color="auto"/>
      </w:divBdr>
    </w:div>
    <w:div w:id="334768709">
      <w:bodyDiv w:val="1"/>
      <w:marLeft w:val="0"/>
      <w:marRight w:val="0"/>
      <w:marTop w:val="0"/>
      <w:marBottom w:val="0"/>
      <w:divBdr>
        <w:top w:val="none" w:sz="0" w:space="0" w:color="auto"/>
        <w:left w:val="none" w:sz="0" w:space="0" w:color="auto"/>
        <w:bottom w:val="none" w:sz="0" w:space="0" w:color="auto"/>
        <w:right w:val="none" w:sz="0" w:space="0" w:color="auto"/>
      </w:divBdr>
      <w:divsChild>
        <w:div w:id="447050994">
          <w:marLeft w:val="0"/>
          <w:marRight w:val="0"/>
          <w:marTop w:val="0"/>
          <w:marBottom w:val="0"/>
          <w:divBdr>
            <w:top w:val="none" w:sz="0" w:space="0" w:color="auto"/>
            <w:left w:val="none" w:sz="0" w:space="0" w:color="auto"/>
            <w:bottom w:val="none" w:sz="0" w:space="0" w:color="auto"/>
            <w:right w:val="none" w:sz="0" w:space="0" w:color="auto"/>
          </w:divBdr>
        </w:div>
      </w:divsChild>
    </w:div>
    <w:div w:id="356347602">
      <w:bodyDiv w:val="1"/>
      <w:marLeft w:val="0"/>
      <w:marRight w:val="0"/>
      <w:marTop w:val="0"/>
      <w:marBottom w:val="0"/>
      <w:divBdr>
        <w:top w:val="none" w:sz="0" w:space="0" w:color="auto"/>
        <w:left w:val="none" w:sz="0" w:space="0" w:color="auto"/>
        <w:bottom w:val="none" w:sz="0" w:space="0" w:color="auto"/>
        <w:right w:val="none" w:sz="0" w:space="0" w:color="auto"/>
      </w:divBdr>
    </w:div>
    <w:div w:id="376441565">
      <w:bodyDiv w:val="1"/>
      <w:marLeft w:val="0"/>
      <w:marRight w:val="0"/>
      <w:marTop w:val="0"/>
      <w:marBottom w:val="0"/>
      <w:divBdr>
        <w:top w:val="none" w:sz="0" w:space="0" w:color="auto"/>
        <w:left w:val="none" w:sz="0" w:space="0" w:color="auto"/>
        <w:bottom w:val="none" w:sz="0" w:space="0" w:color="auto"/>
        <w:right w:val="none" w:sz="0" w:space="0" w:color="auto"/>
      </w:divBdr>
    </w:div>
    <w:div w:id="386686283">
      <w:bodyDiv w:val="1"/>
      <w:marLeft w:val="0"/>
      <w:marRight w:val="0"/>
      <w:marTop w:val="0"/>
      <w:marBottom w:val="0"/>
      <w:divBdr>
        <w:top w:val="none" w:sz="0" w:space="0" w:color="auto"/>
        <w:left w:val="none" w:sz="0" w:space="0" w:color="auto"/>
        <w:bottom w:val="none" w:sz="0" w:space="0" w:color="auto"/>
        <w:right w:val="none" w:sz="0" w:space="0" w:color="auto"/>
      </w:divBdr>
      <w:divsChild>
        <w:div w:id="4147914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7360361">
      <w:bodyDiv w:val="1"/>
      <w:marLeft w:val="0"/>
      <w:marRight w:val="0"/>
      <w:marTop w:val="0"/>
      <w:marBottom w:val="0"/>
      <w:divBdr>
        <w:top w:val="none" w:sz="0" w:space="0" w:color="auto"/>
        <w:left w:val="none" w:sz="0" w:space="0" w:color="auto"/>
        <w:bottom w:val="none" w:sz="0" w:space="0" w:color="auto"/>
        <w:right w:val="none" w:sz="0" w:space="0" w:color="auto"/>
      </w:divBdr>
      <w:divsChild>
        <w:div w:id="19423005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59106347">
      <w:bodyDiv w:val="1"/>
      <w:marLeft w:val="0"/>
      <w:marRight w:val="0"/>
      <w:marTop w:val="0"/>
      <w:marBottom w:val="0"/>
      <w:divBdr>
        <w:top w:val="none" w:sz="0" w:space="0" w:color="auto"/>
        <w:left w:val="none" w:sz="0" w:space="0" w:color="auto"/>
        <w:bottom w:val="none" w:sz="0" w:space="0" w:color="auto"/>
        <w:right w:val="none" w:sz="0" w:space="0" w:color="auto"/>
      </w:divBdr>
    </w:div>
    <w:div w:id="476455667">
      <w:bodyDiv w:val="1"/>
      <w:marLeft w:val="0"/>
      <w:marRight w:val="0"/>
      <w:marTop w:val="0"/>
      <w:marBottom w:val="0"/>
      <w:divBdr>
        <w:top w:val="none" w:sz="0" w:space="0" w:color="auto"/>
        <w:left w:val="none" w:sz="0" w:space="0" w:color="auto"/>
        <w:bottom w:val="none" w:sz="0" w:space="0" w:color="auto"/>
        <w:right w:val="none" w:sz="0" w:space="0" w:color="auto"/>
      </w:divBdr>
    </w:div>
    <w:div w:id="477692347">
      <w:bodyDiv w:val="1"/>
      <w:marLeft w:val="0"/>
      <w:marRight w:val="0"/>
      <w:marTop w:val="0"/>
      <w:marBottom w:val="0"/>
      <w:divBdr>
        <w:top w:val="none" w:sz="0" w:space="0" w:color="auto"/>
        <w:left w:val="none" w:sz="0" w:space="0" w:color="auto"/>
        <w:bottom w:val="none" w:sz="0" w:space="0" w:color="auto"/>
        <w:right w:val="none" w:sz="0" w:space="0" w:color="auto"/>
      </w:divBdr>
    </w:div>
    <w:div w:id="480274607">
      <w:bodyDiv w:val="1"/>
      <w:marLeft w:val="0"/>
      <w:marRight w:val="0"/>
      <w:marTop w:val="0"/>
      <w:marBottom w:val="0"/>
      <w:divBdr>
        <w:top w:val="none" w:sz="0" w:space="0" w:color="auto"/>
        <w:left w:val="none" w:sz="0" w:space="0" w:color="auto"/>
        <w:bottom w:val="none" w:sz="0" w:space="0" w:color="auto"/>
        <w:right w:val="none" w:sz="0" w:space="0" w:color="auto"/>
      </w:divBdr>
    </w:div>
    <w:div w:id="644118573">
      <w:bodyDiv w:val="1"/>
      <w:marLeft w:val="0"/>
      <w:marRight w:val="0"/>
      <w:marTop w:val="0"/>
      <w:marBottom w:val="0"/>
      <w:divBdr>
        <w:top w:val="none" w:sz="0" w:space="0" w:color="auto"/>
        <w:left w:val="none" w:sz="0" w:space="0" w:color="auto"/>
        <w:bottom w:val="none" w:sz="0" w:space="0" w:color="auto"/>
        <w:right w:val="none" w:sz="0" w:space="0" w:color="auto"/>
      </w:divBdr>
    </w:div>
    <w:div w:id="650057988">
      <w:bodyDiv w:val="1"/>
      <w:marLeft w:val="0"/>
      <w:marRight w:val="0"/>
      <w:marTop w:val="0"/>
      <w:marBottom w:val="0"/>
      <w:divBdr>
        <w:top w:val="none" w:sz="0" w:space="0" w:color="auto"/>
        <w:left w:val="none" w:sz="0" w:space="0" w:color="auto"/>
        <w:bottom w:val="none" w:sz="0" w:space="0" w:color="auto"/>
        <w:right w:val="none" w:sz="0" w:space="0" w:color="auto"/>
      </w:divBdr>
    </w:div>
    <w:div w:id="787891478">
      <w:bodyDiv w:val="1"/>
      <w:marLeft w:val="0"/>
      <w:marRight w:val="0"/>
      <w:marTop w:val="0"/>
      <w:marBottom w:val="0"/>
      <w:divBdr>
        <w:top w:val="none" w:sz="0" w:space="0" w:color="auto"/>
        <w:left w:val="none" w:sz="0" w:space="0" w:color="auto"/>
        <w:bottom w:val="none" w:sz="0" w:space="0" w:color="auto"/>
        <w:right w:val="none" w:sz="0" w:space="0" w:color="auto"/>
      </w:divBdr>
    </w:div>
    <w:div w:id="811023687">
      <w:bodyDiv w:val="1"/>
      <w:marLeft w:val="0"/>
      <w:marRight w:val="0"/>
      <w:marTop w:val="0"/>
      <w:marBottom w:val="0"/>
      <w:divBdr>
        <w:top w:val="none" w:sz="0" w:space="0" w:color="auto"/>
        <w:left w:val="none" w:sz="0" w:space="0" w:color="auto"/>
        <w:bottom w:val="none" w:sz="0" w:space="0" w:color="auto"/>
        <w:right w:val="none" w:sz="0" w:space="0" w:color="auto"/>
      </w:divBdr>
    </w:div>
    <w:div w:id="843666747">
      <w:bodyDiv w:val="1"/>
      <w:marLeft w:val="0"/>
      <w:marRight w:val="0"/>
      <w:marTop w:val="0"/>
      <w:marBottom w:val="0"/>
      <w:divBdr>
        <w:top w:val="none" w:sz="0" w:space="0" w:color="auto"/>
        <w:left w:val="none" w:sz="0" w:space="0" w:color="auto"/>
        <w:bottom w:val="none" w:sz="0" w:space="0" w:color="auto"/>
        <w:right w:val="none" w:sz="0" w:space="0" w:color="auto"/>
      </w:divBdr>
    </w:div>
    <w:div w:id="862013938">
      <w:bodyDiv w:val="1"/>
      <w:marLeft w:val="0"/>
      <w:marRight w:val="0"/>
      <w:marTop w:val="0"/>
      <w:marBottom w:val="0"/>
      <w:divBdr>
        <w:top w:val="none" w:sz="0" w:space="0" w:color="auto"/>
        <w:left w:val="none" w:sz="0" w:space="0" w:color="auto"/>
        <w:bottom w:val="none" w:sz="0" w:space="0" w:color="auto"/>
        <w:right w:val="none" w:sz="0" w:space="0" w:color="auto"/>
      </w:divBdr>
    </w:div>
    <w:div w:id="938610496">
      <w:bodyDiv w:val="1"/>
      <w:marLeft w:val="0"/>
      <w:marRight w:val="0"/>
      <w:marTop w:val="0"/>
      <w:marBottom w:val="0"/>
      <w:divBdr>
        <w:top w:val="none" w:sz="0" w:space="0" w:color="auto"/>
        <w:left w:val="none" w:sz="0" w:space="0" w:color="auto"/>
        <w:bottom w:val="none" w:sz="0" w:space="0" w:color="auto"/>
        <w:right w:val="none" w:sz="0" w:space="0" w:color="auto"/>
      </w:divBdr>
    </w:div>
    <w:div w:id="1006903400">
      <w:bodyDiv w:val="1"/>
      <w:marLeft w:val="0"/>
      <w:marRight w:val="0"/>
      <w:marTop w:val="0"/>
      <w:marBottom w:val="0"/>
      <w:divBdr>
        <w:top w:val="none" w:sz="0" w:space="0" w:color="auto"/>
        <w:left w:val="none" w:sz="0" w:space="0" w:color="auto"/>
        <w:bottom w:val="none" w:sz="0" w:space="0" w:color="auto"/>
        <w:right w:val="none" w:sz="0" w:space="0" w:color="auto"/>
      </w:divBdr>
    </w:div>
    <w:div w:id="1019742373">
      <w:bodyDiv w:val="1"/>
      <w:marLeft w:val="0"/>
      <w:marRight w:val="0"/>
      <w:marTop w:val="0"/>
      <w:marBottom w:val="0"/>
      <w:divBdr>
        <w:top w:val="none" w:sz="0" w:space="0" w:color="auto"/>
        <w:left w:val="none" w:sz="0" w:space="0" w:color="auto"/>
        <w:bottom w:val="none" w:sz="0" w:space="0" w:color="auto"/>
        <w:right w:val="none" w:sz="0" w:space="0" w:color="auto"/>
      </w:divBdr>
    </w:div>
    <w:div w:id="1051274359">
      <w:bodyDiv w:val="1"/>
      <w:marLeft w:val="0"/>
      <w:marRight w:val="0"/>
      <w:marTop w:val="0"/>
      <w:marBottom w:val="0"/>
      <w:divBdr>
        <w:top w:val="none" w:sz="0" w:space="0" w:color="auto"/>
        <w:left w:val="none" w:sz="0" w:space="0" w:color="auto"/>
        <w:bottom w:val="none" w:sz="0" w:space="0" w:color="auto"/>
        <w:right w:val="none" w:sz="0" w:space="0" w:color="auto"/>
      </w:divBdr>
    </w:div>
    <w:div w:id="1053773636">
      <w:bodyDiv w:val="1"/>
      <w:marLeft w:val="0"/>
      <w:marRight w:val="0"/>
      <w:marTop w:val="0"/>
      <w:marBottom w:val="0"/>
      <w:divBdr>
        <w:top w:val="none" w:sz="0" w:space="0" w:color="auto"/>
        <w:left w:val="none" w:sz="0" w:space="0" w:color="auto"/>
        <w:bottom w:val="none" w:sz="0" w:space="0" w:color="auto"/>
        <w:right w:val="none" w:sz="0" w:space="0" w:color="auto"/>
      </w:divBdr>
    </w:div>
    <w:div w:id="1109201949">
      <w:bodyDiv w:val="1"/>
      <w:marLeft w:val="0"/>
      <w:marRight w:val="0"/>
      <w:marTop w:val="0"/>
      <w:marBottom w:val="0"/>
      <w:divBdr>
        <w:top w:val="none" w:sz="0" w:space="0" w:color="auto"/>
        <w:left w:val="none" w:sz="0" w:space="0" w:color="auto"/>
        <w:bottom w:val="none" w:sz="0" w:space="0" w:color="auto"/>
        <w:right w:val="none" w:sz="0" w:space="0" w:color="auto"/>
      </w:divBdr>
    </w:div>
    <w:div w:id="1130317527">
      <w:bodyDiv w:val="1"/>
      <w:marLeft w:val="0"/>
      <w:marRight w:val="0"/>
      <w:marTop w:val="0"/>
      <w:marBottom w:val="0"/>
      <w:divBdr>
        <w:top w:val="none" w:sz="0" w:space="0" w:color="auto"/>
        <w:left w:val="none" w:sz="0" w:space="0" w:color="auto"/>
        <w:bottom w:val="none" w:sz="0" w:space="0" w:color="auto"/>
        <w:right w:val="none" w:sz="0" w:space="0" w:color="auto"/>
      </w:divBdr>
    </w:div>
    <w:div w:id="1135946686">
      <w:bodyDiv w:val="1"/>
      <w:marLeft w:val="0"/>
      <w:marRight w:val="0"/>
      <w:marTop w:val="0"/>
      <w:marBottom w:val="0"/>
      <w:divBdr>
        <w:top w:val="none" w:sz="0" w:space="0" w:color="auto"/>
        <w:left w:val="none" w:sz="0" w:space="0" w:color="auto"/>
        <w:bottom w:val="none" w:sz="0" w:space="0" w:color="auto"/>
        <w:right w:val="none" w:sz="0" w:space="0" w:color="auto"/>
      </w:divBdr>
      <w:divsChild>
        <w:div w:id="1977295335">
          <w:blockQuote w:val="1"/>
          <w:marLeft w:val="720"/>
          <w:marRight w:val="720"/>
          <w:marTop w:val="100"/>
          <w:marBottom w:val="100"/>
          <w:divBdr>
            <w:top w:val="none" w:sz="0" w:space="0" w:color="auto"/>
            <w:left w:val="none" w:sz="0" w:space="0" w:color="auto"/>
            <w:bottom w:val="none" w:sz="0" w:space="0" w:color="auto"/>
            <w:right w:val="none" w:sz="0" w:space="0" w:color="auto"/>
          </w:divBdr>
        </w:div>
        <w:div w:id="8002652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48549555">
      <w:bodyDiv w:val="1"/>
      <w:marLeft w:val="0"/>
      <w:marRight w:val="0"/>
      <w:marTop w:val="0"/>
      <w:marBottom w:val="0"/>
      <w:divBdr>
        <w:top w:val="none" w:sz="0" w:space="0" w:color="auto"/>
        <w:left w:val="none" w:sz="0" w:space="0" w:color="auto"/>
        <w:bottom w:val="none" w:sz="0" w:space="0" w:color="auto"/>
        <w:right w:val="none" w:sz="0" w:space="0" w:color="auto"/>
      </w:divBdr>
    </w:div>
    <w:div w:id="1229539304">
      <w:bodyDiv w:val="1"/>
      <w:marLeft w:val="0"/>
      <w:marRight w:val="0"/>
      <w:marTop w:val="0"/>
      <w:marBottom w:val="0"/>
      <w:divBdr>
        <w:top w:val="none" w:sz="0" w:space="0" w:color="auto"/>
        <w:left w:val="none" w:sz="0" w:space="0" w:color="auto"/>
        <w:bottom w:val="none" w:sz="0" w:space="0" w:color="auto"/>
        <w:right w:val="none" w:sz="0" w:space="0" w:color="auto"/>
      </w:divBdr>
      <w:divsChild>
        <w:div w:id="608586436">
          <w:blockQuote w:val="1"/>
          <w:marLeft w:val="720"/>
          <w:marRight w:val="720"/>
          <w:marTop w:val="100"/>
          <w:marBottom w:val="100"/>
          <w:divBdr>
            <w:top w:val="none" w:sz="0" w:space="0" w:color="auto"/>
            <w:left w:val="none" w:sz="0" w:space="0" w:color="auto"/>
            <w:bottom w:val="none" w:sz="0" w:space="0" w:color="auto"/>
            <w:right w:val="none" w:sz="0" w:space="0" w:color="auto"/>
          </w:divBdr>
        </w:div>
        <w:div w:id="20343798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6741989">
      <w:bodyDiv w:val="1"/>
      <w:marLeft w:val="0"/>
      <w:marRight w:val="0"/>
      <w:marTop w:val="0"/>
      <w:marBottom w:val="0"/>
      <w:divBdr>
        <w:top w:val="none" w:sz="0" w:space="0" w:color="auto"/>
        <w:left w:val="none" w:sz="0" w:space="0" w:color="auto"/>
        <w:bottom w:val="none" w:sz="0" w:space="0" w:color="auto"/>
        <w:right w:val="none" w:sz="0" w:space="0" w:color="auto"/>
      </w:divBdr>
    </w:div>
    <w:div w:id="1485390055">
      <w:bodyDiv w:val="1"/>
      <w:marLeft w:val="0"/>
      <w:marRight w:val="0"/>
      <w:marTop w:val="0"/>
      <w:marBottom w:val="0"/>
      <w:divBdr>
        <w:top w:val="none" w:sz="0" w:space="0" w:color="auto"/>
        <w:left w:val="none" w:sz="0" w:space="0" w:color="auto"/>
        <w:bottom w:val="none" w:sz="0" w:space="0" w:color="auto"/>
        <w:right w:val="none" w:sz="0" w:space="0" w:color="auto"/>
      </w:divBdr>
    </w:div>
    <w:div w:id="1520000904">
      <w:bodyDiv w:val="1"/>
      <w:marLeft w:val="0"/>
      <w:marRight w:val="0"/>
      <w:marTop w:val="0"/>
      <w:marBottom w:val="0"/>
      <w:divBdr>
        <w:top w:val="none" w:sz="0" w:space="0" w:color="auto"/>
        <w:left w:val="none" w:sz="0" w:space="0" w:color="auto"/>
        <w:bottom w:val="none" w:sz="0" w:space="0" w:color="auto"/>
        <w:right w:val="none" w:sz="0" w:space="0" w:color="auto"/>
      </w:divBdr>
    </w:div>
    <w:div w:id="1593657544">
      <w:bodyDiv w:val="1"/>
      <w:marLeft w:val="0"/>
      <w:marRight w:val="0"/>
      <w:marTop w:val="0"/>
      <w:marBottom w:val="0"/>
      <w:divBdr>
        <w:top w:val="none" w:sz="0" w:space="0" w:color="auto"/>
        <w:left w:val="none" w:sz="0" w:space="0" w:color="auto"/>
        <w:bottom w:val="none" w:sz="0" w:space="0" w:color="auto"/>
        <w:right w:val="none" w:sz="0" w:space="0" w:color="auto"/>
      </w:divBdr>
    </w:div>
    <w:div w:id="1600798551">
      <w:bodyDiv w:val="1"/>
      <w:marLeft w:val="0"/>
      <w:marRight w:val="0"/>
      <w:marTop w:val="0"/>
      <w:marBottom w:val="0"/>
      <w:divBdr>
        <w:top w:val="none" w:sz="0" w:space="0" w:color="auto"/>
        <w:left w:val="none" w:sz="0" w:space="0" w:color="auto"/>
        <w:bottom w:val="none" w:sz="0" w:space="0" w:color="auto"/>
        <w:right w:val="none" w:sz="0" w:space="0" w:color="auto"/>
      </w:divBdr>
    </w:div>
    <w:div w:id="1601837829">
      <w:bodyDiv w:val="1"/>
      <w:marLeft w:val="0"/>
      <w:marRight w:val="0"/>
      <w:marTop w:val="0"/>
      <w:marBottom w:val="0"/>
      <w:divBdr>
        <w:top w:val="none" w:sz="0" w:space="0" w:color="auto"/>
        <w:left w:val="none" w:sz="0" w:space="0" w:color="auto"/>
        <w:bottom w:val="none" w:sz="0" w:space="0" w:color="auto"/>
        <w:right w:val="none" w:sz="0" w:space="0" w:color="auto"/>
      </w:divBdr>
    </w:div>
    <w:div w:id="1659841006">
      <w:bodyDiv w:val="1"/>
      <w:marLeft w:val="0"/>
      <w:marRight w:val="0"/>
      <w:marTop w:val="0"/>
      <w:marBottom w:val="0"/>
      <w:divBdr>
        <w:top w:val="none" w:sz="0" w:space="0" w:color="auto"/>
        <w:left w:val="none" w:sz="0" w:space="0" w:color="auto"/>
        <w:bottom w:val="none" w:sz="0" w:space="0" w:color="auto"/>
        <w:right w:val="none" w:sz="0" w:space="0" w:color="auto"/>
      </w:divBdr>
    </w:div>
    <w:div w:id="1725790359">
      <w:bodyDiv w:val="1"/>
      <w:marLeft w:val="0"/>
      <w:marRight w:val="0"/>
      <w:marTop w:val="0"/>
      <w:marBottom w:val="0"/>
      <w:divBdr>
        <w:top w:val="none" w:sz="0" w:space="0" w:color="auto"/>
        <w:left w:val="none" w:sz="0" w:space="0" w:color="auto"/>
        <w:bottom w:val="none" w:sz="0" w:space="0" w:color="auto"/>
        <w:right w:val="none" w:sz="0" w:space="0" w:color="auto"/>
      </w:divBdr>
    </w:div>
    <w:div w:id="1756246689">
      <w:bodyDiv w:val="1"/>
      <w:marLeft w:val="0"/>
      <w:marRight w:val="0"/>
      <w:marTop w:val="0"/>
      <w:marBottom w:val="0"/>
      <w:divBdr>
        <w:top w:val="none" w:sz="0" w:space="0" w:color="auto"/>
        <w:left w:val="none" w:sz="0" w:space="0" w:color="auto"/>
        <w:bottom w:val="none" w:sz="0" w:space="0" w:color="auto"/>
        <w:right w:val="none" w:sz="0" w:space="0" w:color="auto"/>
      </w:divBdr>
    </w:div>
    <w:div w:id="1791195343">
      <w:bodyDiv w:val="1"/>
      <w:marLeft w:val="0"/>
      <w:marRight w:val="0"/>
      <w:marTop w:val="0"/>
      <w:marBottom w:val="0"/>
      <w:divBdr>
        <w:top w:val="none" w:sz="0" w:space="0" w:color="auto"/>
        <w:left w:val="none" w:sz="0" w:space="0" w:color="auto"/>
        <w:bottom w:val="none" w:sz="0" w:space="0" w:color="auto"/>
        <w:right w:val="none" w:sz="0" w:space="0" w:color="auto"/>
      </w:divBdr>
    </w:div>
    <w:div w:id="1799644189">
      <w:bodyDiv w:val="1"/>
      <w:marLeft w:val="0"/>
      <w:marRight w:val="0"/>
      <w:marTop w:val="0"/>
      <w:marBottom w:val="0"/>
      <w:divBdr>
        <w:top w:val="none" w:sz="0" w:space="0" w:color="auto"/>
        <w:left w:val="none" w:sz="0" w:space="0" w:color="auto"/>
        <w:bottom w:val="none" w:sz="0" w:space="0" w:color="auto"/>
        <w:right w:val="none" w:sz="0" w:space="0" w:color="auto"/>
      </w:divBdr>
    </w:div>
    <w:div w:id="1836337782">
      <w:bodyDiv w:val="1"/>
      <w:marLeft w:val="0"/>
      <w:marRight w:val="0"/>
      <w:marTop w:val="0"/>
      <w:marBottom w:val="0"/>
      <w:divBdr>
        <w:top w:val="none" w:sz="0" w:space="0" w:color="auto"/>
        <w:left w:val="none" w:sz="0" w:space="0" w:color="auto"/>
        <w:bottom w:val="none" w:sz="0" w:space="0" w:color="auto"/>
        <w:right w:val="none" w:sz="0" w:space="0" w:color="auto"/>
      </w:divBdr>
    </w:div>
    <w:div w:id="1865287591">
      <w:bodyDiv w:val="1"/>
      <w:marLeft w:val="0"/>
      <w:marRight w:val="0"/>
      <w:marTop w:val="0"/>
      <w:marBottom w:val="0"/>
      <w:divBdr>
        <w:top w:val="none" w:sz="0" w:space="0" w:color="auto"/>
        <w:left w:val="none" w:sz="0" w:space="0" w:color="auto"/>
        <w:bottom w:val="none" w:sz="0" w:space="0" w:color="auto"/>
        <w:right w:val="none" w:sz="0" w:space="0" w:color="auto"/>
      </w:divBdr>
    </w:div>
    <w:div w:id="1924024264">
      <w:bodyDiv w:val="1"/>
      <w:marLeft w:val="0"/>
      <w:marRight w:val="0"/>
      <w:marTop w:val="0"/>
      <w:marBottom w:val="0"/>
      <w:divBdr>
        <w:top w:val="none" w:sz="0" w:space="0" w:color="auto"/>
        <w:left w:val="none" w:sz="0" w:space="0" w:color="auto"/>
        <w:bottom w:val="none" w:sz="0" w:space="0" w:color="auto"/>
        <w:right w:val="none" w:sz="0" w:space="0" w:color="auto"/>
      </w:divBdr>
    </w:div>
    <w:div w:id="1936546581">
      <w:bodyDiv w:val="1"/>
      <w:marLeft w:val="0"/>
      <w:marRight w:val="0"/>
      <w:marTop w:val="0"/>
      <w:marBottom w:val="0"/>
      <w:divBdr>
        <w:top w:val="none" w:sz="0" w:space="0" w:color="auto"/>
        <w:left w:val="none" w:sz="0" w:space="0" w:color="auto"/>
        <w:bottom w:val="none" w:sz="0" w:space="0" w:color="auto"/>
        <w:right w:val="none" w:sz="0" w:space="0" w:color="auto"/>
      </w:divBdr>
    </w:div>
    <w:div w:id="1960524676">
      <w:bodyDiv w:val="1"/>
      <w:marLeft w:val="0"/>
      <w:marRight w:val="0"/>
      <w:marTop w:val="0"/>
      <w:marBottom w:val="0"/>
      <w:divBdr>
        <w:top w:val="none" w:sz="0" w:space="0" w:color="auto"/>
        <w:left w:val="none" w:sz="0" w:space="0" w:color="auto"/>
        <w:bottom w:val="none" w:sz="0" w:space="0" w:color="auto"/>
        <w:right w:val="none" w:sz="0" w:space="0" w:color="auto"/>
      </w:divBdr>
    </w:div>
    <w:div w:id="2006008042">
      <w:bodyDiv w:val="1"/>
      <w:marLeft w:val="0"/>
      <w:marRight w:val="0"/>
      <w:marTop w:val="0"/>
      <w:marBottom w:val="0"/>
      <w:divBdr>
        <w:top w:val="none" w:sz="0" w:space="0" w:color="auto"/>
        <w:left w:val="none" w:sz="0" w:space="0" w:color="auto"/>
        <w:bottom w:val="none" w:sz="0" w:space="0" w:color="auto"/>
        <w:right w:val="none" w:sz="0" w:space="0" w:color="auto"/>
      </w:divBdr>
    </w:div>
    <w:div w:id="2010208610">
      <w:bodyDiv w:val="1"/>
      <w:marLeft w:val="0"/>
      <w:marRight w:val="0"/>
      <w:marTop w:val="0"/>
      <w:marBottom w:val="0"/>
      <w:divBdr>
        <w:top w:val="none" w:sz="0" w:space="0" w:color="auto"/>
        <w:left w:val="none" w:sz="0" w:space="0" w:color="auto"/>
        <w:bottom w:val="none" w:sz="0" w:space="0" w:color="auto"/>
        <w:right w:val="none" w:sz="0" w:space="0" w:color="auto"/>
      </w:divBdr>
    </w:div>
    <w:div w:id="2031103714">
      <w:bodyDiv w:val="1"/>
      <w:marLeft w:val="0"/>
      <w:marRight w:val="0"/>
      <w:marTop w:val="0"/>
      <w:marBottom w:val="0"/>
      <w:divBdr>
        <w:top w:val="none" w:sz="0" w:space="0" w:color="auto"/>
        <w:left w:val="none" w:sz="0" w:space="0" w:color="auto"/>
        <w:bottom w:val="none" w:sz="0" w:space="0" w:color="auto"/>
        <w:right w:val="none" w:sz="0" w:space="0" w:color="auto"/>
      </w:divBdr>
    </w:div>
    <w:div w:id="2055619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cid:image001.png@01DB4CE1.97E5BD50"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D08A89-CDC5-456E-BABC-69BAD4B62B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3097</Words>
  <Characters>17808</Characters>
  <Application>Microsoft Office Word</Application>
  <DocSecurity>4</DocSecurity>
  <Lines>318</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Ayala Ríos</dc:creator>
  <cp:keywords/>
  <dc:description/>
  <cp:lastModifiedBy>Camyl Moreno Pantojas</cp:lastModifiedBy>
  <cp:revision>2</cp:revision>
  <cp:lastPrinted>2025-02-07T13:22:00Z</cp:lastPrinted>
  <dcterms:created xsi:type="dcterms:W3CDTF">2026-04-09T19:28:00Z</dcterms:created>
  <dcterms:modified xsi:type="dcterms:W3CDTF">2026-04-09T19:28:00Z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edc798787d77dbc8f14a5aa77c22d597721fe9218da44b727083135e5451780d</vt:lpwstr>
  </property>
</Properties>
</file>