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B95434" w:rsidRDefault="006705DD" w:rsidP="006705DD">
      <w:pPr>
        <w:jc w:val="center"/>
        <w:rPr>
          <w:rFonts w:ascii="Book Antiqua" w:hAnsi="Book Antiqua"/>
          <w:sz w:val="28"/>
          <w:szCs w:val="28"/>
          <w:lang w:val="es-ES_tradnl"/>
        </w:rPr>
      </w:pPr>
      <w:r w:rsidRPr="00B95434">
        <w:rPr>
          <w:rFonts w:ascii="Book Antiqua" w:hAnsi="Book Antiqua"/>
          <w:sz w:val="28"/>
          <w:szCs w:val="28"/>
          <w:lang w:val="es-ES_tradnl"/>
        </w:rPr>
        <w:t>GOBIERNO DE PUERTO RICO</w:t>
      </w:r>
    </w:p>
    <w:p w14:paraId="63849F0A" w14:textId="77777777" w:rsidR="006705DD" w:rsidRPr="00B95434" w:rsidRDefault="006705DD" w:rsidP="006705DD">
      <w:pPr>
        <w:jc w:val="center"/>
        <w:rPr>
          <w:rFonts w:ascii="Book Antiqua" w:hAnsi="Book Antiqua"/>
          <w:lang w:val="es-ES_tradnl"/>
        </w:rPr>
      </w:pPr>
    </w:p>
    <w:p w14:paraId="71D628C2" w14:textId="5906F6F1" w:rsidR="006705DD" w:rsidRPr="00165840" w:rsidRDefault="005E345A" w:rsidP="006705DD">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6705DD" w:rsidRPr="00B95434">
        <w:rPr>
          <w:rFonts w:ascii="Book Antiqua" w:hAnsi="Book Antiqua"/>
          <w:vertAlign w:val="superscript"/>
          <w:lang w:val="es-ES_tradnl"/>
        </w:rPr>
        <w:t>a.</w:t>
      </w:r>
      <w:r w:rsidR="006705DD" w:rsidRPr="00B95434">
        <w:rPr>
          <w:rFonts w:ascii="Book Antiqua" w:hAnsi="Book Antiqua"/>
          <w:lang w:val="es-ES_tradnl"/>
        </w:rPr>
        <w:tab/>
        <w:t>Asamblea</w:t>
      </w:r>
      <w:r w:rsidR="006705DD" w:rsidRPr="00B95434">
        <w:rPr>
          <w:rFonts w:ascii="Book Antiqua" w:hAnsi="Book Antiqua"/>
          <w:lang w:val="es-ES_tradnl"/>
        </w:rPr>
        <w:tab/>
      </w:r>
      <w:r w:rsidR="00DB2C23">
        <w:rPr>
          <w:rFonts w:ascii="Book Antiqua" w:hAnsi="Book Antiqua"/>
          <w:lang w:val="es-ES_tradnl"/>
        </w:rPr>
        <w:t>3</w:t>
      </w:r>
      <w:r w:rsidR="00DB2C23">
        <w:rPr>
          <w:rFonts w:ascii="Book Antiqua" w:hAnsi="Book Antiqua"/>
          <w:color w:val="000000"/>
          <w:vertAlign w:val="superscript"/>
          <w:lang w:val="es-ES_tradnl"/>
        </w:rPr>
        <w:t>r</w:t>
      </w:r>
      <w:r w:rsidR="006705DD" w:rsidRPr="00F664B4">
        <w:rPr>
          <w:rFonts w:ascii="Book Antiqua" w:hAnsi="Book Antiqua"/>
          <w:color w:val="000000"/>
          <w:vertAlign w:val="superscript"/>
          <w:lang w:val="es-ES_tradnl"/>
        </w:rPr>
        <w:t>a.</w:t>
      </w:r>
      <w:r w:rsidR="006705DD" w:rsidRPr="00F664B4">
        <w:rPr>
          <w:rFonts w:ascii="Book Antiqua" w:hAnsi="Book Antiqua"/>
          <w:lang w:val="es-ES_tradnl"/>
        </w:rPr>
        <w:tab/>
        <w:t>Sesión</w:t>
      </w:r>
    </w:p>
    <w:p w14:paraId="3FE68A6B" w14:textId="77777777" w:rsidR="006705DD" w:rsidRPr="00B95434" w:rsidRDefault="006705DD" w:rsidP="006705DD">
      <w:pPr>
        <w:pStyle w:val="Title2"/>
        <w:rPr>
          <w:rFonts w:ascii="Book Antiqua" w:hAnsi="Book Antiqua"/>
          <w:lang w:val="es-ES_tradnl"/>
        </w:rPr>
      </w:pPr>
      <w:r w:rsidRPr="00165840">
        <w:rPr>
          <w:rFonts w:ascii="Book Antiqua" w:hAnsi="Book Antiqua"/>
          <w:lang w:val="es-ES_tradnl"/>
        </w:rPr>
        <w:tab/>
        <w:t>Legislativa</w:t>
      </w:r>
      <w:r w:rsidRPr="00165840">
        <w:rPr>
          <w:rFonts w:ascii="Book Antiqua" w:hAnsi="Book Antiqua"/>
          <w:lang w:val="es-ES_tradnl"/>
        </w:rPr>
        <w:tab/>
      </w:r>
      <w:r w:rsidRPr="00165840">
        <w:rPr>
          <w:rFonts w:ascii="Book Antiqua" w:hAnsi="Book Antiqua"/>
          <w:lang w:val="es-ES_tradnl"/>
        </w:rPr>
        <w:tab/>
        <w:t>Ordinaria</w:t>
      </w:r>
    </w:p>
    <w:p w14:paraId="0A59131A" w14:textId="77777777" w:rsidR="006705DD" w:rsidRPr="00B95434" w:rsidRDefault="006705DD" w:rsidP="006705DD">
      <w:pPr>
        <w:rPr>
          <w:rFonts w:ascii="Book Antiqua" w:hAnsi="Book Antiqua"/>
          <w:lang w:val="es-ES_tradnl"/>
        </w:rPr>
      </w:pPr>
    </w:p>
    <w:p w14:paraId="163E72F6" w14:textId="77777777" w:rsidR="006705DD" w:rsidRPr="00B95434" w:rsidRDefault="006705DD" w:rsidP="006705DD">
      <w:pPr>
        <w:rPr>
          <w:rFonts w:ascii="Book Antiqua" w:hAnsi="Book Antiqua"/>
          <w:lang w:val="es-ES_tradnl"/>
        </w:rPr>
      </w:pPr>
    </w:p>
    <w:p w14:paraId="74CD08C7" w14:textId="77777777" w:rsidR="006705DD" w:rsidRPr="00B95434" w:rsidRDefault="006705DD" w:rsidP="006705DD">
      <w:pPr>
        <w:jc w:val="center"/>
        <w:rPr>
          <w:rFonts w:ascii="Book Antiqua" w:hAnsi="Book Antiqua"/>
          <w:b/>
          <w:smallCaps/>
          <w:sz w:val="36"/>
          <w:szCs w:val="36"/>
          <w:lang w:val="es-ES_tradnl"/>
        </w:rPr>
      </w:pPr>
      <w:r w:rsidRPr="00B95434">
        <w:rPr>
          <w:rFonts w:ascii="Book Antiqua" w:hAnsi="Book Antiqua"/>
          <w:b/>
          <w:smallCaps/>
          <w:sz w:val="36"/>
          <w:szCs w:val="36"/>
          <w:lang w:val="es-ES_tradnl"/>
        </w:rPr>
        <w:t>CÁMARA DE REPRESENTANTES</w:t>
      </w:r>
    </w:p>
    <w:p w14:paraId="78D6AA15" w14:textId="77777777" w:rsidR="006705DD" w:rsidRPr="00B95434" w:rsidRDefault="006705DD" w:rsidP="006705DD">
      <w:pPr>
        <w:jc w:val="center"/>
        <w:rPr>
          <w:rFonts w:ascii="Book Antiqua" w:hAnsi="Book Antiqua"/>
          <w:i/>
          <w:sz w:val="22"/>
          <w:szCs w:val="22"/>
          <w:lang w:val="es-ES_tradnl"/>
        </w:rPr>
      </w:pPr>
    </w:p>
    <w:p w14:paraId="5E47E821" w14:textId="2B41441C" w:rsidR="006705DD" w:rsidRPr="00B95434" w:rsidRDefault="006705DD" w:rsidP="006705DD">
      <w:pPr>
        <w:jc w:val="center"/>
        <w:rPr>
          <w:rFonts w:ascii="Book Antiqua" w:hAnsi="Book Antiqua"/>
          <w:b/>
          <w:sz w:val="52"/>
          <w:szCs w:val="52"/>
          <w:lang w:val="es-ES_tradnl"/>
        </w:rPr>
      </w:pPr>
      <w:r w:rsidRPr="00B95434">
        <w:rPr>
          <w:rFonts w:ascii="Book Antiqua" w:hAnsi="Book Antiqua"/>
          <w:b/>
          <w:sz w:val="52"/>
          <w:szCs w:val="52"/>
          <w:lang w:val="es-ES_tradnl"/>
        </w:rPr>
        <w:t xml:space="preserve">P. de la C. </w:t>
      </w:r>
      <w:r w:rsidR="001F7182">
        <w:rPr>
          <w:rFonts w:ascii="Book Antiqua" w:hAnsi="Book Antiqua"/>
          <w:b/>
          <w:sz w:val="52"/>
          <w:szCs w:val="52"/>
          <w:lang w:val="es-ES_tradnl"/>
        </w:rPr>
        <w:t>996</w:t>
      </w:r>
    </w:p>
    <w:p w14:paraId="07A1279D" w14:textId="77777777" w:rsidR="006705DD" w:rsidRPr="00B95434" w:rsidRDefault="006705DD" w:rsidP="006705DD">
      <w:pPr>
        <w:jc w:val="center"/>
        <w:rPr>
          <w:rFonts w:ascii="Book Antiqua" w:hAnsi="Book Antiqua"/>
          <w:szCs w:val="24"/>
          <w:lang w:val="es-ES_tradnl"/>
        </w:rPr>
      </w:pPr>
    </w:p>
    <w:p w14:paraId="4C795B8C" w14:textId="52BAD702" w:rsidR="006705DD" w:rsidRPr="00296D3F" w:rsidRDefault="006705DD" w:rsidP="006705DD">
      <w:pPr>
        <w:jc w:val="center"/>
        <w:rPr>
          <w:rFonts w:ascii="Book Antiqua" w:hAnsi="Book Antiqua"/>
          <w:b/>
          <w:sz w:val="28"/>
          <w:szCs w:val="28"/>
          <w:lang w:val="es-ES_tradnl"/>
        </w:rPr>
      </w:pPr>
      <w:r w:rsidRPr="00296D3F">
        <w:rPr>
          <w:rFonts w:ascii="Book Antiqua" w:hAnsi="Book Antiqua"/>
          <w:b/>
          <w:sz w:val="28"/>
          <w:szCs w:val="28"/>
          <w:lang w:val="es-ES_tradnl"/>
        </w:rPr>
        <w:t>INFORME</w:t>
      </w:r>
      <w:r w:rsidR="00A56BC5">
        <w:rPr>
          <w:rFonts w:ascii="Book Antiqua" w:hAnsi="Book Antiqua"/>
          <w:b/>
          <w:sz w:val="28"/>
          <w:szCs w:val="28"/>
          <w:lang w:val="es-ES_tradnl"/>
        </w:rPr>
        <w:t xml:space="preserve"> POSITIVO </w:t>
      </w:r>
    </w:p>
    <w:p w14:paraId="66B9D576" w14:textId="77777777" w:rsidR="006705DD" w:rsidRPr="00B95434" w:rsidRDefault="006705DD" w:rsidP="006705DD">
      <w:pPr>
        <w:jc w:val="center"/>
        <w:rPr>
          <w:rFonts w:ascii="Book Antiqua" w:hAnsi="Book Antiqua"/>
          <w:b/>
          <w:i/>
          <w:szCs w:val="24"/>
          <w:lang w:val="es-ES_tradnl"/>
        </w:rPr>
      </w:pPr>
    </w:p>
    <w:p w14:paraId="023EF446" w14:textId="55220F51" w:rsidR="006705DD" w:rsidRPr="00B95434" w:rsidRDefault="006C132B" w:rsidP="006705DD">
      <w:pPr>
        <w:jc w:val="center"/>
        <w:rPr>
          <w:rFonts w:ascii="Book Antiqua" w:hAnsi="Book Antiqua"/>
          <w:szCs w:val="24"/>
          <w:lang w:val="es-ES_tradnl"/>
        </w:rPr>
      </w:pPr>
      <w:r>
        <w:rPr>
          <w:rFonts w:ascii="Book Antiqua" w:hAnsi="Book Antiqua"/>
          <w:szCs w:val="24"/>
          <w:lang w:val="es-ES_tradnl"/>
        </w:rPr>
        <w:t>23</w:t>
      </w:r>
      <w:r w:rsidR="006705DD" w:rsidRPr="00FC11CC">
        <w:rPr>
          <w:rFonts w:ascii="Book Antiqua" w:hAnsi="Book Antiqua"/>
          <w:szCs w:val="24"/>
          <w:lang w:val="es-ES_tradnl"/>
        </w:rPr>
        <w:t xml:space="preserve"> de</w:t>
      </w:r>
      <w:r w:rsidR="00DB2C23">
        <w:rPr>
          <w:rFonts w:ascii="Book Antiqua" w:hAnsi="Book Antiqua"/>
          <w:szCs w:val="24"/>
          <w:lang w:val="es-ES_tradnl"/>
        </w:rPr>
        <w:t xml:space="preserve"> </w:t>
      </w:r>
      <w:r w:rsidR="00B17F91">
        <w:rPr>
          <w:rFonts w:ascii="Book Antiqua" w:hAnsi="Book Antiqua"/>
          <w:szCs w:val="24"/>
          <w:lang w:val="es-ES_tradnl"/>
        </w:rPr>
        <w:t>marzo</w:t>
      </w:r>
      <w:r w:rsidR="005E345A">
        <w:rPr>
          <w:rFonts w:ascii="Book Antiqua" w:hAnsi="Book Antiqua"/>
          <w:szCs w:val="24"/>
          <w:lang w:val="es-ES_tradnl"/>
        </w:rPr>
        <w:t xml:space="preserve"> de 202</w:t>
      </w:r>
      <w:r w:rsidR="00121062">
        <w:rPr>
          <w:rFonts w:ascii="Book Antiqua" w:hAnsi="Book Antiqua"/>
          <w:szCs w:val="24"/>
          <w:lang w:val="es-ES_tradnl"/>
        </w:rPr>
        <w:t>6</w:t>
      </w:r>
    </w:p>
    <w:p w14:paraId="442DE431" w14:textId="77777777" w:rsidR="006705DD" w:rsidRPr="00B95434" w:rsidRDefault="006705DD" w:rsidP="006705DD">
      <w:pPr>
        <w:jc w:val="center"/>
        <w:rPr>
          <w:rFonts w:ascii="Book Antiqua" w:hAnsi="Book Antiqua"/>
          <w:sz w:val="20"/>
          <w:lang w:val="es-ES_tradnl"/>
        </w:rPr>
      </w:pPr>
    </w:p>
    <w:p w14:paraId="2F97FF93" w14:textId="77777777" w:rsidR="006705DD" w:rsidRPr="00B95434" w:rsidRDefault="006705DD" w:rsidP="006705DD">
      <w:pPr>
        <w:jc w:val="center"/>
        <w:rPr>
          <w:rFonts w:ascii="Book Antiqua" w:hAnsi="Book Antiqua"/>
          <w:szCs w:val="24"/>
          <w:lang w:val="es-ES_tradnl"/>
        </w:rPr>
      </w:pPr>
    </w:p>
    <w:p w14:paraId="520B114A" w14:textId="77777777" w:rsidR="00AC0B45" w:rsidRPr="00760D4D" w:rsidRDefault="00AC0B45" w:rsidP="00AC0B45">
      <w:pPr>
        <w:jc w:val="both"/>
        <w:rPr>
          <w:rFonts w:ascii="Book Antiqua" w:hAnsi="Book Antiqua"/>
          <w:b/>
          <w:i/>
          <w:smallCaps/>
          <w:szCs w:val="24"/>
          <w:lang w:val="es-ES_tradnl"/>
        </w:rPr>
      </w:pPr>
      <w:r w:rsidRPr="00760D4D">
        <w:rPr>
          <w:rFonts w:ascii="Book Antiqua" w:hAnsi="Book Antiqua"/>
          <w:b/>
          <w:i/>
          <w:smallCaps/>
          <w:szCs w:val="24"/>
          <w:lang w:val="es-ES_tradnl"/>
        </w:rPr>
        <w:t>A la Cámara de Representantes de Puerto Rico:</w:t>
      </w:r>
    </w:p>
    <w:p w14:paraId="42B69301" w14:textId="77777777" w:rsidR="00AC0B45" w:rsidRPr="00AC0B45" w:rsidRDefault="00AC0B45" w:rsidP="00AC0B45">
      <w:pPr>
        <w:jc w:val="both"/>
        <w:rPr>
          <w:rFonts w:ascii="Book Antiqua" w:hAnsi="Book Antiqua" w:cs="Arial"/>
          <w:sz w:val="28"/>
          <w:lang w:val="es-ES_tradnl"/>
        </w:rPr>
      </w:pPr>
    </w:p>
    <w:p w14:paraId="37F95BC0" w14:textId="5671324A" w:rsidR="0087700A" w:rsidRDefault="00AC0B45" w:rsidP="00AC0B45">
      <w:pPr>
        <w:jc w:val="both"/>
        <w:rPr>
          <w:rFonts w:ascii="Book Antiqua" w:hAnsi="Book Antiqua" w:cs="Arial"/>
          <w:lang w:val="es-ES"/>
        </w:rPr>
      </w:pPr>
      <w:r w:rsidRPr="00AC0B45">
        <w:rPr>
          <w:rFonts w:ascii="Book Antiqua" w:hAnsi="Book Antiqua" w:cs="Arial"/>
          <w:lang w:val="es-ES"/>
        </w:rPr>
        <w:t xml:space="preserve">La Comisión de Asuntos Municipales de la Cámara de Representantes </w:t>
      </w:r>
      <w:r w:rsidR="00FE1861">
        <w:rPr>
          <w:rFonts w:ascii="Book Antiqua" w:hAnsi="Book Antiqua" w:cs="Arial"/>
          <w:lang w:val="es-ES"/>
        </w:rPr>
        <w:t>de Puerto Rico</w:t>
      </w:r>
      <w:r w:rsidRPr="00AC0B45">
        <w:rPr>
          <w:rFonts w:ascii="Book Antiqua" w:hAnsi="Book Antiqua" w:cs="Arial"/>
          <w:lang w:val="es-ES"/>
        </w:rPr>
        <w:t>, previo estudio y consideración del</w:t>
      </w:r>
      <w:r w:rsidRPr="00AC0B45">
        <w:rPr>
          <w:rFonts w:ascii="Book Antiqua" w:hAnsi="Book Antiqua" w:cs="Arial"/>
          <w:b/>
          <w:bCs/>
          <w:lang w:val="es-ES"/>
        </w:rPr>
        <w:t xml:space="preserve"> </w:t>
      </w:r>
      <w:r w:rsidRPr="00AC0B45">
        <w:rPr>
          <w:rFonts w:ascii="Book Antiqua" w:hAnsi="Book Antiqua" w:cs="Arial"/>
          <w:lang w:val="es-ES"/>
        </w:rPr>
        <w:t xml:space="preserve">Proyecto de la Cámara </w:t>
      </w:r>
      <w:r w:rsidR="001F7182">
        <w:rPr>
          <w:rFonts w:ascii="Book Antiqua" w:hAnsi="Book Antiqua" w:cs="Arial"/>
          <w:lang w:val="es-ES"/>
        </w:rPr>
        <w:t>996</w:t>
      </w:r>
      <w:r w:rsidR="0087700A">
        <w:rPr>
          <w:rFonts w:ascii="Book Antiqua" w:hAnsi="Book Antiqua" w:cs="Arial"/>
          <w:lang w:val="es-ES"/>
        </w:rPr>
        <w:t xml:space="preserve">, tiene el honor de recomendar a este Alto Cuerpo su </w:t>
      </w:r>
      <w:r w:rsidR="00A927E0">
        <w:rPr>
          <w:rFonts w:ascii="Book Antiqua" w:hAnsi="Book Antiqua" w:cs="Arial"/>
          <w:lang w:val="es-ES"/>
        </w:rPr>
        <w:t xml:space="preserve">aprobación, </w:t>
      </w:r>
      <w:r w:rsidR="00A927E0" w:rsidRPr="009B3675">
        <w:rPr>
          <w:rFonts w:ascii="Book Antiqua" w:hAnsi="Book Antiqua" w:cs="Arial"/>
          <w:lang w:val="es-ES"/>
        </w:rPr>
        <w:t>con</w:t>
      </w:r>
      <w:r w:rsidR="009B3675" w:rsidRPr="009B3675">
        <w:rPr>
          <w:rFonts w:ascii="Book Antiqua" w:hAnsi="Book Antiqua" w:cs="Arial"/>
          <w:lang w:val="es-ES"/>
        </w:rPr>
        <w:t xml:space="preserve"> las enmiendas que se incluyen en el </w:t>
      </w:r>
      <w:proofErr w:type="spellStart"/>
      <w:r w:rsidR="009B3675" w:rsidRPr="009B3675">
        <w:rPr>
          <w:rFonts w:ascii="Book Antiqua" w:hAnsi="Book Antiqua" w:cs="Arial"/>
          <w:lang w:val="es-ES"/>
        </w:rPr>
        <w:t>entirillado</w:t>
      </w:r>
      <w:proofErr w:type="spellEnd"/>
      <w:r w:rsidR="009B3675" w:rsidRPr="009B3675">
        <w:rPr>
          <w:rFonts w:ascii="Book Antiqua" w:hAnsi="Book Antiqua" w:cs="Arial"/>
          <w:lang w:val="es-ES"/>
        </w:rPr>
        <w:t xml:space="preserve"> electrónico que acompaña este </w:t>
      </w:r>
      <w:r w:rsidR="005809AE">
        <w:rPr>
          <w:rFonts w:ascii="Book Antiqua" w:hAnsi="Book Antiqua" w:cs="Arial"/>
          <w:lang w:val="es-ES"/>
        </w:rPr>
        <w:t>i</w:t>
      </w:r>
      <w:r w:rsidR="009B3675" w:rsidRPr="009B3675">
        <w:rPr>
          <w:rFonts w:ascii="Book Antiqua" w:hAnsi="Book Antiqua" w:cs="Arial"/>
          <w:lang w:val="es-ES"/>
        </w:rPr>
        <w:t xml:space="preserve">nforme. </w:t>
      </w:r>
    </w:p>
    <w:p w14:paraId="0C8A8066" w14:textId="77777777" w:rsidR="00276C3E" w:rsidRDefault="00276C3E" w:rsidP="00864A55">
      <w:pPr>
        <w:rPr>
          <w:rFonts w:ascii="Book Antiqua" w:hAnsi="Book Antiqua"/>
          <w:b/>
          <w:i/>
          <w:smallCaps/>
          <w:szCs w:val="24"/>
          <w:lang w:val="es-ES_tradnl"/>
        </w:rPr>
      </w:pPr>
      <w:bookmarkStart w:id="0" w:name="_Hlk189811370"/>
    </w:p>
    <w:p w14:paraId="2458AB3E" w14:textId="5FAD0AF7" w:rsidR="00AC0B45" w:rsidRDefault="00AC0B45" w:rsidP="0087700A">
      <w:pPr>
        <w:jc w:val="center"/>
        <w:rPr>
          <w:rFonts w:ascii="Book Antiqua" w:hAnsi="Book Antiqua"/>
          <w:b/>
          <w:i/>
          <w:smallCaps/>
          <w:szCs w:val="24"/>
          <w:lang w:val="es-ES_tradnl"/>
        </w:rPr>
      </w:pPr>
      <w:r w:rsidRPr="00760D4D">
        <w:rPr>
          <w:rFonts w:ascii="Book Antiqua" w:hAnsi="Book Antiqua"/>
          <w:b/>
          <w:i/>
          <w:smallCaps/>
          <w:szCs w:val="24"/>
          <w:lang w:val="es-ES_tradnl"/>
        </w:rPr>
        <w:t>Alcance de la Medida</w:t>
      </w:r>
    </w:p>
    <w:bookmarkEnd w:id="0"/>
    <w:p w14:paraId="68D9994E" w14:textId="77777777" w:rsidR="00AC0B45" w:rsidRPr="00AC0B45" w:rsidRDefault="00AC0B45" w:rsidP="00864A55">
      <w:pPr>
        <w:rPr>
          <w:rFonts w:ascii="Book Antiqua" w:hAnsi="Book Antiqua" w:cs="Arial"/>
          <w:lang w:val="es-ES"/>
        </w:rPr>
      </w:pPr>
    </w:p>
    <w:p w14:paraId="345E029D" w14:textId="4AAAB7BA" w:rsidR="00182ED3" w:rsidRPr="007E3FE5" w:rsidRDefault="00AC0B45" w:rsidP="00A76B51">
      <w:pPr>
        <w:autoSpaceDE w:val="0"/>
        <w:autoSpaceDN w:val="0"/>
        <w:adjustRightInd w:val="0"/>
        <w:jc w:val="both"/>
        <w:rPr>
          <w:rFonts w:ascii="Book Antiqua" w:hAnsi="Book Antiqua"/>
          <w:snapToGrid w:val="0"/>
          <w:szCs w:val="24"/>
          <w:lang w:val="es-ES"/>
        </w:rPr>
      </w:pPr>
      <w:r w:rsidRPr="00AC0B45">
        <w:rPr>
          <w:rFonts w:ascii="Book Antiqua" w:hAnsi="Book Antiqua" w:cs="Arial"/>
          <w:lang w:val="es-ES"/>
        </w:rPr>
        <w:t xml:space="preserve">El Proyecto de la Cámara </w:t>
      </w:r>
      <w:r w:rsidR="001F7182">
        <w:rPr>
          <w:rFonts w:ascii="Book Antiqua" w:hAnsi="Book Antiqua" w:cs="Arial"/>
          <w:lang w:val="es-ES"/>
        </w:rPr>
        <w:t>996</w:t>
      </w:r>
      <w:r w:rsidR="00A927E0">
        <w:rPr>
          <w:rFonts w:ascii="Book Antiqua" w:hAnsi="Book Antiqua" w:cs="Arial"/>
          <w:lang w:val="es-ES"/>
        </w:rPr>
        <w:t>,</w:t>
      </w:r>
      <w:r w:rsidRPr="00AC0B45">
        <w:rPr>
          <w:rFonts w:ascii="Book Antiqua" w:hAnsi="Book Antiqua" w:cs="Arial"/>
          <w:lang w:val="es-ES"/>
        </w:rPr>
        <w:t xml:space="preserve"> </w:t>
      </w:r>
      <w:proofErr w:type="spellStart"/>
      <w:r w:rsidRPr="00AC0B45">
        <w:rPr>
          <w:rFonts w:ascii="Book Antiqua" w:hAnsi="Book Antiqua" w:cs="Arial"/>
          <w:lang w:val="es-ES"/>
        </w:rPr>
        <w:t>seg</w:t>
      </w:r>
      <w:proofErr w:type="spellEnd"/>
      <w:r>
        <w:rPr>
          <w:rFonts w:ascii="Book Antiqua" w:hAnsi="Book Antiqua"/>
          <w:szCs w:val="24"/>
          <w:lang w:val="es-ES_tradnl"/>
        </w:rPr>
        <w:t>ú</w:t>
      </w:r>
      <w:r w:rsidRPr="00AC0B45">
        <w:rPr>
          <w:rFonts w:ascii="Book Antiqua" w:hAnsi="Book Antiqua" w:cs="Arial"/>
          <w:lang w:val="es-ES"/>
        </w:rPr>
        <w:t xml:space="preserve">n </w:t>
      </w:r>
      <w:r w:rsidR="001F7182" w:rsidRPr="00AC0B45">
        <w:rPr>
          <w:rFonts w:ascii="Book Antiqua" w:hAnsi="Book Antiqua" w:cs="Arial"/>
          <w:lang w:val="es-ES"/>
        </w:rPr>
        <w:t>radicado,</w:t>
      </w:r>
      <w:r w:rsidR="001F7182">
        <w:rPr>
          <w:rFonts w:ascii="Book Antiqua" w:hAnsi="Book Antiqua" w:cs="Arial"/>
          <w:lang w:val="es-ES"/>
        </w:rPr>
        <w:t xml:space="preserve"> busca </w:t>
      </w:r>
      <w:r w:rsidR="001F7182" w:rsidRPr="001F7182">
        <w:rPr>
          <w:rFonts w:ascii="Book Antiqua" w:eastAsia="Times New Roman" w:hAnsi="Book Antiqua"/>
          <w:spacing w:val="-3"/>
          <w:szCs w:val="24"/>
          <w:lang w:val="es-ES_tradnl"/>
        </w:rPr>
        <w:t>enmendar</w:t>
      </w:r>
      <w:r w:rsidR="001F7182" w:rsidRPr="001F7182">
        <w:rPr>
          <w:rFonts w:ascii="Book Antiqua" w:eastAsia="Times New Roman" w:hAnsi="Book Antiqua"/>
          <w:spacing w:val="-3"/>
          <w:szCs w:val="24"/>
          <w:lang w:val="es-PR"/>
        </w:rPr>
        <w:t xml:space="preserve"> </w:t>
      </w:r>
      <w:bookmarkStart w:id="1" w:name="_Hlk216361524"/>
      <w:r w:rsidR="001F7182" w:rsidRPr="001F7182">
        <w:rPr>
          <w:rFonts w:ascii="Book Antiqua" w:eastAsia="Times New Roman" w:hAnsi="Book Antiqua"/>
          <w:spacing w:val="-3"/>
          <w:szCs w:val="24"/>
          <w:lang w:val="es-PR"/>
        </w:rPr>
        <w:t xml:space="preserve">el inciso h del </w:t>
      </w:r>
      <w:bookmarkStart w:id="2" w:name="_Hlk140437906"/>
      <w:r w:rsidR="001F7182" w:rsidRPr="001F7182">
        <w:rPr>
          <w:rFonts w:ascii="Book Antiqua" w:eastAsia="Times New Roman" w:hAnsi="Book Antiqua"/>
          <w:spacing w:val="-3"/>
          <w:szCs w:val="24"/>
          <w:lang w:val="es-PR"/>
        </w:rPr>
        <w:t xml:space="preserve">Artículo </w:t>
      </w:r>
      <w:r w:rsidR="001F7182" w:rsidRPr="001F7182">
        <w:rPr>
          <w:rFonts w:ascii="Book Antiqua" w:eastAsia="Times New Roman" w:hAnsi="Book Antiqua"/>
          <w:szCs w:val="24"/>
          <w:lang w:val="es-PR"/>
        </w:rPr>
        <w:t xml:space="preserve">1.008 </w:t>
      </w:r>
      <w:bookmarkEnd w:id="1"/>
      <w:r w:rsidR="001F7182" w:rsidRPr="001F7182">
        <w:rPr>
          <w:rFonts w:ascii="Book Antiqua" w:eastAsia="Times New Roman" w:hAnsi="Book Antiqua"/>
          <w:spacing w:val="-3"/>
          <w:szCs w:val="24"/>
          <w:lang w:val="es-PR"/>
        </w:rPr>
        <w:t>de la Ley</w:t>
      </w:r>
      <w:r w:rsidR="001F7182" w:rsidRPr="001F7182">
        <w:rPr>
          <w:rFonts w:ascii="Book Antiqua" w:eastAsia="Times New Roman" w:hAnsi="Book Antiqua"/>
          <w:bCs/>
          <w:spacing w:val="-3"/>
          <w:szCs w:val="24"/>
          <w:lang w:val="es-ES"/>
        </w:rPr>
        <w:t xml:space="preserve"> Núm. 107 de 13 de agosto de 2020</w:t>
      </w:r>
      <w:r w:rsidR="001F7182" w:rsidRPr="001F7182">
        <w:rPr>
          <w:rFonts w:ascii="Book Antiqua" w:eastAsia="Times New Roman" w:hAnsi="Book Antiqua"/>
          <w:spacing w:val="-3"/>
          <w:szCs w:val="24"/>
          <w:lang w:val="es-PR"/>
        </w:rPr>
        <w:t>, conocida como “Código Municipal de Puerto Rico”</w:t>
      </w:r>
      <w:bookmarkEnd w:id="2"/>
      <w:r w:rsidR="001F7182" w:rsidRPr="001F7182">
        <w:rPr>
          <w:rFonts w:ascii="Book Antiqua" w:eastAsia="Times New Roman" w:hAnsi="Book Antiqua"/>
          <w:spacing w:val="-3"/>
          <w:szCs w:val="24"/>
          <w:lang w:val="es-PR"/>
        </w:rPr>
        <w:t>, a los fines de aclarar que los bienes inmuebles pertenecientes al Departamento de la Vivienda no podrán ser declarados estorbo público ni ser expropiados por los municipio</w:t>
      </w:r>
      <w:r w:rsidR="001F7182">
        <w:rPr>
          <w:rFonts w:ascii="Book Antiqua" w:eastAsia="Times New Roman" w:hAnsi="Book Antiqua"/>
          <w:spacing w:val="-3"/>
          <w:szCs w:val="24"/>
          <w:lang w:val="es-PR"/>
        </w:rPr>
        <w:t>s</w:t>
      </w:r>
      <w:r w:rsidR="001F7182" w:rsidRPr="005809AE">
        <w:rPr>
          <w:rFonts w:ascii="Book Antiqua" w:eastAsia="Times New Roman" w:hAnsi="Book Antiqua"/>
          <w:spacing w:val="-3"/>
          <w:szCs w:val="24"/>
          <w:lang w:val="es-PR"/>
        </w:rPr>
        <w:t xml:space="preserve">; </w:t>
      </w:r>
      <w:r w:rsidR="001F7182" w:rsidRPr="001F7182">
        <w:rPr>
          <w:rFonts w:ascii="Book Antiqua" w:eastAsia="Times New Roman" w:hAnsi="Book Antiqua"/>
          <w:spacing w:val="-3"/>
          <w:szCs w:val="24"/>
          <w:lang w:val="es-PR"/>
        </w:rPr>
        <w:t>y para otros fines relacionados.</w:t>
      </w:r>
    </w:p>
    <w:p w14:paraId="3F6D663B" w14:textId="77777777" w:rsidR="00A76B51" w:rsidRDefault="00A76B51" w:rsidP="00A76B51">
      <w:pPr>
        <w:autoSpaceDE w:val="0"/>
        <w:autoSpaceDN w:val="0"/>
        <w:adjustRightInd w:val="0"/>
        <w:jc w:val="both"/>
        <w:rPr>
          <w:rFonts w:ascii="Book Antiqua" w:hAnsi="Book Antiqua" w:cs="Arial"/>
          <w:lang w:val="es-ES"/>
        </w:rPr>
      </w:pPr>
    </w:p>
    <w:p w14:paraId="5F41801C" w14:textId="208C2E82" w:rsidR="001F7182" w:rsidRPr="001F7182" w:rsidRDefault="00182ED3" w:rsidP="00864A55">
      <w:pPr>
        <w:pStyle w:val="NormalWeb"/>
        <w:spacing w:before="0" w:beforeAutospacing="0" w:after="0" w:afterAutospacing="0"/>
        <w:jc w:val="both"/>
        <w:rPr>
          <w:rFonts w:ascii="Book Antiqua" w:hAnsi="Book Antiqua"/>
          <w:lang w:val="es-ES"/>
        </w:rPr>
      </w:pPr>
      <w:r w:rsidRPr="000245A3">
        <w:rPr>
          <w:rFonts w:ascii="Book Antiqua" w:hAnsi="Book Antiqua" w:cs="Arial"/>
          <w:lang w:val="es-ES"/>
        </w:rPr>
        <w:t>Según establece la Exposición de Motivos</w:t>
      </w:r>
      <w:r w:rsidR="00A927E0">
        <w:rPr>
          <w:rFonts w:ascii="Book Antiqua" w:hAnsi="Book Antiqua" w:cs="Arial"/>
          <w:lang w:val="es-ES"/>
        </w:rPr>
        <w:t>,</w:t>
      </w:r>
      <w:r w:rsidRPr="000245A3">
        <w:rPr>
          <w:rFonts w:ascii="Book Antiqua" w:hAnsi="Book Antiqua" w:cs="Arial"/>
          <w:lang w:val="es-ES"/>
        </w:rPr>
        <w:t xml:space="preserve"> </w:t>
      </w:r>
      <w:r w:rsidR="003C7016">
        <w:rPr>
          <w:rFonts w:ascii="Book Antiqua" w:hAnsi="Book Antiqua"/>
          <w:lang w:val="es-ES"/>
        </w:rPr>
        <w:t>e</w:t>
      </w:r>
      <w:r w:rsidR="001F7182" w:rsidRPr="001F7182">
        <w:rPr>
          <w:rFonts w:ascii="Book Antiqua" w:hAnsi="Book Antiqua"/>
          <w:lang w:val="es-ES"/>
        </w:rPr>
        <w:t xml:space="preserve">l Departamento de la Vivienda del Gobierno de Puerto Rico administra miles de propiedades a través de diversos programas </w:t>
      </w:r>
      <w:proofErr w:type="gramStart"/>
      <w:r w:rsidR="001F7182" w:rsidRPr="001F7182">
        <w:rPr>
          <w:rFonts w:ascii="Book Antiqua" w:hAnsi="Book Antiqua"/>
          <w:lang w:val="es-ES"/>
        </w:rPr>
        <w:t>dirigidos  atender</w:t>
      </w:r>
      <w:proofErr w:type="gramEnd"/>
      <w:r w:rsidR="001F7182" w:rsidRPr="001F7182">
        <w:rPr>
          <w:rFonts w:ascii="Book Antiqua" w:hAnsi="Book Antiqua"/>
          <w:lang w:val="es-ES"/>
        </w:rPr>
        <w:t xml:space="preserve"> la </w:t>
      </w:r>
      <w:r w:rsidR="001F7182" w:rsidRPr="003C7016">
        <w:rPr>
          <w:rFonts w:ascii="Book Antiqua" w:hAnsi="Book Antiqua"/>
          <w:lang w:val="es-ES"/>
        </w:rPr>
        <w:t>necesidad d</w:t>
      </w:r>
      <w:r w:rsidR="001F7182" w:rsidRPr="001F7182">
        <w:rPr>
          <w:rFonts w:ascii="Book Antiqua" w:hAnsi="Book Antiqua"/>
          <w:lang w:val="es-ES"/>
        </w:rPr>
        <w:t xml:space="preserve">e vivienda, la rehabilitación de comunidades y </w:t>
      </w:r>
      <w:r w:rsidR="003C7016">
        <w:rPr>
          <w:rFonts w:ascii="Book Antiqua" w:hAnsi="Book Antiqua"/>
          <w:lang w:val="es-ES"/>
        </w:rPr>
        <w:t>el</w:t>
      </w:r>
      <w:r w:rsidR="001F7182" w:rsidRPr="003C7016">
        <w:rPr>
          <w:rFonts w:ascii="Book Antiqua" w:hAnsi="Book Antiqua"/>
          <w:i/>
          <w:iCs/>
          <w:lang w:val="es-ES"/>
        </w:rPr>
        <w:t xml:space="preserve"> </w:t>
      </w:r>
      <w:r w:rsidR="001F7182" w:rsidRPr="001F7182">
        <w:rPr>
          <w:rFonts w:ascii="Book Antiqua" w:hAnsi="Book Antiqua"/>
          <w:lang w:val="es-ES"/>
        </w:rPr>
        <w:t>desarrollo urbano. Estas propiedades cumplen un fin público esencial y forman parte de proyectos estratégicos que requieren planificación, financiamiento y cumplimiento estrictos con reglamentos federales y estatales. En consecuencia, es necesario garantizar que los municipios no interfieran inadvertidamente con estos programas mediante la declaración de dichas propiedades como estorbo público o mediante procesos de expropiación.</w:t>
      </w:r>
    </w:p>
    <w:p w14:paraId="6EDC96B9" w14:textId="77777777" w:rsidR="001F7182" w:rsidRPr="006C132B" w:rsidRDefault="001F7182" w:rsidP="001F7182">
      <w:pPr>
        <w:ind w:firstLine="720"/>
        <w:jc w:val="both"/>
        <w:rPr>
          <w:rFonts w:ascii="Book Antiqua" w:eastAsia="Times New Roman" w:hAnsi="Book Antiqua"/>
          <w:szCs w:val="24"/>
          <w:lang w:val="es-ES"/>
        </w:rPr>
      </w:pPr>
    </w:p>
    <w:p w14:paraId="1F8F2E45" w14:textId="444A90F0" w:rsidR="001F7182" w:rsidRPr="001F7182" w:rsidRDefault="001F7182" w:rsidP="00864A55">
      <w:pPr>
        <w:jc w:val="both"/>
        <w:rPr>
          <w:rFonts w:ascii="Book Antiqua" w:eastAsia="Times New Roman" w:hAnsi="Book Antiqua"/>
          <w:szCs w:val="24"/>
          <w:lang w:val="es-ES"/>
        </w:rPr>
      </w:pPr>
      <w:r w:rsidRPr="001F7182">
        <w:rPr>
          <w:rFonts w:ascii="Book Antiqua" w:eastAsia="Times New Roman" w:hAnsi="Book Antiqua"/>
          <w:szCs w:val="24"/>
          <w:lang w:val="es-ES"/>
        </w:rPr>
        <w:t xml:space="preserve">Si bien el Código Municipal de Puerto Rico faculta a los </w:t>
      </w:r>
      <w:r w:rsidR="005809AE" w:rsidRPr="001F7182">
        <w:rPr>
          <w:rFonts w:ascii="Book Antiqua" w:eastAsia="Times New Roman" w:hAnsi="Book Antiqua"/>
          <w:szCs w:val="24"/>
          <w:lang w:val="es-ES"/>
        </w:rPr>
        <w:t>municipios para</w:t>
      </w:r>
      <w:r w:rsidR="005809AE" w:rsidRPr="005809AE">
        <w:rPr>
          <w:rFonts w:ascii="Book Antiqua" w:eastAsia="Times New Roman" w:hAnsi="Book Antiqua"/>
          <w:i/>
          <w:iCs/>
          <w:szCs w:val="24"/>
          <w:lang w:val="es-ES"/>
        </w:rPr>
        <w:t xml:space="preserve"> </w:t>
      </w:r>
      <w:r w:rsidRPr="005809AE">
        <w:rPr>
          <w:rFonts w:ascii="Book Antiqua" w:eastAsia="Times New Roman" w:hAnsi="Book Antiqua"/>
          <w:szCs w:val="24"/>
          <w:lang w:val="es-ES"/>
        </w:rPr>
        <w:t>identificar</w:t>
      </w:r>
      <w:r w:rsidRPr="001F7182">
        <w:rPr>
          <w:rFonts w:ascii="Book Antiqua" w:eastAsia="Times New Roman" w:hAnsi="Book Antiqua"/>
          <w:szCs w:val="24"/>
          <w:lang w:val="es-ES"/>
        </w:rPr>
        <w:t xml:space="preserve"> y atender propiedades en estado de abandono, esa facultad no puede ejercerse sobre bienes </w:t>
      </w:r>
      <w:r w:rsidRPr="001F7182">
        <w:rPr>
          <w:rFonts w:ascii="Book Antiqua" w:eastAsia="Times New Roman" w:hAnsi="Book Antiqua"/>
          <w:szCs w:val="24"/>
          <w:lang w:val="es-ES"/>
        </w:rPr>
        <w:lastRenderedPageBreak/>
        <w:t>inmuebles cuyo titular es el Departamento de la Vivienda, ya que ello podría contravenir obligaciones federales, afectar inversiones de fondos públicos y comprometer iniciativas gubernamentales dirigidas al desarrollo social y comunitario. La política pública requiere proteger estas propiedades para asegurar su disponibilidad en proyectos de vivienda, revitalización urbana, mitigación de desastres y otros propósitos públicos prioritarios.</w:t>
      </w:r>
    </w:p>
    <w:p w14:paraId="7756AA82" w14:textId="178A61CF" w:rsidR="007E3FE5" w:rsidRPr="008A1DDA" w:rsidRDefault="007E3FE5" w:rsidP="008A1DDA">
      <w:pPr>
        <w:jc w:val="both"/>
        <w:rPr>
          <w:rFonts w:ascii="Book Antiqua" w:hAnsi="Book Antiqua"/>
          <w:b/>
          <w:i/>
          <w:smallCaps/>
          <w:szCs w:val="24"/>
          <w:lang w:val="es-PR"/>
        </w:rPr>
      </w:pPr>
    </w:p>
    <w:p w14:paraId="55A1479C" w14:textId="2571CF9E" w:rsidR="002169FB" w:rsidRDefault="004D7CDB" w:rsidP="0001317F">
      <w:pPr>
        <w:jc w:val="center"/>
        <w:rPr>
          <w:rFonts w:ascii="Book Antiqua" w:hAnsi="Book Antiqua"/>
          <w:b/>
          <w:i/>
          <w:smallCaps/>
          <w:szCs w:val="24"/>
          <w:lang w:val="es-ES_tradnl"/>
        </w:rPr>
      </w:pPr>
      <w:r>
        <w:rPr>
          <w:rFonts w:ascii="Book Antiqua" w:hAnsi="Book Antiqua"/>
          <w:b/>
          <w:i/>
          <w:smallCaps/>
          <w:szCs w:val="24"/>
          <w:lang w:val="es-ES_tradnl"/>
        </w:rPr>
        <w:t>Resumen de Memoriales</w:t>
      </w:r>
      <w:r w:rsidR="009E093A">
        <w:rPr>
          <w:rFonts w:ascii="Book Antiqua" w:hAnsi="Book Antiqua"/>
          <w:b/>
          <w:i/>
          <w:smallCaps/>
          <w:szCs w:val="24"/>
          <w:lang w:val="es-ES_tradnl"/>
        </w:rPr>
        <w:t xml:space="preserve"> y Trámite Legislativo</w:t>
      </w:r>
    </w:p>
    <w:p w14:paraId="61021842" w14:textId="7F36268F" w:rsidR="00121062" w:rsidRPr="00A927E0" w:rsidRDefault="005616B3" w:rsidP="00A927E0">
      <w:pPr>
        <w:spacing w:before="100" w:beforeAutospacing="1" w:after="100" w:afterAutospacing="1"/>
        <w:jc w:val="both"/>
        <w:rPr>
          <w:rFonts w:ascii="Book Antiqua" w:hAnsi="Book Antiqua"/>
          <w:lang w:val="es-ES"/>
        </w:rPr>
      </w:pPr>
      <w:r w:rsidRPr="00DB2C23">
        <w:rPr>
          <w:rFonts w:ascii="Book Antiqua" w:hAnsi="Book Antiqua"/>
          <w:bCs/>
          <w:iCs/>
          <w:szCs w:val="24"/>
          <w:lang w:val="es-ES"/>
        </w:rPr>
        <w:t xml:space="preserve">Durante la discusión y </w:t>
      </w:r>
      <w:r w:rsidR="00D400B4" w:rsidRPr="00DB2C23">
        <w:rPr>
          <w:rFonts w:ascii="Book Antiqua" w:hAnsi="Book Antiqua"/>
          <w:bCs/>
          <w:iCs/>
          <w:szCs w:val="24"/>
          <w:lang w:val="es-ES"/>
        </w:rPr>
        <w:t>análisis</w:t>
      </w:r>
      <w:r w:rsidRPr="00DB2C23">
        <w:rPr>
          <w:rFonts w:ascii="Book Antiqua" w:hAnsi="Book Antiqua"/>
          <w:bCs/>
          <w:iCs/>
          <w:szCs w:val="24"/>
          <w:lang w:val="es-ES"/>
        </w:rPr>
        <w:t xml:space="preserve"> legislativo de la </w:t>
      </w:r>
      <w:r w:rsidR="009E093A" w:rsidRPr="00DB2C23">
        <w:rPr>
          <w:rFonts w:ascii="Book Antiqua" w:hAnsi="Book Antiqua"/>
          <w:bCs/>
          <w:iCs/>
          <w:szCs w:val="24"/>
          <w:lang w:val="es-ES"/>
        </w:rPr>
        <w:t>p</w:t>
      </w:r>
      <w:r w:rsidRPr="00DB2C23">
        <w:rPr>
          <w:rFonts w:ascii="Book Antiqua" w:hAnsi="Book Antiqua"/>
          <w:bCs/>
          <w:iCs/>
          <w:szCs w:val="24"/>
          <w:lang w:val="es-ES"/>
        </w:rPr>
        <w:t xml:space="preserve">resente </w:t>
      </w:r>
      <w:r w:rsidR="009E093A" w:rsidRPr="00DB2C23">
        <w:rPr>
          <w:rFonts w:ascii="Book Antiqua" w:hAnsi="Book Antiqua"/>
          <w:bCs/>
          <w:iCs/>
          <w:szCs w:val="24"/>
          <w:lang w:val="es-ES"/>
        </w:rPr>
        <w:t xml:space="preserve">medida, </w:t>
      </w:r>
      <w:bookmarkStart w:id="3" w:name="_Hlk195509733"/>
      <w:r w:rsidR="00DB2C23" w:rsidRPr="00DB2C23">
        <w:rPr>
          <w:rFonts w:ascii="Book Antiqua" w:hAnsi="Book Antiqua"/>
          <w:bCs/>
          <w:iCs/>
          <w:szCs w:val="24"/>
          <w:lang w:val="es-ES"/>
        </w:rPr>
        <w:t xml:space="preserve">se </w:t>
      </w:r>
      <w:r w:rsidR="00121062" w:rsidRPr="00DB2C23">
        <w:rPr>
          <w:rFonts w:ascii="Book Antiqua" w:hAnsi="Book Antiqua"/>
          <w:bCs/>
          <w:iCs/>
          <w:szCs w:val="24"/>
          <w:lang w:val="es-ES"/>
        </w:rPr>
        <w:t>realizó</w:t>
      </w:r>
      <w:r w:rsidR="00DB2C23" w:rsidRPr="00DB2C23">
        <w:rPr>
          <w:rFonts w:ascii="Book Antiqua" w:hAnsi="Book Antiqua"/>
          <w:bCs/>
          <w:iCs/>
          <w:szCs w:val="24"/>
          <w:lang w:val="es-ES"/>
        </w:rPr>
        <w:t xml:space="preserve"> </w:t>
      </w:r>
      <w:r w:rsidR="00A927E0">
        <w:rPr>
          <w:rFonts w:ascii="Book Antiqua" w:hAnsi="Book Antiqua"/>
          <w:bCs/>
          <w:iCs/>
          <w:szCs w:val="24"/>
          <w:lang w:val="es-ES"/>
        </w:rPr>
        <w:t>una</w:t>
      </w:r>
      <w:r w:rsidR="00DB2C23" w:rsidRPr="00DB2C23">
        <w:rPr>
          <w:rFonts w:ascii="Book Antiqua" w:hAnsi="Book Antiqua"/>
          <w:bCs/>
          <w:iCs/>
          <w:szCs w:val="24"/>
          <w:lang w:val="es-ES"/>
        </w:rPr>
        <w:t xml:space="preserve"> </w:t>
      </w:r>
      <w:r w:rsidR="003C7016">
        <w:rPr>
          <w:rFonts w:ascii="Book Antiqua" w:hAnsi="Book Antiqua"/>
          <w:bCs/>
          <w:iCs/>
          <w:szCs w:val="24"/>
          <w:lang w:val="es-ES"/>
        </w:rPr>
        <w:t>v</w:t>
      </w:r>
      <w:r w:rsidR="00DB2C23" w:rsidRPr="00DB2C23">
        <w:rPr>
          <w:rFonts w:ascii="Book Antiqua" w:hAnsi="Book Antiqua"/>
          <w:bCs/>
          <w:iCs/>
          <w:szCs w:val="24"/>
          <w:lang w:val="es-ES"/>
        </w:rPr>
        <w:t xml:space="preserve">ista </w:t>
      </w:r>
      <w:r w:rsidR="003C7016">
        <w:rPr>
          <w:rFonts w:ascii="Book Antiqua" w:hAnsi="Book Antiqua"/>
          <w:bCs/>
          <w:iCs/>
          <w:szCs w:val="24"/>
          <w:lang w:val="es-ES"/>
        </w:rPr>
        <w:t>p</w:t>
      </w:r>
      <w:r w:rsidR="00A927E0" w:rsidRPr="00DB2C23">
        <w:rPr>
          <w:rFonts w:ascii="Book Antiqua" w:hAnsi="Book Antiqua"/>
          <w:bCs/>
          <w:iCs/>
          <w:szCs w:val="24"/>
          <w:lang w:val="es-ES"/>
        </w:rPr>
        <w:t>ública</w:t>
      </w:r>
      <w:r w:rsidR="00DB2C23" w:rsidRPr="00DB2C23">
        <w:rPr>
          <w:rFonts w:ascii="Book Antiqua" w:hAnsi="Book Antiqua"/>
          <w:bCs/>
          <w:iCs/>
          <w:szCs w:val="24"/>
          <w:lang w:val="es-ES"/>
        </w:rPr>
        <w:t xml:space="preserve"> el martes 1</w:t>
      </w:r>
      <w:r w:rsidR="001F7182">
        <w:rPr>
          <w:rFonts w:ascii="Book Antiqua" w:hAnsi="Book Antiqua"/>
          <w:bCs/>
          <w:iCs/>
          <w:szCs w:val="24"/>
          <w:lang w:val="es-ES"/>
        </w:rPr>
        <w:t>8</w:t>
      </w:r>
      <w:r w:rsidR="00DB2C23" w:rsidRPr="00DB2C23">
        <w:rPr>
          <w:rFonts w:ascii="Book Antiqua" w:hAnsi="Book Antiqua"/>
          <w:bCs/>
          <w:iCs/>
          <w:szCs w:val="24"/>
          <w:lang w:val="es-ES"/>
        </w:rPr>
        <w:t xml:space="preserve"> de </w:t>
      </w:r>
      <w:r w:rsidR="008A1DDA">
        <w:rPr>
          <w:rFonts w:ascii="Book Antiqua" w:hAnsi="Book Antiqua"/>
          <w:bCs/>
          <w:iCs/>
          <w:szCs w:val="24"/>
          <w:lang w:val="es-ES"/>
        </w:rPr>
        <w:t>febrero</w:t>
      </w:r>
      <w:r w:rsidR="00DB2C23" w:rsidRPr="00DB2C23">
        <w:rPr>
          <w:rFonts w:ascii="Book Antiqua" w:hAnsi="Book Antiqua"/>
          <w:bCs/>
          <w:iCs/>
          <w:szCs w:val="24"/>
          <w:lang w:val="es-ES"/>
        </w:rPr>
        <w:t xml:space="preserve"> de 2026, en el </w:t>
      </w:r>
      <w:r w:rsidR="005809AE">
        <w:rPr>
          <w:rFonts w:ascii="Book Antiqua" w:hAnsi="Book Antiqua"/>
          <w:bCs/>
          <w:iCs/>
          <w:szCs w:val="24"/>
          <w:lang w:val="es-ES"/>
        </w:rPr>
        <w:t>S</w:t>
      </w:r>
      <w:r w:rsidR="00DB2C23" w:rsidRPr="00DB2C23">
        <w:rPr>
          <w:rFonts w:ascii="Book Antiqua" w:hAnsi="Book Antiqua"/>
          <w:bCs/>
          <w:iCs/>
          <w:szCs w:val="24"/>
          <w:lang w:val="es-ES"/>
        </w:rPr>
        <w:t>alón</w:t>
      </w:r>
      <w:r w:rsidR="005809AE">
        <w:rPr>
          <w:rFonts w:ascii="Book Antiqua" w:hAnsi="Book Antiqua"/>
          <w:bCs/>
          <w:iCs/>
          <w:szCs w:val="24"/>
          <w:lang w:val="es-ES"/>
        </w:rPr>
        <w:t xml:space="preserve"> de</w:t>
      </w:r>
      <w:r w:rsidR="00DB2C23" w:rsidRPr="00DB2C23">
        <w:rPr>
          <w:rFonts w:ascii="Book Antiqua" w:hAnsi="Book Antiqua"/>
          <w:bCs/>
          <w:iCs/>
          <w:szCs w:val="24"/>
          <w:lang w:val="es-ES"/>
        </w:rPr>
        <w:t xml:space="preserve"> Audiencias </w:t>
      </w:r>
      <w:r w:rsidR="008A1DDA">
        <w:rPr>
          <w:rFonts w:ascii="Book Antiqua" w:hAnsi="Book Antiqua"/>
          <w:bCs/>
          <w:iCs/>
          <w:szCs w:val="24"/>
          <w:lang w:val="es-ES"/>
        </w:rPr>
        <w:t>2</w:t>
      </w:r>
      <w:r w:rsidR="00DB2C23" w:rsidRPr="00DB2C23">
        <w:rPr>
          <w:rFonts w:ascii="Book Antiqua" w:hAnsi="Book Antiqua"/>
          <w:bCs/>
          <w:iCs/>
          <w:szCs w:val="24"/>
          <w:lang w:val="es-ES"/>
        </w:rPr>
        <w:t>, a las 10:00am</w:t>
      </w:r>
      <w:bookmarkStart w:id="4" w:name="_Hlk199336735"/>
      <w:bookmarkEnd w:id="3"/>
      <w:r w:rsidR="008A1DDA">
        <w:rPr>
          <w:rFonts w:ascii="Book Antiqua" w:hAnsi="Book Antiqua"/>
          <w:bCs/>
          <w:iCs/>
          <w:szCs w:val="24"/>
          <w:lang w:val="es-ES"/>
        </w:rPr>
        <w:t xml:space="preserve">. </w:t>
      </w:r>
      <w:r w:rsidR="00A927E0">
        <w:rPr>
          <w:rFonts w:ascii="Book Antiqua" w:hAnsi="Book Antiqua"/>
          <w:bCs/>
          <w:iCs/>
          <w:szCs w:val="24"/>
          <w:lang w:val="es-ES"/>
        </w:rPr>
        <w:t xml:space="preserve">En dicha </w:t>
      </w:r>
      <w:r w:rsidR="003C7016">
        <w:rPr>
          <w:rFonts w:ascii="Book Antiqua" w:hAnsi="Book Antiqua"/>
          <w:bCs/>
          <w:iCs/>
          <w:szCs w:val="24"/>
          <w:lang w:val="es-ES"/>
        </w:rPr>
        <w:t>v</w:t>
      </w:r>
      <w:r w:rsidR="00A927E0">
        <w:rPr>
          <w:rFonts w:ascii="Book Antiqua" w:hAnsi="Book Antiqua"/>
          <w:bCs/>
          <w:iCs/>
          <w:szCs w:val="24"/>
          <w:lang w:val="es-ES"/>
        </w:rPr>
        <w:t xml:space="preserve">ista comparecieron las siguientes agencias: </w:t>
      </w:r>
    </w:p>
    <w:p w14:paraId="657F976E" w14:textId="77777777" w:rsidR="00A927E0" w:rsidRDefault="00A927E0" w:rsidP="00A927E0">
      <w:pPr>
        <w:pStyle w:val="ListParagraph"/>
        <w:numPr>
          <w:ilvl w:val="0"/>
          <w:numId w:val="13"/>
        </w:numPr>
        <w:spacing w:before="100" w:beforeAutospacing="1" w:after="100" w:afterAutospacing="1"/>
        <w:rPr>
          <w:rFonts w:ascii="Book Antiqua" w:hAnsi="Book Antiqua"/>
          <w:b/>
          <w:bCs/>
          <w:i/>
          <w:iCs/>
        </w:rPr>
      </w:pPr>
      <w:r w:rsidRPr="00DB2C23">
        <w:rPr>
          <w:rFonts w:ascii="Book Antiqua" w:hAnsi="Book Antiqua"/>
          <w:b/>
          <w:bCs/>
          <w:i/>
          <w:iCs/>
        </w:rPr>
        <w:t>Departamento de</w:t>
      </w:r>
      <w:r>
        <w:rPr>
          <w:rFonts w:ascii="Book Antiqua" w:hAnsi="Book Antiqua"/>
          <w:b/>
          <w:bCs/>
          <w:i/>
          <w:iCs/>
        </w:rPr>
        <w:t xml:space="preserve"> Justicia (DJ)</w:t>
      </w:r>
    </w:p>
    <w:p w14:paraId="585C9A11" w14:textId="490428C1" w:rsidR="001F7182" w:rsidRDefault="001F7182" w:rsidP="00A927E0">
      <w:pPr>
        <w:pStyle w:val="ListParagraph"/>
        <w:numPr>
          <w:ilvl w:val="0"/>
          <w:numId w:val="13"/>
        </w:numPr>
        <w:spacing w:before="100" w:beforeAutospacing="1" w:after="100" w:afterAutospacing="1"/>
        <w:rPr>
          <w:rFonts w:ascii="Book Antiqua" w:hAnsi="Book Antiqua"/>
          <w:b/>
          <w:bCs/>
          <w:i/>
          <w:iCs/>
        </w:rPr>
      </w:pPr>
      <w:r>
        <w:rPr>
          <w:rFonts w:ascii="Book Antiqua" w:hAnsi="Book Antiqua"/>
          <w:b/>
          <w:bCs/>
          <w:i/>
          <w:iCs/>
        </w:rPr>
        <w:t>Departamento de la Vivienda</w:t>
      </w:r>
      <w:r w:rsidR="009E07AA">
        <w:rPr>
          <w:rFonts w:ascii="Book Antiqua" w:hAnsi="Book Antiqua"/>
          <w:b/>
          <w:bCs/>
          <w:i/>
          <w:iCs/>
        </w:rPr>
        <w:t xml:space="preserve"> (DV)</w:t>
      </w:r>
    </w:p>
    <w:p w14:paraId="457A5188" w14:textId="1C016548" w:rsidR="00A927E0" w:rsidRDefault="001F7182" w:rsidP="00121062">
      <w:pPr>
        <w:pStyle w:val="ListParagraph"/>
        <w:numPr>
          <w:ilvl w:val="0"/>
          <w:numId w:val="13"/>
        </w:numPr>
        <w:spacing w:before="100" w:beforeAutospacing="1" w:after="100" w:afterAutospacing="1"/>
        <w:rPr>
          <w:rFonts w:ascii="Book Antiqua" w:hAnsi="Book Antiqua"/>
          <w:b/>
          <w:bCs/>
          <w:i/>
          <w:iCs/>
        </w:rPr>
      </w:pPr>
      <w:r>
        <w:rPr>
          <w:rFonts w:ascii="Book Antiqua" w:hAnsi="Book Antiqua"/>
          <w:b/>
          <w:bCs/>
          <w:i/>
          <w:iCs/>
        </w:rPr>
        <w:t xml:space="preserve">Asociación </w:t>
      </w:r>
      <w:r w:rsidR="00A927E0">
        <w:rPr>
          <w:rFonts w:ascii="Book Antiqua" w:hAnsi="Book Antiqua"/>
          <w:b/>
          <w:bCs/>
          <w:i/>
          <w:iCs/>
        </w:rPr>
        <w:t xml:space="preserve">de </w:t>
      </w:r>
      <w:proofErr w:type="gramStart"/>
      <w:r w:rsidR="00A927E0">
        <w:rPr>
          <w:rFonts w:ascii="Book Antiqua" w:hAnsi="Book Antiqua"/>
          <w:b/>
          <w:bCs/>
          <w:i/>
          <w:iCs/>
        </w:rPr>
        <w:t>Alcaldes</w:t>
      </w:r>
      <w:proofErr w:type="gramEnd"/>
      <w:r w:rsidR="009E07AA">
        <w:rPr>
          <w:rFonts w:ascii="Book Antiqua" w:hAnsi="Book Antiqua"/>
          <w:b/>
          <w:bCs/>
          <w:i/>
          <w:iCs/>
        </w:rPr>
        <w:t xml:space="preserve"> de Puerto Rico (AAPR)</w:t>
      </w:r>
    </w:p>
    <w:p w14:paraId="10234D00" w14:textId="19C90096" w:rsidR="0097681C" w:rsidRPr="0097681C" w:rsidRDefault="001F7182" w:rsidP="0097681C">
      <w:pPr>
        <w:pStyle w:val="NormalWeb"/>
        <w:jc w:val="both"/>
        <w:rPr>
          <w:rFonts w:ascii="Book Antiqua" w:hAnsi="Book Antiqua"/>
          <w:lang w:val="es-DO"/>
        </w:rPr>
      </w:pPr>
      <w:r w:rsidRPr="0097681C">
        <w:rPr>
          <w:rFonts w:ascii="Book Antiqua" w:hAnsi="Book Antiqua"/>
          <w:lang w:val="es-DO"/>
        </w:rPr>
        <w:t xml:space="preserve">El </w:t>
      </w:r>
      <w:r w:rsidRPr="0097681C">
        <w:rPr>
          <w:rFonts w:ascii="Book Antiqua" w:hAnsi="Book Antiqua"/>
          <w:b/>
          <w:bCs/>
          <w:i/>
          <w:iCs/>
          <w:lang w:val="es-DO"/>
        </w:rPr>
        <w:t xml:space="preserve">Departamento de Justicia (DJ), </w:t>
      </w:r>
      <w:r w:rsidRPr="0097681C">
        <w:rPr>
          <w:rFonts w:ascii="Book Antiqua" w:hAnsi="Book Antiqua"/>
          <w:lang w:val="es-DO"/>
        </w:rPr>
        <w:t xml:space="preserve">fue representado por el </w:t>
      </w:r>
      <w:r w:rsidR="003C7016">
        <w:rPr>
          <w:rFonts w:ascii="Book Antiqua" w:hAnsi="Book Antiqua"/>
          <w:lang w:val="es-DO"/>
        </w:rPr>
        <w:t>l</w:t>
      </w:r>
      <w:r w:rsidRPr="0097681C">
        <w:rPr>
          <w:rFonts w:ascii="Book Antiqua" w:hAnsi="Book Antiqua"/>
          <w:lang w:val="es-DO"/>
        </w:rPr>
        <w:t xml:space="preserve">icenciado Gerardo Rodríguez Ortiz, mencionando que, </w:t>
      </w:r>
      <w:r w:rsidR="0097681C" w:rsidRPr="0097681C">
        <w:rPr>
          <w:rFonts w:ascii="Book Antiqua" w:hAnsi="Book Antiqua"/>
          <w:lang w:val="es-DO"/>
        </w:rPr>
        <w:t>comenzó por reconocer que la Asamblea Legislativa de Puerto Rico goza de amplia discreción y facultad para promulgar legislación dirigida a promover y proteger el bienestar del pueblo, amparada en los plenos poderes conferidos por la Constitución del Estado Libre Asociado de Puerto Rico. En ese marco constitucional, la Legislatura ostenta el poder de formular la política pública conforme a la discreción que le reconoce el sistema republicano de gobierno, en respuesta a los cambios sociales y a las necesidades imperantes.</w:t>
      </w:r>
    </w:p>
    <w:p w14:paraId="7BACC4D9" w14:textId="1301460A" w:rsidR="0097681C" w:rsidRPr="0097681C" w:rsidRDefault="0097681C" w:rsidP="0097681C">
      <w:pPr>
        <w:spacing w:before="100" w:beforeAutospacing="1" w:after="100" w:afterAutospacing="1"/>
        <w:jc w:val="both"/>
        <w:rPr>
          <w:rFonts w:ascii="Book Antiqua" w:eastAsia="Times New Roman" w:hAnsi="Book Antiqua"/>
          <w:szCs w:val="24"/>
          <w:lang w:val="es-DO"/>
        </w:rPr>
      </w:pPr>
      <w:r w:rsidRPr="0097681C">
        <w:rPr>
          <w:rFonts w:ascii="Book Antiqua" w:eastAsia="Times New Roman" w:hAnsi="Book Antiqua"/>
          <w:szCs w:val="24"/>
          <w:lang w:val="es-DO"/>
        </w:rPr>
        <w:t xml:space="preserve">Asimismo, el Departamento </w:t>
      </w:r>
      <w:r w:rsidR="003C7016">
        <w:rPr>
          <w:rFonts w:ascii="Book Antiqua" w:eastAsia="Times New Roman" w:hAnsi="Book Antiqua"/>
          <w:szCs w:val="24"/>
          <w:lang w:val="es-DO"/>
        </w:rPr>
        <w:t xml:space="preserve">mencionó </w:t>
      </w:r>
      <w:r w:rsidRPr="0097681C">
        <w:rPr>
          <w:rFonts w:ascii="Book Antiqua" w:eastAsia="Times New Roman" w:hAnsi="Book Antiqua"/>
          <w:szCs w:val="24"/>
          <w:lang w:val="es-DO"/>
        </w:rPr>
        <w:t>que su Ley Orgánica, Ley Núm. 205-2004, le confiere la facultad de asesorar a la Asamblea Legislativa y a sus comisiones en la consideración y trámite de proyectos de ley, circunscribiendo su análisis a cuestiones estrictamente jurídicas. El Departamento de Justicia examinó las disposiciones pertinentes relativas al Departamento de la Vivienda y al Código Municipal de Puerto Rico.</w:t>
      </w:r>
    </w:p>
    <w:p w14:paraId="2E08A601" w14:textId="4389136C" w:rsidR="0097681C" w:rsidRPr="0097681C" w:rsidRDefault="003C7016" w:rsidP="0097681C">
      <w:pPr>
        <w:spacing w:before="100" w:beforeAutospacing="1" w:after="100" w:afterAutospacing="1"/>
        <w:jc w:val="both"/>
        <w:rPr>
          <w:rFonts w:ascii="Book Antiqua" w:eastAsia="Times New Roman" w:hAnsi="Book Antiqua"/>
          <w:szCs w:val="24"/>
          <w:lang w:val="es-DO"/>
        </w:rPr>
      </w:pPr>
      <w:r>
        <w:rPr>
          <w:rFonts w:ascii="Book Antiqua" w:eastAsia="Times New Roman" w:hAnsi="Book Antiqua"/>
          <w:szCs w:val="24"/>
          <w:lang w:val="es-DO"/>
        </w:rPr>
        <w:t xml:space="preserve">Durante su ponencia, el </w:t>
      </w:r>
      <w:r w:rsidR="005809AE">
        <w:rPr>
          <w:rFonts w:ascii="Book Antiqua" w:eastAsia="Times New Roman" w:hAnsi="Book Antiqua"/>
          <w:szCs w:val="24"/>
          <w:lang w:val="es-DO"/>
        </w:rPr>
        <w:t>DJ</w:t>
      </w:r>
      <w:r w:rsidR="0097681C" w:rsidRPr="0097681C">
        <w:rPr>
          <w:rFonts w:ascii="Book Antiqua" w:eastAsia="Times New Roman" w:hAnsi="Book Antiqua"/>
          <w:szCs w:val="24"/>
          <w:lang w:val="es-DO"/>
        </w:rPr>
        <w:t xml:space="preserve"> destacó que el Departamento de la Vivienda constituye el organismo administrativo responsable de formular e implementar la política pública en materia de vivienda pública y desarrollo comunal en Puerto Rico. Su ley orgánica le confiere amplias facultades para adquirir propiedad inmueble por cualquier medio legal, incluyendo expropiación forzosa, compra, donación, permuta o cualquier otro medio disponible en derecho; así como para retener, conservar, utilizar, vender, arrendar o transferir dichos bienes para la promoción de la política pública de vivienda, desarrollo comunal y proyectos de renovación urbana.</w:t>
      </w:r>
    </w:p>
    <w:p w14:paraId="1CD540DE" w14:textId="77777777" w:rsidR="0097681C" w:rsidRPr="0097681C" w:rsidRDefault="0097681C" w:rsidP="0097681C">
      <w:pPr>
        <w:spacing w:before="100" w:beforeAutospacing="1" w:after="100" w:afterAutospacing="1"/>
        <w:jc w:val="both"/>
        <w:rPr>
          <w:rFonts w:ascii="Book Antiqua" w:eastAsia="Times New Roman" w:hAnsi="Book Antiqua"/>
          <w:szCs w:val="24"/>
          <w:lang w:val="es-DO"/>
        </w:rPr>
      </w:pPr>
      <w:r w:rsidRPr="0097681C">
        <w:rPr>
          <w:rFonts w:ascii="Book Antiqua" w:eastAsia="Times New Roman" w:hAnsi="Book Antiqua"/>
          <w:szCs w:val="24"/>
          <w:lang w:val="es-DO"/>
        </w:rPr>
        <w:t xml:space="preserve">Se enfatizó que la ley orgánica declara dicha propiedad inmueble de utilidad pública y autoriza su expropiación directa por el Departamento sin necesidad de declaración </w:t>
      </w:r>
      <w:r w:rsidRPr="0097681C">
        <w:rPr>
          <w:rFonts w:ascii="Book Antiqua" w:eastAsia="Times New Roman" w:hAnsi="Book Antiqua"/>
          <w:szCs w:val="24"/>
          <w:lang w:val="es-DO"/>
        </w:rPr>
        <w:lastRenderedPageBreak/>
        <w:t>previa de utilidad pública, estableciendo además un procedimiento específico ante la Junta de Planificación para garantizar la conformidad con el Plan de Desarrollo Integral, el Programa de Inversiones de Cuatro Años y los Planes de Uso de Terrenos.</w:t>
      </w:r>
    </w:p>
    <w:p w14:paraId="3C264995" w14:textId="2C9E434C" w:rsidR="0097681C" w:rsidRPr="0097681C" w:rsidRDefault="0097681C" w:rsidP="0097681C">
      <w:pPr>
        <w:spacing w:before="100" w:beforeAutospacing="1" w:after="100" w:afterAutospacing="1"/>
        <w:jc w:val="both"/>
        <w:rPr>
          <w:rFonts w:ascii="Book Antiqua" w:eastAsia="Times New Roman" w:hAnsi="Book Antiqua"/>
          <w:szCs w:val="24"/>
          <w:lang w:val="es-DO"/>
        </w:rPr>
      </w:pPr>
      <w:r w:rsidRPr="0097681C">
        <w:rPr>
          <w:rFonts w:ascii="Book Antiqua" w:eastAsia="Times New Roman" w:hAnsi="Book Antiqua"/>
          <w:szCs w:val="24"/>
          <w:lang w:val="es-DO"/>
        </w:rPr>
        <w:t xml:space="preserve">Por otra parte, se examinó el marco constitucional que regula a los municipios. El </w:t>
      </w:r>
      <w:r w:rsidR="005809AE">
        <w:rPr>
          <w:rFonts w:ascii="Book Antiqua" w:eastAsia="Times New Roman" w:hAnsi="Book Antiqua"/>
          <w:szCs w:val="24"/>
          <w:lang w:val="es-DO"/>
        </w:rPr>
        <w:t xml:space="preserve">  </w:t>
      </w:r>
      <w:r w:rsidRPr="0097681C">
        <w:rPr>
          <w:rFonts w:ascii="Book Antiqua" w:eastAsia="Times New Roman" w:hAnsi="Book Antiqua"/>
          <w:szCs w:val="24"/>
          <w:lang w:val="es-DO"/>
        </w:rPr>
        <w:t>Artículo VI, Sección 1 de la Constitución faculta a la Asamblea Legislativa a crear, suprimir y reorganizar municipios, así como a regular su régimen, organización y funciones. En virtud de dicha autoridad, se promulgó la Ley Núm. 107-2020, según enmendada, conocida como el Código Municipal de Puerto Rico, que compila las disposiciones que rigen la organización y funcionamiento municipal.</w:t>
      </w:r>
    </w:p>
    <w:p w14:paraId="23E1B72A" w14:textId="32DBB4A4" w:rsidR="0097681C" w:rsidRPr="0097681C" w:rsidRDefault="0097681C" w:rsidP="0097681C">
      <w:pPr>
        <w:spacing w:before="100" w:beforeAutospacing="1" w:after="100" w:afterAutospacing="1"/>
        <w:jc w:val="both"/>
        <w:rPr>
          <w:rFonts w:ascii="Book Antiqua" w:eastAsia="Times New Roman" w:hAnsi="Book Antiqua"/>
          <w:szCs w:val="24"/>
          <w:lang w:val="es-DO"/>
        </w:rPr>
      </w:pPr>
      <w:r w:rsidRPr="0097681C">
        <w:rPr>
          <w:rFonts w:ascii="Book Antiqua" w:eastAsia="Times New Roman" w:hAnsi="Book Antiqua"/>
          <w:szCs w:val="24"/>
          <w:lang w:val="es-DO"/>
        </w:rPr>
        <w:t xml:space="preserve">El </w:t>
      </w:r>
      <w:r w:rsidR="005809AE">
        <w:rPr>
          <w:rFonts w:ascii="Book Antiqua" w:eastAsia="Times New Roman" w:hAnsi="Book Antiqua"/>
          <w:szCs w:val="24"/>
          <w:lang w:val="es-DO"/>
        </w:rPr>
        <w:t>DJ</w:t>
      </w:r>
      <w:r w:rsidRPr="0097681C">
        <w:rPr>
          <w:rFonts w:ascii="Book Antiqua" w:eastAsia="Times New Roman" w:hAnsi="Book Antiqua"/>
          <w:szCs w:val="24"/>
          <w:lang w:val="es-DO"/>
        </w:rPr>
        <w:t xml:space="preserve"> analizó las disposiciones del Código Municipal que reconocen a los municipios, entre otros poderes:</w:t>
      </w:r>
    </w:p>
    <w:p w14:paraId="253C9E86" w14:textId="77777777" w:rsidR="0097681C" w:rsidRPr="0097681C" w:rsidRDefault="0097681C" w:rsidP="0097681C">
      <w:pPr>
        <w:numPr>
          <w:ilvl w:val="0"/>
          <w:numId w:val="39"/>
        </w:numPr>
        <w:spacing w:before="100" w:beforeAutospacing="1" w:after="100" w:afterAutospacing="1"/>
        <w:jc w:val="both"/>
        <w:rPr>
          <w:rFonts w:ascii="Book Antiqua" w:eastAsia="Times New Roman" w:hAnsi="Book Antiqua"/>
          <w:szCs w:val="24"/>
          <w:lang w:val="es-DO"/>
        </w:rPr>
      </w:pPr>
      <w:r w:rsidRPr="0097681C">
        <w:rPr>
          <w:rFonts w:ascii="Book Antiqua" w:eastAsia="Times New Roman" w:hAnsi="Book Antiqua"/>
          <w:szCs w:val="24"/>
          <w:lang w:val="es-DO"/>
        </w:rPr>
        <w:t>El ejercicio del poder de expropiación forzosa dentro de sus límites territoriales.</w:t>
      </w:r>
    </w:p>
    <w:p w14:paraId="219A5379" w14:textId="77777777" w:rsidR="0097681C" w:rsidRPr="0097681C" w:rsidRDefault="0097681C" w:rsidP="0097681C">
      <w:pPr>
        <w:numPr>
          <w:ilvl w:val="0"/>
          <w:numId w:val="39"/>
        </w:numPr>
        <w:spacing w:before="100" w:beforeAutospacing="1" w:after="100" w:afterAutospacing="1"/>
        <w:jc w:val="both"/>
        <w:rPr>
          <w:rFonts w:ascii="Book Antiqua" w:eastAsia="Times New Roman" w:hAnsi="Book Antiqua"/>
          <w:szCs w:val="24"/>
          <w:lang w:val="es-DO"/>
        </w:rPr>
      </w:pPr>
      <w:r w:rsidRPr="0097681C">
        <w:rPr>
          <w:rFonts w:ascii="Book Antiqua" w:eastAsia="Times New Roman" w:hAnsi="Book Antiqua"/>
          <w:szCs w:val="24"/>
          <w:lang w:val="es-DO"/>
        </w:rPr>
        <w:t>La adquisición de propiedad por cualquier medio legal.</w:t>
      </w:r>
    </w:p>
    <w:p w14:paraId="388105CD" w14:textId="77777777" w:rsidR="0097681C" w:rsidRPr="0097681C" w:rsidRDefault="0097681C" w:rsidP="0097681C">
      <w:pPr>
        <w:numPr>
          <w:ilvl w:val="0"/>
          <w:numId w:val="39"/>
        </w:numPr>
        <w:spacing w:before="100" w:beforeAutospacing="1" w:after="100" w:afterAutospacing="1"/>
        <w:jc w:val="both"/>
        <w:rPr>
          <w:rFonts w:ascii="Book Antiqua" w:eastAsia="Times New Roman" w:hAnsi="Book Antiqua"/>
          <w:szCs w:val="24"/>
          <w:lang w:val="es-DO"/>
        </w:rPr>
      </w:pPr>
      <w:r w:rsidRPr="0097681C">
        <w:rPr>
          <w:rFonts w:ascii="Book Antiqua" w:eastAsia="Times New Roman" w:hAnsi="Book Antiqua"/>
          <w:szCs w:val="24"/>
          <w:lang w:val="es-DO"/>
        </w:rPr>
        <w:t>La facultad de poseer y administrar bienes muebles e inmuebles.</w:t>
      </w:r>
    </w:p>
    <w:p w14:paraId="48C84FD5" w14:textId="77777777" w:rsidR="0097681C" w:rsidRPr="0097681C" w:rsidRDefault="0097681C" w:rsidP="0097681C">
      <w:pPr>
        <w:numPr>
          <w:ilvl w:val="0"/>
          <w:numId w:val="39"/>
        </w:numPr>
        <w:spacing w:before="100" w:beforeAutospacing="1" w:after="100" w:afterAutospacing="1"/>
        <w:jc w:val="both"/>
        <w:rPr>
          <w:rFonts w:ascii="Book Antiqua" w:eastAsia="Times New Roman" w:hAnsi="Book Antiqua"/>
          <w:szCs w:val="24"/>
          <w:lang w:val="es-DO"/>
        </w:rPr>
      </w:pPr>
      <w:r w:rsidRPr="0097681C">
        <w:rPr>
          <w:rFonts w:ascii="Book Antiqua" w:eastAsia="Times New Roman" w:hAnsi="Book Antiqua"/>
          <w:szCs w:val="24"/>
          <w:lang w:val="es-DO"/>
        </w:rPr>
        <w:t>La posibilidad de expropiar propiedades declaradas estorbo público.</w:t>
      </w:r>
    </w:p>
    <w:p w14:paraId="47AB675C" w14:textId="77777777" w:rsidR="0097681C" w:rsidRPr="0097681C" w:rsidRDefault="0097681C" w:rsidP="0097681C">
      <w:pPr>
        <w:numPr>
          <w:ilvl w:val="0"/>
          <w:numId w:val="39"/>
        </w:numPr>
        <w:spacing w:before="100" w:beforeAutospacing="1" w:after="100" w:afterAutospacing="1"/>
        <w:jc w:val="both"/>
        <w:rPr>
          <w:rFonts w:ascii="Book Antiqua" w:eastAsia="Times New Roman" w:hAnsi="Book Antiqua"/>
          <w:szCs w:val="24"/>
          <w:lang w:val="es-DO"/>
        </w:rPr>
      </w:pPr>
      <w:r w:rsidRPr="0097681C">
        <w:rPr>
          <w:rFonts w:ascii="Book Antiqua" w:eastAsia="Times New Roman" w:hAnsi="Book Antiqua"/>
          <w:szCs w:val="24"/>
          <w:lang w:val="es-DO"/>
        </w:rPr>
        <w:t>La potestad de expropiar bienes pertenecientes al Gobierno Estatal, sus instrumentalidades o corporaciones públicas, mediante autorización por Resolución Conjunta de la Asamblea Legislativa.</w:t>
      </w:r>
    </w:p>
    <w:p w14:paraId="15A90B1E" w14:textId="77777777" w:rsidR="0097681C" w:rsidRPr="0097681C" w:rsidRDefault="0097681C" w:rsidP="0097681C">
      <w:pPr>
        <w:numPr>
          <w:ilvl w:val="0"/>
          <w:numId w:val="39"/>
        </w:numPr>
        <w:spacing w:before="100" w:beforeAutospacing="1" w:after="100" w:afterAutospacing="1"/>
        <w:jc w:val="both"/>
        <w:rPr>
          <w:rFonts w:ascii="Book Antiqua" w:eastAsia="Times New Roman" w:hAnsi="Book Antiqua"/>
          <w:szCs w:val="24"/>
          <w:lang w:val="es-DO"/>
        </w:rPr>
      </w:pPr>
      <w:r w:rsidRPr="0097681C">
        <w:rPr>
          <w:rFonts w:ascii="Book Antiqua" w:eastAsia="Times New Roman" w:hAnsi="Book Antiqua"/>
          <w:szCs w:val="24"/>
          <w:lang w:val="es-DO"/>
        </w:rPr>
        <w:t>El procedimiento para declarar propiedades como estorbo público, incluyendo el requisito de notificación conforme a la Regla 4 de Procedimiento Civil.</w:t>
      </w:r>
    </w:p>
    <w:p w14:paraId="111C3772" w14:textId="77777777" w:rsidR="0097681C" w:rsidRPr="0097681C" w:rsidRDefault="0097681C" w:rsidP="0097681C">
      <w:pPr>
        <w:numPr>
          <w:ilvl w:val="0"/>
          <w:numId w:val="39"/>
        </w:numPr>
        <w:spacing w:before="100" w:beforeAutospacing="1" w:after="100" w:afterAutospacing="1"/>
        <w:jc w:val="both"/>
        <w:rPr>
          <w:rFonts w:ascii="Book Antiqua" w:eastAsia="Times New Roman" w:hAnsi="Book Antiqua"/>
          <w:szCs w:val="24"/>
          <w:lang w:val="es-DO"/>
        </w:rPr>
      </w:pPr>
      <w:r w:rsidRPr="0097681C">
        <w:rPr>
          <w:rFonts w:ascii="Book Antiqua" w:eastAsia="Times New Roman" w:hAnsi="Book Antiqua"/>
          <w:szCs w:val="24"/>
          <w:lang w:val="es-DO"/>
        </w:rPr>
        <w:t>Los procedimientos ordinarios y sumarios de expropiación municipal.</w:t>
      </w:r>
    </w:p>
    <w:p w14:paraId="651A79F6" w14:textId="4A07853B" w:rsidR="0097681C" w:rsidRPr="0097681C" w:rsidRDefault="0097681C" w:rsidP="0097681C">
      <w:pPr>
        <w:spacing w:before="100" w:beforeAutospacing="1" w:after="100" w:afterAutospacing="1"/>
        <w:jc w:val="both"/>
        <w:rPr>
          <w:rFonts w:ascii="Book Antiqua" w:eastAsia="Times New Roman" w:hAnsi="Book Antiqua"/>
          <w:szCs w:val="24"/>
          <w:lang w:val="es-DO"/>
        </w:rPr>
      </w:pPr>
      <w:r w:rsidRPr="0097681C">
        <w:rPr>
          <w:rFonts w:ascii="Book Antiqua" w:eastAsia="Times New Roman" w:hAnsi="Book Antiqua"/>
          <w:szCs w:val="24"/>
          <w:lang w:val="es-DO"/>
        </w:rPr>
        <w:t xml:space="preserve">El </w:t>
      </w:r>
      <w:r w:rsidR="005809AE">
        <w:rPr>
          <w:rFonts w:ascii="Book Antiqua" w:eastAsia="Times New Roman" w:hAnsi="Book Antiqua"/>
          <w:szCs w:val="24"/>
          <w:lang w:val="es-DO"/>
        </w:rPr>
        <w:t>DJ</w:t>
      </w:r>
      <w:r w:rsidRPr="0097681C">
        <w:rPr>
          <w:rFonts w:ascii="Book Antiqua" w:eastAsia="Times New Roman" w:hAnsi="Book Antiqua"/>
          <w:szCs w:val="24"/>
          <w:lang w:val="es-DO"/>
        </w:rPr>
        <w:t xml:space="preserve"> no identificó impedimento constitucional o estatutario que limite la facultad de la Asamblea Legislativa para establecer esta exclusión expresa. No obstante, formuló recomendaciones técnicas para garantizar una adecuada interpretación de la intención legislativa.</w:t>
      </w:r>
    </w:p>
    <w:p w14:paraId="43C5CEAC" w14:textId="77777777" w:rsidR="0097681C" w:rsidRPr="0097681C" w:rsidRDefault="0097681C" w:rsidP="0097681C">
      <w:pPr>
        <w:spacing w:before="100" w:beforeAutospacing="1" w:after="100" w:afterAutospacing="1"/>
        <w:jc w:val="both"/>
        <w:rPr>
          <w:rFonts w:ascii="Book Antiqua" w:eastAsia="Times New Roman" w:hAnsi="Book Antiqua"/>
          <w:szCs w:val="24"/>
          <w:lang w:val="es-DO"/>
        </w:rPr>
      </w:pPr>
      <w:r w:rsidRPr="0097681C">
        <w:rPr>
          <w:rFonts w:ascii="Book Antiqua" w:eastAsia="Times New Roman" w:hAnsi="Book Antiqua"/>
          <w:szCs w:val="24"/>
          <w:lang w:val="es-DO"/>
        </w:rPr>
        <w:t>En particular, recomendó que el lenguaje del proyecto establezca de manera expresa que, luego de que el municipio realice la investigación y el estudio de las propiedades conforme al Artículo 4.008 del Código Municipal, toda propiedad cuya titularidad conste a nombre del Departamento de la Vivienda quede excluida de la declaración de estorbo público y, por consiguiente, de cualquier proceso de expropiación forzosa.</w:t>
      </w:r>
    </w:p>
    <w:p w14:paraId="16968370" w14:textId="77777777" w:rsidR="0097681C" w:rsidRPr="0097681C" w:rsidRDefault="0097681C" w:rsidP="0097681C">
      <w:pPr>
        <w:spacing w:before="100" w:beforeAutospacing="1" w:after="100" w:afterAutospacing="1"/>
        <w:jc w:val="both"/>
        <w:rPr>
          <w:rFonts w:ascii="Book Antiqua" w:eastAsia="Times New Roman" w:hAnsi="Book Antiqua"/>
          <w:szCs w:val="24"/>
          <w:lang w:val="es-DO"/>
        </w:rPr>
      </w:pPr>
      <w:r w:rsidRPr="0097681C">
        <w:rPr>
          <w:rFonts w:ascii="Book Antiqua" w:eastAsia="Times New Roman" w:hAnsi="Book Antiqua"/>
          <w:szCs w:val="24"/>
          <w:lang w:val="es-DO"/>
        </w:rPr>
        <w:t>Asimismo, recomendó que se disponga que, al identificar que el inmueble pertenece al Departamento de la Vivienda, el municipio quede obligado a notificar formalmente a dicha agencia sobre el estatus de la propiedad e informar cualquier situación relacionada con salubridad, seguridad pública o riesgo estructural detectada durante la investigación, a fin de que el Departamento de la Vivienda adopte las medidas correctivas que correspondan.</w:t>
      </w:r>
    </w:p>
    <w:p w14:paraId="273D2932" w14:textId="77777777" w:rsidR="0097681C" w:rsidRPr="0097681C" w:rsidRDefault="0097681C" w:rsidP="0097681C">
      <w:pPr>
        <w:spacing w:before="100" w:beforeAutospacing="1" w:after="100" w:afterAutospacing="1"/>
        <w:jc w:val="both"/>
        <w:rPr>
          <w:rFonts w:ascii="Book Antiqua" w:eastAsia="Times New Roman" w:hAnsi="Book Antiqua"/>
          <w:szCs w:val="24"/>
          <w:lang w:val="es-DO"/>
        </w:rPr>
      </w:pPr>
      <w:r w:rsidRPr="0097681C">
        <w:rPr>
          <w:rFonts w:ascii="Book Antiqua" w:eastAsia="Times New Roman" w:hAnsi="Book Antiqua"/>
          <w:szCs w:val="24"/>
          <w:lang w:val="es-DO"/>
        </w:rPr>
        <w:lastRenderedPageBreak/>
        <w:t>De igual manera, sugirió que la prohibición propuesta no se limite al inciso (h) del Artículo 1.008, sino que se incorpore expresamente en los Artículos 2.018, 2.019, 4.008, 4.010, 4.012 y 4.012A del Código Municipal, que regulan los procedimientos de expropiación forzosa y de declaración de estorbo público, a los fines de garantizar una aplicación uniforme del estatuto.</w:t>
      </w:r>
    </w:p>
    <w:p w14:paraId="70621DE8" w14:textId="77777777" w:rsidR="0097681C" w:rsidRPr="0097681C" w:rsidRDefault="0097681C" w:rsidP="0097681C">
      <w:pPr>
        <w:spacing w:before="100" w:beforeAutospacing="1" w:after="100" w:afterAutospacing="1"/>
        <w:jc w:val="both"/>
        <w:rPr>
          <w:rFonts w:ascii="Book Antiqua" w:eastAsia="Times New Roman" w:hAnsi="Book Antiqua"/>
          <w:szCs w:val="24"/>
          <w:lang w:val="es-DO"/>
        </w:rPr>
      </w:pPr>
      <w:r w:rsidRPr="0097681C">
        <w:rPr>
          <w:rFonts w:ascii="Book Antiqua" w:eastAsia="Times New Roman" w:hAnsi="Book Antiqua"/>
          <w:szCs w:val="24"/>
          <w:lang w:val="es-DO"/>
        </w:rPr>
        <w:t>El Departamento concluyó que la medida constituye una iniciativa legislativa dirigida a proteger bienes que cumplen un fin público esencial y que forman parte de proyectos que conllevan financiamiento federal, planificación estratégica y estricto cumplimiento de legislación y reglamentación federal y estatal.</w:t>
      </w:r>
    </w:p>
    <w:p w14:paraId="7F2236B4" w14:textId="00AECD2D" w:rsidR="0097681C" w:rsidRPr="0097681C" w:rsidRDefault="0097681C" w:rsidP="0097681C">
      <w:pPr>
        <w:spacing w:before="100" w:beforeAutospacing="1" w:after="100" w:afterAutospacing="1"/>
        <w:jc w:val="both"/>
        <w:rPr>
          <w:rFonts w:ascii="Book Antiqua" w:eastAsia="Times New Roman" w:hAnsi="Book Antiqua"/>
          <w:szCs w:val="24"/>
          <w:lang w:val="es-DO"/>
        </w:rPr>
      </w:pPr>
      <w:r w:rsidRPr="0097681C">
        <w:rPr>
          <w:rFonts w:ascii="Book Antiqua" w:eastAsia="Times New Roman" w:hAnsi="Book Antiqua"/>
          <w:szCs w:val="24"/>
          <w:lang w:val="es-DO"/>
        </w:rPr>
        <w:t xml:space="preserve">Finalmente, recomendó atender las observaciones técnicas planteadas y </w:t>
      </w:r>
      <w:r w:rsidR="002566A6">
        <w:rPr>
          <w:rFonts w:ascii="Book Antiqua" w:eastAsia="Times New Roman" w:hAnsi="Book Antiqua"/>
          <w:szCs w:val="24"/>
          <w:lang w:val="es-DO"/>
        </w:rPr>
        <w:t xml:space="preserve">auscultar los </w:t>
      </w:r>
      <w:r w:rsidRPr="0097681C">
        <w:rPr>
          <w:rFonts w:ascii="Book Antiqua" w:eastAsia="Times New Roman" w:hAnsi="Book Antiqua"/>
          <w:szCs w:val="24"/>
          <w:lang w:val="es-DO"/>
        </w:rPr>
        <w:t>comentarios de las agencias y entidades pertinentes, incluyendo el Departamento de la Vivienda, la Oficina de Gerencia y Presupuesto, la Autoridad de Asesoría Financiera y Agencia Fiscal y las organizaciones municipales correspondientes.</w:t>
      </w:r>
    </w:p>
    <w:p w14:paraId="61CED846" w14:textId="59C771BA" w:rsidR="0097681C" w:rsidRPr="0097681C" w:rsidRDefault="0097681C" w:rsidP="0097681C">
      <w:pPr>
        <w:pStyle w:val="NormalWeb"/>
        <w:jc w:val="both"/>
        <w:rPr>
          <w:rFonts w:ascii="Book Antiqua" w:hAnsi="Book Antiqua"/>
        </w:rPr>
      </w:pPr>
      <w:r w:rsidRPr="0097681C">
        <w:rPr>
          <w:rFonts w:ascii="Book Antiqua" w:hAnsi="Book Antiqua"/>
        </w:rPr>
        <w:t xml:space="preserve">El </w:t>
      </w:r>
      <w:r w:rsidRPr="0097681C">
        <w:rPr>
          <w:rFonts w:ascii="Book Antiqua" w:hAnsi="Book Antiqua"/>
          <w:b/>
          <w:bCs/>
          <w:i/>
          <w:iCs/>
        </w:rPr>
        <w:t>Departamento de la Vivienda</w:t>
      </w:r>
      <w:r w:rsidR="005809AE">
        <w:rPr>
          <w:rFonts w:ascii="Book Antiqua" w:hAnsi="Book Antiqua"/>
          <w:b/>
          <w:bCs/>
          <w:i/>
          <w:iCs/>
        </w:rPr>
        <w:t xml:space="preserve"> (DV)</w:t>
      </w:r>
      <w:r w:rsidRPr="0097681C">
        <w:rPr>
          <w:rFonts w:ascii="Book Antiqua" w:hAnsi="Book Antiqua"/>
        </w:rPr>
        <w:t xml:space="preserve"> </w:t>
      </w:r>
      <w:r w:rsidR="002566A6">
        <w:rPr>
          <w:rFonts w:ascii="Book Antiqua" w:hAnsi="Book Antiqua"/>
        </w:rPr>
        <w:t>c</w:t>
      </w:r>
      <w:r>
        <w:rPr>
          <w:rFonts w:ascii="Book Antiqua" w:hAnsi="Book Antiqua"/>
        </w:rPr>
        <w:t xml:space="preserve">ompareció representado por el </w:t>
      </w:r>
      <w:r w:rsidR="005809AE">
        <w:rPr>
          <w:rFonts w:ascii="Book Antiqua" w:hAnsi="Book Antiqua"/>
        </w:rPr>
        <w:t>s</w:t>
      </w:r>
      <w:r>
        <w:rPr>
          <w:rFonts w:ascii="Book Antiqua" w:hAnsi="Book Antiqua"/>
        </w:rPr>
        <w:t xml:space="preserve">ubsecretario, </w:t>
      </w:r>
      <w:r w:rsidR="002566A6">
        <w:rPr>
          <w:rFonts w:ascii="Book Antiqua" w:hAnsi="Book Antiqua"/>
        </w:rPr>
        <w:t>l</w:t>
      </w:r>
      <w:r>
        <w:rPr>
          <w:rFonts w:ascii="Book Antiqua" w:hAnsi="Book Antiqua"/>
        </w:rPr>
        <w:t>icenciado Omar Figueroa Vázquez</w:t>
      </w:r>
      <w:r w:rsidR="002566A6">
        <w:rPr>
          <w:rFonts w:ascii="Book Antiqua" w:hAnsi="Book Antiqua"/>
        </w:rPr>
        <w:t>. Durante su alocución mencionó</w:t>
      </w:r>
      <w:r>
        <w:rPr>
          <w:rFonts w:ascii="Book Antiqua" w:hAnsi="Book Antiqua"/>
        </w:rPr>
        <w:t xml:space="preserve"> que</w:t>
      </w:r>
      <w:r w:rsidRPr="0097681C">
        <w:rPr>
          <w:rFonts w:ascii="Book Antiqua" w:hAnsi="Book Antiqua"/>
        </w:rPr>
        <w:t xml:space="preserve"> resulta indispensable contextualizar la naturaleza de las funciones que ejerce el Departamento de la Vivienda respecto a los bienes bajo su administración. En particular, conforme a la Ley Núm. 97 de 10 de junio de 1972, según enmendada, conocida como la Ley Orgánica del Departamento de la Vivienda, esta agencia administra miles de propiedades inmuebles a través de todo Puerto Rico mediante programas estatales y federales dirigidos, entre otros fines, a atender la escasez de vivienda asequible, rehabilitar comunidades, promover la revitalización urbana y ejecutar proyectos de reconstrucción y mitigación luego de desastres naturales.</w:t>
      </w:r>
    </w:p>
    <w:p w14:paraId="574BEA04" w14:textId="77777777" w:rsidR="0097681C" w:rsidRPr="0097681C" w:rsidRDefault="0097681C" w:rsidP="0097681C">
      <w:pPr>
        <w:pStyle w:val="NormalWeb"/>
        <w:jc w:val="both"/>
        <w:rPr>
          <w:rFonts w:ascii="Book Antiqua" w:hAnsi="Book Antiqua"/>
        </w:rPr>
      </w:pPr>
      <w:r w:rsidRPr="0097681C">
        <w:rPr>
          <w:rFonts w:ascii="Book Antiqua" w:hAnsi="Book Antiqua"/>
        </w:rPr>
        <w:t xml:space="preserve">Estas propiedades forman parte de planes estratégicos de política pública que requieren procesos complejos de planificación, </w:t>
      </w:r>
      <w:proofErr w:type="spellStart"/>
      <w:r w:rsidRPr="0097681C">
        <w:rPr>
          <w:rFonts w:ascii="Book Antiqua" w:hAnsi="Book Antiqua"/>
        </w:rPr>
        <w:t>permisología</w:t>
      </w:r>
      <w:proofErr w:type="spellEnd"/>
      <w:r w:rsidRPr="0097681C">
        <w:rPr>
          <w:rFonts w:ascii="Book Antiqua" w:hAnsi="Book Antiqua"/>
        </w:rPr>
        <w:t>, financiamiento y estricto cumplimiento con múltiples marcos regulatorios. En consecuencia, es posible que, en determinadas etapas, alguna de estas propiedades refleje períodos de aparente inactividad. No obstante, dicha situación responde a factores temporales inherentes a la ejecución de programas públicos y no a un estado de abandono, desuso o incumplimiento por parte del Departamento.</w:t>
      </w:r>
    </w:p>
    <w:p w14:paraId="165D8D92" w14:textId="1A8BA390" w:rsidR="0097681C" w:rsidRPr="0097681C" w:rsidRDefault="0097681C" w:rsidP="0097681C">
      <w:pPr>
        <w:pStyle w:val="NormalWeb"/>
        <w:jc w:val="both"/>
        <w:rPr>
          <w:rFonts w:ascii="Book Antiqua" w:hAnsi="Book Antiqua"/>
        </w:rPr>
      </w:pPr>
      <w:r w:rsidRPr="0097681C">
        <w:rPr>
          <w:rFonts w:ascii="Book Antiqua" w:hAnsi="Book Antiqua"/>
        </w:rPr>
        <w:t>Desde esta perspectiva,</w:t>
      </w:r>
      <w:r w:rsidR="002566A6">
        <w:rPr>
          <w:rFonts w:ascii="Book Antiqua" w:hAnsi="Book Antiqua"/>
        </w:rPr>
        <w:t xml:space="preserve"> el </w:t>
      </w:r>
      <w:r w:rsidR="005809AE">
        <w:rPr>
          <w:rFonts w:ascii="Book Antiqua" w:hAnsi="Book Antiqua"/>
        </w:rPr>
        <w:t>DV</w:t>
      </w:r>
      <w:r w:rsidR="002566A6">
        <w:rPr>
          <w:rFonts w:ascii="Book Antiqua" w:hAnsi="Book Antiqua"/>
        </w:rPr>
        <w:t xml:space="preserve"> plantea, que</w:t>
      </w:r>
      <w:r w:rsidRPr="0097681C">
        <w:rPr>
          <w:rFonts w:ascii="Book Antiqua" w:hAnsi="Book Antiqua"/>
        </w:rPr>
        <w:t xml:space="preserve"> la medida legislativa reconoce un principio fundamental del derecho público: los bienes estatales destinados a un fin público esencial no deben quedar sujetos a actuaciones municipales que puedan frustrar la política pública del Estado ni colocar al Gobierno de Puerto Rico en incumplimiento de obligaciones de jerarquía superior, particularmente aquellas de naturaleza federal.</w:t>
      </w:r>
    </w:p>
    <w:p w14:paraId="1E0CE605" w14:textId="77777777" w:rsidR="0097681C" w:rsidRPr="0097681C" w:rsidRDefault="0097681C" w:rsidP="0097681C">
      <w:pPr>
        <w:pStyle w:val="NormalWeb"/>
        <w:jc w:val="both"/>
        <w:rPr>
          <w:rFonts w:ascii="Book Antiqua" w:hAnsi="Book Antiqua"/>
        </w:rPr>
      </w:pPr>
      <w:r w:rsidRPr="0097681C">
        <w:rPr>
          <w:rFonts w:ascii="Book Antiqua" w:hAnsi="Book Antiqua"/>
        </w:rPr>
        <w:t xml:space="preserve">Ahora bien, esta delimitación del poder municipal no debe interpretarse como una dispensa de los deberes de conservación, seguridad o mantenimiento razonable que </w:t>
      </w:r>
      <w:r w:rsidRPr="0097681C">
        <w:rPr>
          <w:rFonts w:ascii="Book Antiqua" w:hAnsi="Book Antiqua"/>
        </w:rPr>
        <w:lastRenderedPageBreak/>
        <w:t xml:space="preserve">recaen sobre el Departamento de la Vivienda. Tampoco implica que los municipios carezcan de mecanismos para atender situaciones que representen riesgos a la salud o a la seguridad pública. Por el contrario, el Departamento mantiene canales activos de coordinación </w:t>
      </w:r>
      <w:proofErr w:type="spellStart"/>
      <w:r w:rsidRPr="0097681C">
        <w:rPr>
          <w:rFonts w:ascii="Book Antiqua" w:hAnsi="Book Antiqua"/>
        </w:rPr>
        <w:t>interagencial</w:t>
      </w:r>
      <w:proofErr w:type="spellEnd"/>
      <w:r w:rsidRPr="0097681C">
        <w:rPr>
          <w:rFonts w:ascii="Book Antiqua" w:hAnsi="Book Antiqua"/>
        </w:rPr>
        <w:t xml:space="preserve"> con los municipios y otras agencias concernidas para atender este tipo de situaciones de forma ordenada, colaborativa y conforme a derecho.</w:t>
      </w:r>
    </w:p>
    <w:p w14:paraId="6FE10855" w14:textId="7D168AF6" w:rsidR="0097681C" w:rsidRPr="0097681C" w:rsidRDefault="0097681C" w:rsidP="0097681C">
      <w:pPr>
        <w:pStyle w:val="NormalWeb"/>
        <w:jc w:val="both"/>
        <w:rPr>
          <w:rFonts w:ascii="Book Antiqua" w:hAnsi="Book Antiqua"/>
        </w:rPr>
      </w:pPr>
      <w:r>
        <w:rPr>
          <w:rFonts w:ascii="Book Antiqua" w:hAnsi="Book Antiqua"/>
        </w:rPr>
        <w:t>Menciona el Departamento que</w:t>
      </w:r>
      <w:r w:rsidRPr="0097681C">
        <w:rPr>
          <w:rFonts w:ascii="Book Antiqua" w:hAnsi="Book Antiqua"/>
        </w:rPr>
        <w:t xml:space="preserve"> una parte significativa de las propiedades bajo </w:t>
      </w:r>
      <w:r>
        <w:rPr>
          <w:rFonts w:ascii="Book Antiqua" w:hAnsi="Book Antiqua"/>
        </w:rPr>
        <w:t xml:space="preserve">su </w:t>
      </w:r>
      <w:proofErr w:type="gramStart"/>
      <w:r w:rsidRPr="0097681C">
        <w:rPr>
          <w:rFonts w:ascii="Book Antiqua" w:hAnsi="Book Antiqua"/>
        </w:rPr>
        <w:t>titularidad  se</w:t>
      </w:r>
      <w:proofErr w:type="gramEnd"/>
      <w:r w:rsidRPr="0097681C">
        <w:rPr>
          <w:rFonts w:ascii="Book Antiqua" w:hAnsi="Book Antiqua"/>
        </w:rPr>
        <w:t xml:space="preserve"> encuentra sujeta a estrictas disposiciones federales, incluyendo aquellas relacionadas con programas administrados por el Departamento de Vivienda y Desarrollo Urbano Federal (HUD), tales como los fondos CDBG y otros recursos vinculados a los esfuerzos de recuperación de Puerto Rico tras desastres naturales. La declaración de estorbo público o la expropiación municipal de estas propiedades podría colocar al Gobierno de Puerto Rico en incumplimiento con acuerdos federales, comprometer la elegibilidad de la jurisdicción para recibir fondos futuros y exponer al Estado a sanciones o reclamaciones administrativas.</w:t>
      </w:r>
    </w:p>
    <w:p w14:paraId="27099FC3" w14:textId="77777777" w:rsidR="0097681C" w:rsidRPr="0097681C" w:rsidRDefault="0097681C" w:rsidP="0097681C">
      <w:pPr>
        <w:pStyle w:val="NormalWeb"/>
        <w:jc w:val="both"/>
        <w:rPr>
          <w:rFonts w:ascii="Book Antiqua" w:hAnsi="Book Antiqua"/>
        </w:rPr>
      </w:pPr>
      <w:r w:rsidRPr="0097681C">
        <w:rPr>
          <w:rFonts w:ascii="Book Antiqua" w:hAnsi="Book Antiqua"/>
        </w:rPr>
        <w:t>A ello se suma que las propiedades administradas por el Departamento de la Vivienda representan inversiones sustanciales de fondos públicos, tanto estatales como federales. Permitir que estos activos queden sujetos a procesos de expropiación municipal impacta directamente la planificación gubernamental, la utilización eficiente de los recursos públicos y propicia conflictos legales innecesarios entre los municipios y el Departamento, con el consecuente gasto adicional de fondos públicos.</w:t>
      </w:r>
    </w:p>
    <w:p w14:paraId="3742D17C" w14:textId="084354E1" w:rsidR="0097681C" w:rsidRPr="0097681C" w:rsidRDefault="0097681C" w:rsidP="0097681C">
      <w:pPr>
        <w:pStyle w:val="NormalWeb"/>
        <w:jc w:val="both"/>
        <w:rPr>
          <w:rFonts w:ascii="Book Antiqua" w:hAnsi="Book Antiqua"/>
        </w:rPr>
      </w:pPr>
      <w:r w:rsidRPr="0097681C">
        <w:rPr>
          <w:rFonts w:ascii="Book Antiqua" w:hAnsi="Book Antiqua"/>
        </w:rPr>
        <w:t xml:space="preserve">A la luz de las consideraciones antes expuestas, </w:t>
      </w:r>
      <w:r>
        <w:rPr>
          <w:rFonts w:ascii="Book Antiqua" w:hAnsi="Book Antiqua"/>
        </w:rPr>
        <w:t xml:space="preserve">el Departamento entiende </w:t>
      </w:r>
      <w:r w:rsidRPr="0097681C">
        <w:rPr>
          <w:rFonts w:ascii="Book Antiqua" w:hAnsi="Book Antiqua"/>
        </w:rPr>
        <w:t xml:space="preserve">que el </w:t>
      </w:r>
      <w:r w:rsidR="005809AE">
        <w:rPr>
          <w:rFonts w:ascii="Book Antiqua" w:hAnsi="Book Antiqua"/>
        </w:rPr>
        <w:t xml:space="preserve">                  </w:t>
      </w:r>
      <w:r w:rsidRPr="0097681C">
        <w:rPr>
          <w:rFonts w:ascii="Book Antiqua" w:hAnsi="Book Antiqua"/>
        </w:rPr>
        <w:t>P. de la C. Núm. 996 atiende de manera adecuada y responsable la problemática identificada, al aclarar de forma expresa el alcance del poder municipal para declarar estorbos públicos y expropiar propiedades conforme al Código Municipal. Asimismo, considera que la medida no menoscaba indebidamente la autonomía municipal, pues mantiene intactas las facultades de los municipios respecto a propiedades privadas o municipales, estableciendo un límite razonable en relación con los bienes estatales bajo la titularidad del Departamento de la Vivienda.</w:t>
      </w:r>
    </w:p>
    <w:p w14:paraId="196B4D21" w14:textId="233E2669" w:rsidR="0097681C" w:rsidRPr="0097681C" w:rsidRDefault="0097681C" w:rsidP="0097681C">
      <w:pPr>
        <w:pStyle w:val="NormalWeb"/>
        <w:jc w:val="both"/>
        <w:rPr>
          <w:rFonts w:ascii="Book Antiqua" w:hAnsi="Book Antiqua"/>
        </w:rPr>
      </w:pPr>
      <w:r w:rsidRPr="0097681C">
        <w:rPr>
          <w:rFonts w:ascii="Book Antiqua" w:hAnsi="Book Antiqua"/>
        </w:rPr>
        <w:t>De igual forma, en cuanto al contenido de la Sección 2 del proyecto, ent</w:t>
      </w:r>
      <w:r>
        <w:rPr>
          <w:rFonts w:ascii="Book Antiqua" w:hAnsi="Book Antiqua"/>
        </w:rPr>
        <w:t xml:space="preserve">ienden </w:t>
      </w:r>
      <w:r w:rsidRPr="0097681C">
        <w:rPr>
          <w:rFonts w:ascii="Book Antiqua" w:hAnsi="Book Antiqua"/>
        </w:rPr>
        <w:t xml:space="preserve">que cualquier reglamentación que se adopte al amparo de esta Ley deberá circunscribirse estrictamente a viabilizar su implementación y la coordinación </w:t>
      </w:r>
      <w:proofErr w:type="spellStart"/>
      <w:r w:rsidRPr="0097681C">
        <w:rPr>
          <w:rFonts w:ascii="Book Antiqua" w:hAnsi="Book Antiqua"/>
        </w:rPr>
        <w:t>interagencial</w:t>
      </w:r>
      <w:proofErr w:type="spellEnd"/>
      <w:r w:rsidRPr="0097681C">
        <w:rPr>
          <w:rFonts w:ascii="Book Antiqua" w:hAnsi="Book Antiqua"/>
        </w:rPr>
        <w:t xml:space="preserve"> necesaria, sin crear mecanismos de expropiación indirecta ni procesos que menoscaben la protección que la Asamblea Legislativa persigue mediante esta enmienda.</w:t>
      </w:r>
    </w:p>
    <w:p w14:paraId="2F23CCA5" w14:textId="1635B1AE" w:rsidR="0097681C" w:rsidRPr="0097681C" w:rsidRDefault="002566A6" w:rsidP="0097681C">
      <w:pPr>
        <w:pStyle w:val="NormalWeb"/>
        <w:jc w:val="both"/>
        <w:rPr>
          <w:rFonts w:ascii="Book Antiqua" w:hAnsi="Book Antiqua"/>
        </w:rPr>
      </w:pPr>
      <w:r>
        <w:rPr>
          <w:rFonts w:ascii="Book Antiqua" w:hAnsi="Book Antiqua"/>
        </w:rPr>
        <w:t>Durante la vista, el Departamento señaló la necesidad de</w:t>
      </w:r>
      <w:r w:rsidR="0097681C" w:rsidRPr="0097681C">
        <w:rPr>
          <w:rFonts w:ascii="Book Antiqua" w:hAnsi="Book Antiqua"/>
        </w:rPr>
        <w:t xml:space="preserve"> revisar la redacción específica de la Sección 1 del proyecto. En particular, el texto propuesto dispone:</w:t>
      </w:r>
    </w:p>
    <w:p w14:paraId="0B6EA718" w14:textId="77777777" w:rsidR="0097681C" w:rsidRPr="0097681C" w:rsidRDefault="0097681C" w:rsidP="0097681C">
      <w:pPr>
        <w:pStyle w:val="NormalWeb"/>
        <w:ind w:left="720"/>
        <w:jc w:val="both"/>
        <w:rPr>
          <w:rFonts w:ascii="Book Antiqua" w:hAnsi="Book Antiqua"/>
        </w:rPr>
      </w:pPr>
      <w:r w:rsidRPr="0097681C">
        <w:rPr>
          <w:rFonts w:ascii="Book Antiqua" w:hAnsi="Book Antiqua"/>
        </w:rPr>
        <w:lastRenderedPageBreak/>
        <w:t>“Las propiedades inmuebles bajo la titularidad del Departamento de la Vivienda es titular no podrán ser declaradas estorbo público, ni expropiadas por los municipios.”</w:t>
      </w:r>
    </w:p>
    <w:p w14:paraId="2F0CEC55" w14:textId="41E82D31" w:rsidR="0097681C" w:rsidRPr="0097681C" w:rsidRDefault="0097681C" w:rsidP="0097681C">
      <w:pPr>
        <w:pStyle w:val="NormalWeb"/>
        <w:jc w:val="both"/>
        <w:rPr>
          <w:rFonts w:ascii="Book Antiqua" w:hAnsi="Book Antiqua"/>
        </w:rPr>
      </w:pPr>
      <w:r w:rsidRPr="0097681C">
        <w:rPr>
          <w:rFonts w:ascii="Book Antiqua" w:hAnsi="Book Antiqua"/>
        </w:rPr>
        <w:t>Recom</w:t>
      </w:r>
      <w:r>
        <w:rPr>
          <w:rFonts w:ascii="Book Antiqua" w:hAnsi="Book Antiqua"/>
        </w:rPr>
        <w:t>ienda el Departamento,</w:t>
      </w:r>
      <w:r w:rsidRPr="0097681C">
        <w:rPr>
          <w:rFonts w:ascii="Book Antiqua" w:hAnsi="Book Antiqua"/>
        </w:rPr>
        <w:t xml:space="preserve"> eliminar la frase “es titular”, de modo que el texto lea correctamente:</w:t>
      </w:r>
    </w:p>
    <w:p w14:paraId="1DD33D97" w14:textId="77777777" w:rsidR="0097681C" w:rsidRPr="0097681C" w:rsidRDefault="0097681C" w:rsidP="0097681C">
      <w:pPr>
        <w:pStyle w:val="NormalWeb"/>
        <w:ind w:left="720"/>
        <w:jc w:val="both"/>
        <w:rPr>
          <w:rFonts w:ascii="Book Antiqua" w:hAnsi="Book Antiqua"/>
        </w:rPr>
      </w:pPr>
      <w:r w:rsidRPr="0097681C">
        <w:rPr>
          <w:rFonts w:ascii="Book Antiqua" w:hAnsi="Book Antiqua"/>
        </w:rPr>
        <w:t>“Las propiedades inmuebles bajo la titularidad del Departamento de la Vivienda no podrán ser declaradas estorbo público, ni expropiadas por los municipios.”</w:t>
      </w:r>
    </w:p>
    <w:p w14:paraId="4BEE92FC" w14:textId="77777777" w:rsidR="0097681C" w:rsidRPr="0097681C" w:rsidRDefault="0097681C" w:rsidP="0097681C">
      <w:pPr>
        <w:pStyle w:val="NormalWeb"/>
        <w:jc w:val="both"/>
        <w:rPr>
          <w:rFonts w:ascii="Book Antiqua" w:hAnsi="Book Antiqua"/>
        </w:rPr>
      </w:pPr>
      <w:r w:rsidRPr="0097681C">
        <w:rPr>
          <w:rFonts w:ascii="Book Antiqua" w:hAnsi="Book Antiqua"/>
        </w:rPr>
        <w:t>Habiendo aclarado lo anterior, el Departamento de la Vivienda favorece la aprobación del P. de la C. Núm. 996, por entender que su contenido fortalece la política pública de vivienda en Puerto Rico, protege la inversión pública y asegura el cumplimiento de las obligaciones estatales y federales de la agencia.</w:t>
      </w:r>
    </w:p>
    <w:p w14:paraId="50BD60FA" w14:textId="127D0CBE" w:rsidR="001F7182" w:rsidRPr="0097681C" w:rsidRDefault="008A24E0" w:rsidP="001F7182">
      <w:pPr>
        <w:pStyle w:val="NormalWeb"/>
        <w:jc w:val="both"/>
        <w:rPr>
          <w:rFonts w:ascii="Book Antiqua" w:hAnsi="Book Antiqua"/>
        </w:rPr>
      </w:pPr>
      <w:r>
        <w:rPr>
          <w:rFonts w:ascii="Book Antiqua" w:hAnsi="Book Antiqua"/>
        </w:rPr>
        <w:t xml:space="preserve">La </w:t>
      </w:r>
      <w:r w:rsidRPr="008A24E0">
        <w:rPr>
          <w:rFonts w:ascii="Book Antiqua" w:hAnsi="Book Antiqua"/>
          <w:b/>
          <w:bCs/>
          <w:i/>
          <w:iCs/>
        </w:rPr>
        <w:t xml:space="preserve">Asociación de </w:t>
      </w:r>
      <w:proofErr w:type="gramStart"/>
      <w:r w:rsidRPr="008A24E0">
        <w:rPr>
          <w:rFonts w:ascii="Book Antiqua" w:hAnsi="Book Antiqua"/>
          <w:b/>
          <w:bCs/>
          <w:i/>
          <w:iCs/>
        </w:rPr>
        <w:t>Alcaldes</w:t>
      </w:r>
      <w:proofErr w:type="gramEnd"/>
      <w:r w:rsidR="009E07AA">
        <w:rPr>
          <w:rFonts w:ascii="Book Antiqua" w:hAnsi="Book Antiqua"/>
          <w:b/>
          <w:bCs/>
          <w:i/>
          <w:iCs/>
        </w:rPr>
        <w:t xml:space="preserve"> de Puerto Rico</w:t>
      </w:r>
      <w:r w:rsidR="002D2285">
        <w:rPr>
          <w:rFonts w:ascii="Book Antiqua" w:hAnsi="Book Antiqua"/>
          <w:b/>
          <w:bCs/>
          <w:i/>
          <w:iCs/>
        </w:rPr>
        <w:t xml:space="preserve"> (AAPR)</w:t>
      </w:r>
      <w:r w:rsidRPr="008A24E0">
        <w:rPr>
          <w:rFonts w:ascii="Book Antiqua" w:hAnsi="Book Antiqua"/>
          <w:b/>
          <w:bCs/>
          <w:i/>
          <w:iCs/>
        </w:rPr>
        <w:t>,</w:t>
      </w:r>
      <w:r>
        <w:rPr>
          <w:rFonts w:ascii="Book Antiqua" w:hAnsi="Book Antiqua"/>
        </w:rPr>
        <w:t xml:space="preserve"> compareció </w:t>
      </w:r>
      <w:r w:rsidR="002566A6">
        <w:rPr>
          <w:rFonts w:ascii="Book Antiqua" w:hAnsi="Book Antiqua"/>
        </w:rPr>
        <w:t>representad</w:t>
      </w:r>
      <w:r w:rsidR="005809AE">
        <w:rPr>
          <w:rFonts w:ascii="Book Antiqua" w:hAnsi="Book Antiqua"/>
        </w:rPr>
        <w:t>a</w:t>
      </w:r>
      <w:r w:rsidR="002566A6">
        <w:rPr>
          <w:rFonts w:ascii="Book Antiqua" w:hAnsi="Book Antiqua"/>
        </w:rPr>
        <w:t xml:space="preserve"> por </w:t>
      </w:r>
      <w:r>
        <w:rPr>
          <w:rFonts w:ascii="Book Antiqua" w:hAnsi="Book Antiqua"/>
        </w:rPr>
        <w:t xml:space="preserve">el señor Joel Sánchez Ayala, y </w:t>
      </w:r>
      <w:r w:rsidR="002D2285">
        <w:rPr>
          <w:rFonts w:ascii="Book Antiqua" w:hAnsi="Book Antiqua"/>
        </w:rPr>
        <w:t>comenzó</w:t>
      </w:r>
      <w:r>
        <w:rPr>
          <w:rFonts w:ascii="Book Antiqua" w:hAnsi="Book Antiqua"/>
        </w:rPr>
        <w:t xml:space="preserve"> mencionando que </w:t>
      </w:r>
      <w:r w:rsidR="002566A6">
        <w:rPr>
          <w:rFonts w:ascii="Book Antiqua" w:hAnsi="Book Antiqua"/>
        </w:rPr>
        <w:t>e</w:t>
      </w:r>
      <w:r w:rsidRPr="008A24E0">
        <w:rPr>
          <w:rFonts w:ascii="Book Antiqua" w:hAnsi="Book Antiqua"/>
        </w:rPr>
        <w:t xml:space="preserve">xisten múltiples disposiciones en el Código Municipal que facultan a los municipios a ejercer sus poderes dentro del marco de la autonomía municipal establecida como política pública, incluyendo la expropiación forzosa. El </w:t>
      </w:r>
      <w:r w:rsidR="005809AE">
        <w:rPr>
          <w:rFonts w:ascii="Book Antiqua" w:hAnsi="Book Antiqua"/>
        </w:rPr>
        <w:t>p</w:t>
      </w:r>
      <w:r w:rsidRPr="008A24E0">
        <w:rPr>
          <w:rFonts w:ascii="Book Antiqua" w:hAnsi="Book Antiqua"/>
        </w:rPr>
        <w:t>royecto pretende limitar dicha facultad, lo cual contraviene el ordenamiento vigente.</w:t>
      </w:r>
    </w:p>
    <w:p w14:paraId="220CA1E3" w14:textId="1EEC33CA" w:rsidR="008A24E0" w:rsidRPr="008A24E0" w:rsidRDefault="002D2285" w:rsidP="008A24E0">
      <w:pPr>
        <w:spacing w:before="100" w:beforeAutospacing="1" w:after="100" w:afterAutospacing="1"/>
        <w:jc w:val="both"/>
        <w:rPr>
          <w:rFonts w:ascii="Book Antiqua" w:eastAsia="Times New Roman" w:hAnsi="Book Antiqua"/>
          <w:szCs w:val="24"/>
          <w:lang w:val="es-DO"/>
        </w:rPr>
      </w:pPr>
      <w:r>
        <w:rPr>
          <w:rFonts w:ascii="Book Antiqua" w:eastAsia="Times New Roman" w:hAnsi="Book Antiqua"/>
          <w:szCs w:val="24"/>
          <w:lang w:val="es-DO"/>
        </w:rPr>
        <w:t>La Asociación, expres</w:t>
      </w:r>
      <w:r w:rsidR="005809AE">
        <w:rPr>
          <w:rFonts w:ascii="Book Antiqua" w:eastAsia="Times New Roman" w:hAnsi="Book Antiqua"/>
          <w:szCs w:val="24"/>
          <w:lang w:val="es-DO"/>
        </w:rPr>
        <w:t>ó</w:t>
      </w:r>
      <w:r>
        <w:rPr>
          <w:rFonts w:ascii="Book Antiqua" w:eastAsia="Times New Roman" w:hAnsi="Book Antiqua"/>
          <w:szCs w:val="24"/>
          <w:lang w:val="es-DO"/>
        </w:rPr>
        <w:t xml:space="preserve"> que, de aprobar la enmienda propuesta, </w:t>
      </w:r>
      <w:r w:rsidRPr="008A24E0">
        <w:rPr>
          <w:rFonts w:ascii="Book Antiqua" w:eastAsia="Times New Roman" w:hAnsi="Book Antiqua"/>
          <w:szCs w:val="24"/>
          <w:lang w:val="es-DO"/>
        </w:rPr>
        <w:t>implicaría</w:t>
      </w:r>
      <w:r w:rsidR="008A24E0" w:rsidRPr="008A24E0">
        <w:rPr>
          <w:rFonts w:ascii="Book Antiqua" w:eastAsia="Times New Roman" w:hAnsi="Book Antiqua"/>
          <w:szCs w:val="24"/>
          <w:lang w:val="es-DO"/>
        </w:rPr>
        <w:t xml:space="preserve"> que los municipios no podrían declarar estorbo público ni expropiar propiedad del Departamento de la Vivienda por el solo hecho de ser propiedad del Estado, aun cuando el propio Estado sí puede ejercer su poder de expropiación.</w:t>
      </w:r>
    </w:p>
    <w:p w14:paraId="59AB3517" w14:textId="77777777" w:rsidR="008A24E0" w:rsidRPr="008A24E0" w:rsidRDefault="008A24E0" w:rsidP="008A24E0">
      <w:pPr>
        <w:spacing w:before="100" w:beforeAutospacing="1" w:after="100" w:afterAutospacing="1"/>
        <w:jc w:val="both"/>
        <w:rPr>
          <w:rFonts w:ascii="Book Antiqua" w:eastAsia="Times New Roman" w:hAnsi="Book Antiqua"/>
          <w:szCs w:val="24"/>
          <w:lang w:val="es-DO"/>
        </w:rPr>
      </w:pPr>
      <w:r w:rsidRPr="008A24E0">
        <w:rPr>
          <w:rFonts w:ascii="Book Antiqua" w:eastAsia="Times New Roman" w:hAnsi="Book Antiqua"/>
          <w:szCs w:val="24"/>
          <w:lang w:val="es-DO"/>
        </w:rPr>
        <w:t>Sin embargo, el Artículo 1.003 —Declaración de Política Pública— del Código Municipal establece claramente como política pública:</w:t>
      </w:r>
    </w:p>
    <w:p w14:paraId="182092F7" w14:textId="77777777" w:rsidR="008A24E0" w:rsidRPr="008A24E0" w:rsidRDefault="008A24E0" w:rsidP="002D2285">
      <w:pPr>
        <w:spacing w:before="100" w:beforeAutospacing="1" w:after="100" w:afterAutospacing="1"/>
        <w:ind w:left="720"/>
        <w:jc w:val="both"/>
        <w:rPr>
          <w:rFonts w:ascii="Book Antiqua" w:eastAsia="Times New Roman" w:hAnsi="Book Antiqua"/>
          <w:szCs w:val="24"/>
          <w:lang w:val="es-DO"/>
        </w:rPr>
      </w:pPr>
      <w:r w:rsidRPr="008A24E0">
        <w:rPr>
          <w:rFonts w:ascii="Book Antiqua" w:eastAsia="Times New Roman" w:hAnsi="Book Antiqua"/>
          <w:szCs w:val="24"/>
          <w:lang w:val="es-DO"/>
        </w:rPr>
        <w:t>Otorgar a los municipios el máximo posible de autonomía y proveerles las herramientas financieras y fiscales, así como los poderes inherentes a su subsistencia y las facultades necesarias para asumir una función central y fundamental en su desarrollo urbano, social y económico.</w:t>
      </w:r>
    </w:p>
    <w:p w14:paraId="73492D30" w14:textId="5623C6D2" w:rsidR="008A24E0" w:rsidRPr="008A24E0" w:rsidRDefault="002D2285" w:rsidP="008A24E0">
      <w:pPr>
        <w:spacing w:before="100" w:beforeAutospacing="1" w:after="100" w:afterAutospacing="1"/>
        <w:jc w:val="both"/>
        <w:rPr>
          <w:rFonts w:ascii="Book Antiqua" w:eastAsia="Times New Roman" w:hAnsi="Book Antiqua"/>
          <w:szCs w:val="24"/>
          <w:lang w:val="es-DO"/>
        </w:rPr>
      </w:pPr>
      <w:r>
        <w:rPr>
          <w:rFonts w:ascii="Book Antiqua" w:eastAsia="Times New Roman" w:hAnsi="Book Antiqua"/>
          <w:szCs w:val="24"/>
          <w:lang w:val="es-DO"/>
        </w:rPr>
        <w:t xml:space="preserve">Continúa la Asociación, </w:t>
      </w:r>
      <w:r w:rsidR="005809AE">
        <w:rPr>
          <w:rFonts w:ascii="Book Antiqua" w:eastAsia="Times New Roman" w:hAnsi="Book Antiqua"/>
          <w:szCs w:val="24"/>
          <w:lang w:val="es-DO"/>
        </w:rPr>
        <w:t xml:space="preserve">indicando </w:t>
      </w:r>
      <w:r>
        <w:rPr>
          <w:rFonts w:ascii="Book Antiqua" w:eastAsia="Times New Roman" w:hAnsi="Book Antiqua"/>
          <w:szCs w:val="24"/>
          <w:lang w:val="es-DO"/>
        </w:rPr>
        <w:t>que e</w:t>
      </w:r>
      <w:r w:rsidR="008A24E0" w:rsidRPr="008A24E0">
        <w:rPr>
          <w:rFonts w:ascii="Book Antiqua" w:eastAsia="Times New Roman" w:hAnsi="Book Antiqua"/>
          <w:szCs w:val="24"/>
          <w:lang w:val="es-DO"/>
        </w:rPr>
        <w:t>l Artículo 1.008 dispone</w:t>
      </w:r>
      <w:r>
        <w:rPr>
          <w:rFonts w:ascii="Book Antiqua" w:eastAsia="Times New Roman" w:hAnsi="Book Antiqua"/>
          <w:szCs w:val="24"/>
          <w:lang w:val="es-DO"/>
        </w:rPr>
        <w:t xml:space="preserve"> </w:t>
      </w:r>
      <w:r w:rsidR="008A24E0" w:rsidRPr="008A24E0">
        <w:rPr>
          <w:rFonts w:ascii="Book Antiqua" w:eastAsia="Times New Roman" w:hAnsi="Book Antiqua"/>
          <w:szCs w:val="24"/>
          <w:lang w:val="es-DO"/>
        </w:rPr>
        <w:t>que los municipios tienen los poderes naturales y cedidos que les correspondan para ejercer las facultades inherentes a sus fines y funciones, incluyendo:</w:t>
      </w:r>
    </w:p>
    <w:p w14:paraId="595779EE" w14:textId="27047B75" w:rsidR="008A24E0" w:rsidRPr="008A24E0" w:rsidRDefault="008A24E0" w:rsidP="008A24E0">
      <w:pPr>
        <w:spacing w:before="100" w:beforeAutospacing="1" w:after="100" w:afterAutospacing="1"/>
        <w:ind w:left="720"/>
        <w:jc w:val="both"/>
        <w:rPr>
          <w:rFonts w:ascii="Book Antiqua" w:eastAsia="Times New Roman" w:hAnsi="Book Antiqua"/>
          <w:szCs w:val="24"/>
          <w:lang w:val="es-DO"/>
        </w:rPr>
      </w:pPr>
      <w:r>
        <w:rPr>
          <w:rFonts w:ascii="Book Antiqua" w:eastAsia="Times New Roman" w:hAnsi="Book Antiqua"/>
          <w:szCs w:val="24"/>
          <w:lang w:val="es-DO"/>
        </w:rPr>
        <w:t>“</w:t>
      </w:r>
      <w:r w:rsidRPr="008A24E0">
        <w:rPr>
          <w:rFonts w:ascii="Book Antiqua" w:eastAsia="Times New Roman" w:hAnsi="Book Antiqua"/>
          <w:szCs w:val="24"/>
          <w:lang w:val="es-DO"/>
        </w:rPr>
        <w:t>Ejercer el poder de expropiación forzosa dentro de sus respectivos límites territoriales.</w:t>
      </w:r>
      <w:r>
        <w:rPr>
          <w:rFonts w:ascii="Book Antiqua" w:eastAsia="Times New Roman" w:hAnsi="Book Antiqua"/>
          <w:szCs w:val="24"/>
          <w:lang w:val="es-DO"/>
        </w:rPr>
        <w:t>”</w:t>
      </w:r>
    </w:p>
    <w:p w14:paraId="0BED8418" w14:textId="77777777" w:rsidR="008A24E0" w:rsidRPr="008A24E0" w:rsidRDefault="008A24E0" w:rsidP="008A24E0">
      <w:pPr>
        <w:spacing w:before="100" w:beforeAutospacing="1" w:after="100" w:afterAutospacing="1"/>
        <w:jc w:val="both"/>
        <w:rPr>
          <w:rFonts w:ascii="Book Antiqua" w:eastAsia="Times New Roman" w:hAnsi="Book Antiqua"/>
          <w:szCs w:val="24"/>
          <w:lang w:val="es-DO"/>
        </w:rPr>
      </w:pPr>
      <w:r w:rsidRPr="008A24E0">
        <w:rPr>
          <w:rFonts w:ascii="Book Antiqua" w:eastAsia="Times New Roman" w:hAnsi="Book Antiqua"/>
          <w:szCs w:val="24"/>
          <w:lang w:val="es-DO"/>
        </w:rPr>
        <w:t>No se limita expresamente dicha facultad respecto al Gobierno Central.</w:t>
      </w:r>
    </w:p>
    <w:p w14:paraId="0EE53397" w14:textId="54653A9B" w:rsidR="008A24E0" w:rsidRPr="008A24E0" w:rsidRDefault="008A24E0" w:rsidP="008A24E0">
      <w:pPr>
        <w:spacing w:before="100" w:beforeAutospacing="1" w:after="100" w:afterAutospacing="1"/>
        <w:jc w:val="both"/>
        <w:rPr>
          <w:rFonts w:ascii="Book Antiqua" w:eastAsia="Times New Roman" w:hAnsi="Book Antiqua"/>
          <w:szCs w:val="24"/>
          <w:lang w:val="es-DO"/>
        </w:rPr>
      </w:pPr>
      <w:r w:rsidRPr="008A24E0">
        <w:rPr>
          <w:rFonts w:ascii="Book Antiqua" w:eastAsia="Times New Roman" w:hAnsi="Book Antiqua"/>
          <w:szCs w:val="24"/>
          <w:lang w:val="es-DO"/>
        </w:rPr>
        <w:lastRenderedPageBreak/>
        <w:t>Más aún, la Ley 114-2024 enmendó disposiciones para establecer que la Ley General de Expropiación Forzosa del 12 de marzo de 1903 será de carácter supletorio a las acciones de expropiación forzosa por parte de los municipios, pudiendo estos instar los procesos por cuenta propia.</w:t>
      </w:r>
      <w:r w:rsidR="002D2285">
        <w:rPr>
          <w:rFonts w:ascii="Book Antiqua" w:eastAsia="Times New Roman" w:hAnsi="Book Antiqua"/>
          <w:szCs w:val="24"/>
          <w:lang w:val="es-DO"/>
        </w:rPr>
        <w:t xml:space="preserve"> Según la apreciación de la Asociación, e</w:t>
      </w:r>
      <w:r w:rsidRPr="008A24E0">
        <w:rPr>
          <w:rFonts w:ascii="Book Antiqua" w:eastAsia="Times New Roman" w:hAnsi="Book Antiqua"/>
          <w:szCs w:val="24"/>
          <w:lang w:val="es-DO"/>
        </w:rPr>
        <w:t xml:space="preserve">l </w:t>
      </w:r>
      <w:r w:rsidR="005809AE">
        <w:rPr>
          <w:rFonts w:ascii="Book Antiqua" w:eastAsia="Times New Roman" w:hAnsi="Book Antiqua"/>
          <w:szCs w:val="24"/>
          <w:lang w:val="es-DO"/>
        </w:rPr>
        <w:t>p</w:t>
      </w:r>
      <w:r w:rsidRPr="008A24E0">
        <w:rPr>
          <w:rFonts w:ascii="Book Antiqua" w:eastAsia="Times New Roman" w:hAnsi="Book Antiqua"/>
          <w:szCs w:val="24"/>
          <w:lang w:val="es-DO"/>
        </w:rPr>
        <w:t>royecto propuesto iría en contra del ordenamiento vigente.</w:t>
      </w:r>
    </w:p>
    <w:p w14:paraId="06256FD2" w14:textId="6B74959A" w:rsidR="008A24E0" w:rsidRPr="008A24E0" w:rsidRDefault="002D2285" w:rsidP="008A24E0">
      <w:pPr>
        <w:spacing w:before="100" w:beforeAutospacing="1" w:after="100" w:afterAutospacing="1"/>
        <w:jc w:val="both"/>
        <w:rPr>
          <w:rFonts w:ascii="Book Antiqua" w:eastAsia="Times New Roman" w:hAnsi="Book Antiqua"/>
          <w:szCs w:val="24"/>
          <w:lang w:val="es-DO"/>
        </w:rPr>
      </w:pPr>
      <w:r w:rsidRPr="002D2285">
        <w:rPr>
          <w:rFonts w:ascii="Book Antiqua" w:eastAsia="Times New Roman" w:hAnsi="Book Antiqua"/>
          <w:szCs w:val="24"/>
          <w:lang w:val="es-DO"/>
        </w:rPr>
        <w:t>Continúa la Asociación expresando que e</w:t>
      </w:r>
      <w:r w:rsidR="008A24E0" w:rsidRPr="008A24E0">
        <w:rPr>
          <w:rFonts w:ascii="Book Antiqua" w:eastAsia="Times New Roman" w:hAnsi="Book Antiqua"/>
          <w:szCs w:val="24"/>
          <w:lang w:val="es-DO"/>
        </w:rPr>
        <w:t>l Artículo 4.008 —Identificación de Estorbos Públicos— dispone que los municipios realizarán los estudios necesarios dentro de sus límites territoriales para identificar propiedades que, por sus condiciones, deban ser calificadas como estorbos públicos.</w:t>
      </w:r>
      <w:r>
        <w:rPr>
          <w:rFonts w:ascii="Book Antiqua" w:eastAsia="Times New Roman" w:hAnsi="Book Antiqua"/>
          <w:szCs w:val="24"/>
          <w:lang w:val="es-DO"/>
        </w:rPr>
        <w:t xml:space="preserve"> </w:t>
      </w:r>
      <w:r w:rsidR="008A24E0" w:rsidRPr="008A24E0">
        <w:rPr>
          <w:rFonts w:ascii="Book Antiqua" w:eastAsia="Times New Roman" w:hAnsi="Book Antiqua"/>
          <w:szCs w:val="24"/>
          <w:lang w:val="es-DO"/>
        </w:rPr>
        <w:t>El Código no distingue si la propiedad pertenece al Estado o a un particular.</w:t>
      </w:r>
    </w:p>
    <w:p w14:paraId="7FC348BC" w14:textId="40AD55C7" w:rsidR="008A24E0" w:rsidRPr="008A24E0" w:rsidRDefault="005D697D" w:rsidP="008A24E0">
      <w:pPr>
        <w:spacing w:before="100" w:beforeAutospacing="1" w:after="100" w:afterAutospacing="1"/>
        <w:jc w:val="both"/>
        <w:rPr>
          <w:rFonts w:ascii="Book Antiqua" w:eastAsia="Times New Roman" w:hAnsi="Book Antiqua"/>
          <w:szCs w:val="24"/>
          <w:lang w:val="es-DO"/>
        </w:rPr>
      </w:pPr>
      <w:r>
        <w:rPr>
          <w:rFonts w:ascii="Book Antiqua" w:eastAsia="Times New Roman" w:hAnsi="Book Antiqua"/>
          <w:szCs w:val="24"/>
          <w:lang w:val="es-DO"/>
        </w:rPr>
        <w:t xml:space="preserve">De igual manera, la </w:t>
      </w:r>
      <w:r w:rsidR="00636D47">
        <w:rPr>
          <w:rFonts w:ascii="Book Antiqua" w:eastAsia="Times New Roman" w:hAnsi="Book Antiqua"/>
          <w:szCs w:val="24"/>
          <w:lang w:val="es-DO"/>
        </w:rPr>
        <w:t>Asociación</w:t>
      </w:r>
      <w:r>
        <w:rPr>
          <w:rFonts w:ascii="Book Antiqua" w:eastAsia="Times New Roman" w:hAnsi="Book Antiqua"/>
          <w:szCs w:val="24"/>
          <w:lang w:val="es-DO"/>
        </w:rPr>
        <w:t xml:space="preserve"> expresa, que </w:t>
      </w:r>
      <w:r w:rsidR="00636D47">
        <w:rPr>
          <w:rFonts w:ascii="Book Antiqua" w:eastAsia="Times New Roman" w:hAnsi="Book Antiqua"/>
          <w:szCs w:val="24"/>
          <w:lang w:val="es-DO"/>
        </w:rPr>
        <w:t>e</w:t>
      </w:r>
      <w:r w:rsidR="008A24E0" w:rsidRPr="008A24E0">
        <w:rPr>
          <w:rFonts w:ascii="Book Antiqua" w:eastAsia="Times New Roman" w:hAnsi="Book Antiqua"/>
          <w:szCs w:val="24"/>
          <w:lang w:val="es-DO"/>
        </w:rPr>
        <w:t>l Artículo 4.015 establece que los municipios promoverán que las viviendas sean adecuadas y seguras para sus habitantes, y les confiere el poder de remediar viviendas en estado inhabitable y eliminar aquellas que se hayan convertido en estorbos públicos.</w:t>
      </w:r>
      <w:r w:rsidR="00636D47">
        <w:rPr>
          <w:rFonts w:ascii="Book Antiqua" w:eastAsia="Times New Roman" w:hAnsi="Book Antiqua"/>
          <w:szCs w:val="24"/>
          <w:lang w:val="es-DO"/>
        </w:rPr>
        <w:t xml:space="preserve"> </w:t>
      </w:r>
      <w:r w:rsidR="008A24E0" w:rsidRPr="008A24E0">
        <w:rPr>
          <w:rFonts w:ascii="Book Antiqua" w:eastAsia="Times New Roman" w:hAnsi="Book Antiqua"/>
          <w:szCs w:val="24"/>
          <w:lang w:val="es-DO"/>
        </w:rPr>
        <w:t>Tampoco distingue si la propiedad es estatal o privada.</w:t>
      </w:r>
    </w:p>
    <w:p w14:paraId="48C83374" w14:textId="1CB4124D" w:rsidR="008A24E0" w:rsidRPr="00636D47" w:rsidRDefault="00636D47" w:rsidP="00636D47">
      <w:pPr>
        <w:spacing w:before="100" w:beforeAutospacing="1" w:after="100" w:afterAutospacing="1"/>
        <w:jc w:val="both"/>
        <w:outlineLvl w:val="2"/>
        <w:rPr>
          <w:rFonts w:ascii="Book Antiqua" w:eastAsia="Times New Roman" w:hAnsi="Book Antiqua"/>
          <w:b/>
          <w:bCs/>
          <w:szCs w:val="24"/>
          <w:lang w:val="es-DO"/>
        </w:rPr>
      </w:pPr>
      <w:r w:rsidRPr="00636D47">
        <w:rPr>
          <w:rFonts w:ascii="Book Antiqua" w:eastAsia="Times New Roman" w:hAnsi="Book Antiqua"/>
          <w:szCs w:val="24"/>
          <w:lang w:val="es-DO"/>
        </w:rPr>
        <w:t>En cuanto</w:t>
      </w:r>
      <w:r w:rsidR="008A24E0" w:rsidRPr="00636D47">
        <w:rPr>
          <w:rFonts w:ascii="Book Antiqua" w:eastAsia="Times New Roman" w:hAnsi="Book Antiqua"/>
          <w:szCs w:val="24"/>
          <w:lang w:val="es-DO"/>
        </w:rPr>
        <w:t xml:space="preserve"> </w:t>
      </w:r>
      <w:r>
        <w:rPr>
          <w:rFonts w:ascii="Book Antiqua" w:eastAsia="Times New Roman" w:hAnsi="Book Antiqua"/>
          <w:szCs w:val="24"/>
          <w:lang w:val="es-DO"/>
        </w:rPr>
        <w:t>a la adquisición de bienes municipales, la Asociación expresa</w:t>
      </w:r>
      <w:r w:rsidRPr="00636D47">
        <w:rPr>
          <w:rFonts w:ascii="Book Antiqua" w:eastAsia="Times New Roman" w:hAnsi="Book Antiqua"/>
          <w:szCs w:val="24"/>
          <w:lang w:val="es-DO"/>
        </w:rPr>
        <w:t xml:space="preserve"> que</w:t>
      </w:r>
      <w:r>
        <w:rPr>
          <w:rFonts w:ascii="Book Antiqua" w:eastAsia="Times New Roman" w:hAnsi="Book Antiqua"/>
          <w:b/>
          <w:bCs/>
          <w:szCs w:val="24"/>
          <w:lang w:val="es-DO"/>
        </w:rPr>
        <w:t xml:space="preserve"> </w:t>
      </w:r>
      <w:r>
        <w:rPr>
          <w:rFonts w:ascii="Book Antiqua" w:eastAsia="Times New Roman" w:hAnsi="Book Antiqua"/>
          <w:szCs w:val="24"/>
          <w:lang w:val="es-DO"/>
        </w:rPr>
        <w:t>e</w:t>
      </w:r>
      <w:r w:rsidR="008A24E0" w:rsidRPr="008A24E0">
        <w:rPr>
          <w:rFonts w:ascii="Book Antiqua" w:eastAsia="Times New Roman" w:hAnsi="Book Antiqua"/>
          <w:szCs w:val="24"/>
          <w:lang w:val="es-DO"/>
        </w:rPr>
        <w:t>l Artículo 2.017 dispone que los municipios podrán adquirir, por cualquier medio legal, incluyendo expropiación forzosa, los bienes y derechos necesarios para su operación y para el adecuado ejercicio de sus funciones.</w:t>
      </w:r>
    </w:p>
    <w:p w14:paraId="71512528" w14:textId="7E67E93E" w:rsidR="008A24E0" w:rsidRPr="00636D47" w:rsidRDefault="00636D47" w:rsidP="00636D47">
      <w:pPr>
        <w:spacing w:before="100" w:beforeAutospacing="1" w:after="100" w:afterAutospacing="1"/>
        <w:jc w:val="both"/>
        <w:outlineLvl w:val="2"/>
        <w:rPr>
          <w:rFonts w:ascii="Book Antiqua" w:eastAsia="Times New Roman" w:hAnsi="Book Antiqua"/>
          <w:b/>
          <w:bCs/>
          <w:szCs w:val="24"/>
          <w:lang w:val="es-DO"/>
        </w:rPr>
      </w:pPr>
      <w:r w:rsidRPr="00636D47">
        <w:rPr>
          <w:rFonts w:ascii="Book Antiqua" w:eastAsia="Times New Roman" w:hAnsi="Book Antiqua"/>
          <w:szCs w:val="24"/>
          <w:lang w:val="es-DO"/>
        </w:rPr>
        <w:t>Sobre la a</w:t>
      </w:r>
      <w:r w:rsidR="008A24E0" w:rsidRPr="00636D47">
        <w:rPr>
          <w:rFonts w:ascii="Book Antiqua" w:eastAsia="Times New Roman" w:hAnsi="Book Antiqua"/>
          <w:szCs w:val="24"/>
          <w:lang w:val="es-DO"/>
        </w:rPr>
        <w:t>dquisición sin consulta de transacció</w:t>
      </w:r>
      <w:r w:rsidRPr="00636D47">
        <w:rPr>
          <w:rFonts w:ascii="Book Antiqua" w:eastAsia="Times New Roman" w:hAnsi="Book Antiqua"/>
          <w:szCs w:val="24"/>
          <w:lang w:val="es-DO"/>
        </w:rPr>
        <w:t>n, se expresó que el</w:t>
      </w:r>
      <w:r>
        <w:rPr>
          <w:rFonts w:ascii="Book Antiqua" w:eastAsia="Times New Roman" w:hAnsi="Book Antiqua"/>
          <w:b/>
          <w:bCs/>
          <w:szCs w:val="24"/>
          <w:lang w:val="es-DO"/>
        </w:rPr>
        <w:t xml:space="preserve"> </w:t>
      </w:r>
      <w:r w:rsidR="008A24E0" w:rsidRPr="008A24E0">
        <w:rPr>
          <w:rFonts w:ascii="Book Antiqua" w:eastAsia="Times New Roman" w:hAnsi="Book Antiqua"/>
          <w:szCs w:val="24"/>
          <w:lang w:val="es-DO"/>
        </w:rPr>
        <w:t>Artículo 2.019 autoriza a los municipios a adquirir bienes inmuebles mediante expropiación forzosa u otro medio permitido en ley sin el requisito previo de consulta de transacción ante la Junta de Planificación, siempre que el inmueble esté ubicado dentro de la jurisdicción municipal.</w:t>
      </w:r>
    </w:p>
    <w:p w14:paraId="38C4C462" w14:textId="6F1DC706" w:rsidR="008A24E0" w:rsidRPr="008A24E0" w:rsidRDefault="00636D47" w:rsidP="008A24E0">
      <w:pPr>
        <w:spacing w:before="100" w:beforeAutospacing="1" w:after="100" w:afterAutospacing="1"/>
        <w:jc w:val="both"/>
        <w:rPr>
          <w:rFonts w:ascii="Book Antiqua" w:eastAsia="Times New Roman" w:hAnsi="Book Antiqua"/>
          <w:szCs w:val="24"/>
          <w:lang w:val="es-DO"/>
        </w:rPr>
      </w:pPr>
      <w:r>
        <w:rPr>
          <w:rFonts w:ascii="Book Antiqua" w:eastAsia="Times New Roman" w:hAnsi="Book Antiqua"/>
          <w:szCs w:val="24"/>
          <w:lang w:val="es-DO"/>
        </w:rPr>
        <w:t>La opinión de la Asociación es que n</w:t>
      </w:r>
      <w:r w:rsidR="008A24E0" w:rsidRPr="008A24E0">
        <w:rPr>
          <w:rFonts w:ascii="Book Antiqua" w:eastAsia="Times New Roman" w:hAnsi="Book Antiqua"/>
          <w:szCs w:val="24"/>
          <w:lang w:val="es-DO"/>
        </w:rPr>
        <w:t>inguna de estas disposiciones establece una excepción respecto a bienes del Estado.</w:t>
      </w:r>
      <w:r>
        <w:rPr>
          <w:rFonts w:ascii="Book Antiqua" w:eastAsia="Times New Roman" w:hAnsi="Book Antiqua"/>
          <w:szCs w:val="24"/>
          <w:lang w:val="es-DO"/>
        </w:rPr>
        <w:t xml:space="preserve"> De igual manera, opina </w:t>
      </w:r>
      <w:r w:rsidR="005809AE">
        <w:rPr>
          <w:rFonts w:ascii="Book Antiqua" w:eastAsia="Times New Roman" w:hAnsi="Book Antiqua"/>
          <w:szCs w:val="24"/>
          <w:lang w:val="es-DO"/>
        </w:rPr>
        <w:t>que,</w:t>
      </w:r>
      <w:r>
        <w:rPr>
          <w:rFonts w:ascii="Book Antiqua" w:eastAsia="Times New Roman" w:hAnsi="Book Antiqua"/>
          <w:szCs w:val="24"/>
          <w:lang w:val="es-DO"/>
        </w:rPr>
        <w:t xml:space="preserve"> a</w:t>
      </w:r>
      <w:r w:rsidR="008A24E0" w:rsidRPr="008A24E0">
        <w:rPr>
          <w:rFonts w:ascii="Book Antiqua" w:eastAsia="Times New Roman" w:hAnsi="Book Antiqua"/>
          <w:szCs w:val="24"/>
          <w:lang w:val="es-DO"/>
        </w:rPr>
        <w:t xml:space="preserve">unque el </w:t>
      </w:r>
      <w:r w:rsidR="005809AE">
        <w:rPr>
          <w:rFonts w:ascii="Book Antiqua" w:eastAsia="Times New Roman" w:hAnsi="Book Antiqua"/>
          <w:szCs w:val="24"/>
          <w:lang w:val="es-DO"/>
        </w:rPr>
        <w:t>p</w:t>
      </w:r>
      <w:r w:rsidR="008A24E0" w:rsidRPr="008A24E0">
        <w:rPr>
          <w:rFonts w:ascii="Book Antiqua" w:eastAsia="Times New Roman" w:hAnsi="Book Antiqua"/>
          <w:szCs w:val="24"/>
          <w:lang w:val="es-DO"/>
        </w:rPr>
        <w:t xml:space="preserve">royecto sostiene que permitir la expropiación municipal de bienes del Departamento de la Vivienda podría contravenir obligaciones federales o afectar inversiones públicas, no se desprende de la Exposición de Motivos ni del texto del </w:t>
      </w:r>
      <w:r w:rsidR="005809AE">
        <w:rPr>
          <w:rFonts w:ascii="Book Antiqua" w:eastAsia="Times New Roman" w:hAnsi="Book Antiqua"/>
          <w:szCs w:val="24"/>
          <w:lang w:val="es-DO"/>
        </w:rPr>
        <w:t>p</w:t>
      </w:r>
      <w:r w:rsidR="008A24E0" w:rsidRPr="008A24E0">
        <w:rPr>
          <w:rFonts w:ascii="Book Antiqua" w:eastAsia="Times New Roman" w:hAnsi="Book Antiqua"/>
          <w:szCs w:val="24"/>
          <w:lang w:val="es-DO"/>
        </w:rPr>
        <w:t>royecto data empírica o evidencia concreta que sustente tales alegaciones.</w:t>
      </w:r>
    </w:p>
    <w:p w14:paraId="7C4800F1" w14:textId="0C773755" w:rsidR="008A24E0" w:rsidRPr="008A24E0" w:rsidRDefault="008A24E0" w:rsidP="008A24E0">
      <w:pPr>
        <w:spacing w:before="100" w:beforeAutospacing="1" w:after="100" w:afterAutospacing="1"/>
        <w:jc w:val="both"/>
        <w:rPr>
          <w:rFonts w:ascii="Book Antiqua" w:eastAsia="Times New Roman" w:hAnsi="Book Antiqua"/>
          <w:szCs w:val="24"/>
          <w:lang w:val="es-DO"/>
        </w:rPr>
      </w:pPr>
      <w:r w:rsidRPr="00636D47">
        <w:rPr>
          <w:rFonts w:ascii="Book Antiqua" w:eastAsia="Times New Roman" w:hAnsi="Book Antiqua"/>
          <w:szCs w:val="24"/>
          <w:lang w:val="es-DO"/>
        </w:rPr>
        <w:t xml:space="preserve">La </w:t>
      </w:r>
      <w:r w:rsidR="005809AE" w:rsidRPr="00636D47">
        <w:rPr>
          <w:rFonts w:ascii="Book Antiqua" w:eastAsia="Times New Roman" w:hAnsi="Book Antiqua"/>
          <w:szCs w:val="24"/>
          <w:lang w:val="es-DO"/>
        </w:rPr>
        <w:t>Asociación solicitó</w:t>
      </w:r>
      <w:r w:rsidRPr="008A24E0">
        <w:rPr>
          <w:rFonts w:ascii="Book Antiqua" w:eastAsia="Times New Roman" w:hAnsi="Book Antiqua"/>
          <w:szCs w:val="24"/>
          <w:lang w:val="es-DO"/>
        </w:rPr>
        <w:t xml:space="preserve"> comentarios a varios alcaldes, quienes expresaron lo siguiente:</w:t>
      </w:r>
    </w:p>
    <w:p w14:paraId="715905B3" w14:textId="4E173204" w:rsidR="008A24E0" w:rsidRPr="00636D47" w:rsidRDefault="008A24E0" w:rsidP="00636D47">
      <w:pPr>
        <w:pStyle w:val="ListParagraph"/>
        <w:numPr>
          <w:ilvl w:val="0"/>
          <w:numId w:val="43"/>
        </w:numPr>
        <w:spacing w:before="100" w:beforeAutospacing="1" w:after="100" w:afterAutospacing="1"/>
        <w:outlineLvl w:val="2"/>
        <w:rPr>
          <w:rFonts w:ascii="Book Antiqua" w:eastAsia="Times New Roman" w:hAnsi="Book Antiqua"/>
          <w:b/>
          <w:bCs/>
          <w:szCs w:val="24"/>
          <w:lang w:val="es-DO"/>
        </w:rPr>
      </w:pPr>
      <w:r w:rsidRPr="00636D47">
        <w:rPr>
          <w:rFonts w:ascii="Book Antiqua" w:eastAsia="Times New Roman" w:hAnsi="Book Antiqua"/>
          <w:b/>
          <w:bCs/>
          <w:szCs w:val="24"/>
          <w:lang w:val="es-DO"/>
        </w:rPr>
        <w:t>Isabela</w:t>
      </w:r>
      <w:r w:rsidR="00636D47">
        <w:rPr>
          <w:rFonts w:ascii="Book Antiqua" w:eastAsia="Times New Roman" w:hAnsi="Book Antiqua"/>
          <w:b/>
          <w:bCs/>
          <w:szCs w:val="24"/>
          <w:lang w:val="es-DO"/>
        </w:rPr>
        <w:t>:</w:t>
      </w:r>
    </w:p>
    <w:p w14:paraId="7F3C9072" w14:textId="77777777" w:rsidR="008A24E0" w:rsidRPr="008A24E0" w:rsidRDefault="008A24E0" w:rsidP="008A24E0">
      <w:pPr>
        <w:numPr>
          <w:ilvl w:val="0"/>
          <w:numId w:val="40"/>
        </w:numPr>
        <w:spacing w:before="100" w:beforeAutospacing="1" w:after="100" w:afterAutospacing="1"/>
        <w:jc w:val="both"/>
        <w:rPr>
          <w:rFonts w:ascii="Book Antiqua" w:eastAsia="Times New Roman" w:hAnsi="Book Antiqua"/>
          <w:szCs w:val="24"/>
          <w:lang w:val="es-DO"/>
        </w:rPr>
      </w:pPr>
      <w:r w:rsidRPr="008A24E0">
        <w:rPr>
          <w:rFonts w:ascii="Book Antiqua" w:eastAsia="Times New Roman" w:hAnsi="Book Antiqua"/>
          <w:szCs w:val="24"/>
          <w:lang w:val="es-DO"/>
        </w:rPr>
        <w:t>Limitar indebidamente la facultad municipal para atender problemas de seguridad y salubridad pública no es aceptable.</w:t>
      </w:r>
    </w:p>
    <w:p w14:paraId="517E5F52" w14:textId="77777777" w:rsidR="008A24E0" w:rsidRPr="008A24E0" w:rsidRDefault="008A24E0" w:rsidP="008A24E0">
      <w:pPr>
        <w:numPr>
          <w:ilvl w:val="0"/>
          <w:numId w:val="40"/>
        </w:numPr>
        <w:spacing w:before="100" w:beforeAutospacing="1" w:after="100" w:afterAutospacing="1"/>
        <w:jc w:val="both"/>
        <w:rPr>
          <w:rFonts w:ascii="Book Antiqua" w:eastAsia="Times New Roman" w:hAnsi="Book Antiqua"/>
          <w:szCs w:val="24"/>
          <w:lang w:val="es-DO"/>
        </w:rPr>
      </w:pPr>
      <w:r w:rsidRPr="008A24E0">
        <w:rPr>
          <w:rFonts w:ascii="Book Antiqua" w:eastAsia="Times New Roman" w:hAnsi="Book Antiqua"/>
          <w:szCs w:val="24"/>
          <w:lang w:val="es-DO"/>
        </w:rPr>
        <w:t>Excluir inmuebles del Departamento de Vivienda deja a las comunidades sin herramientas efectivas.</w:t>
      </w:r>
    </w:p>
    <w:p w14:paraId="781BBB01" w14:textId="77777777" w:rsidR="008A24E0" w:rsidRPr="008A24E0" w:rsidRDefault="008A24E0" w:rsidP="008A24E0">
      <w:pPr>
        <w:numPr>
          <w:ilvl w:val="0"/>
          <w:numId w:val="40"/>
        </w:numPr>
        <w:spacing w:before="100" w:beforeAutospacing="1" w:after="100" w:afterAutospacing="1"/>
        <w:jc w:val="both"/>
        <w:rPr>
          <w:rFonts w:ascii="Book Antiqua" w:eastAsia="Times New Roman" w:hAnsi="Book Antiqua"/>
          <w:szCs w:val="24"/>
          <w:lang w:val="es-DO"/>
        </w:rPr>
      </w:pPr>
      <w:r w:rsidRPr="008A24E0">
        <w:rPr>
          <w:rFonts w:ascii="Book Antiqua" w:eastAsia="Times New Roman" w:hAnsi="Book Antiqua"/>
          <w:szCs w:val="24"/>
          <w:lang w:val="es-DO"/>
        </w:rPr>
        <w:lastRenderedPageBreak/>
        <w:t>Se atenta contra la autonomía municipal.</w:t>
      </w:r>
    </w:p>
    <w:p w14:paraId="5AE21CFB" w14:textId="77777777" w:rsidR="008A24E0" w:rsidRPr="008A24E0" w:rsidRDefault="008A24E0" w:rsidP="008A24E0">
      <w:pPr>
        <w:numPr>
          <w:ilvl w:val="0"/>
          <w:numId w:val="40"/>
        </w:numPr>
        <w:spacing w:before="100" w:beforeAutospacing="1" w:after="100" w:afterAutospacing="1"/>
        <w:jc w:val="both"/>
        <w:rPr>
          <w:rFonts w:ascii="Book Antiqua" w:eastAsia="Times New Roman" w:hAnsi="Book Antiqua"/>
          <w:szCs w:val="24"/>
          <w:lang w:val="es-DO"/>
        </w:rPr>
      </w:pPr>
      <w:r w:rsidRPr="008A24E0">
        <w:rPr>
          <w:rFonts w:ascii="Book Antiqua" w:eastAsia="Times New Roman" w:hAnsi="Book Antiqua"/>
          <w:szCs w:val="24"/>
          <w:lang w:val="es-DO"/>
        </w:rPr>
        <w:t xml:space="preserve">Deben establecerse mecanismos de coordinación </w:t>
      </w:r>
      <w:proofErr w:type="spellStart"/>
      <w:r w:rsidRPr="008A24E0">
        <w:rPr>
          <w:rFonts w:ascii="Book Antiqua" w:eastAsia="Times New Roman" w:hAnsi="Book Antiqua"/>
          <w:szCs w:val="24"/>
          <w:lang w:val="es-DO"/>
        </w:rPr>
        <w:t>interagencial</w:t>
      </w:r>
      <w:proofErr w:type="spellEnd"/>
      <w:r w:rsidRPr="008A24E0">
        <w:rPr>
          <w:rFonts w:ascii="Book Antiqua" w:eastAsia="Times New Roman" w:hAnsi="Book Antiqua"/>
          <w:szCs w:val="24"/>
          <w:lang w:val="es-DO"/>
        </w:rPr>
        <w:t xml:space="preserve"> con plazos razonables y procesos claros.</w:t>
      </w:r>
    </w:p>
    <w:p w14:paraId="2F7EC0B2" w14:textId="7B52BFC2" w:rsidR="008A24E0" w:rsidRPr="00636D47" w:rsidRDefault="008A24E0" w:rsidP="00636D47">
      <w:pPr>
        <w:pStyle w:val="ListParagraph"/>
        <w:numPr>
          <w:ilvl w:val="0"/>
          <w:numId w:val="43"/>
        </w:numPr>
        <w:spacing w:before="100" w:beforeAutospacing="1" w:after="100" w:afterAutospacing="1"/>
        <w:outlineLvl w:val="2"/>
        <w:rPr>
          <w:rFonts w:ascii="Book Antiqua" w:eastAsia="Times New Roman" w:hAnsi="Book Antiqua"/>
          <w:b/>
          <w:bCs/>
          <w:szCs w:val="24"/>
          <w:lang w:val="es-DO"/>
        </w:rPr>
      </w:pPr>
      <w:r w:rsidRPr="00636D47">
        <w:rPr>
          <w:rFonts w:ascii="Book Antiqua" w:eastAsia="Times New Roman" w:hAnsi="Book Antiqua"/>
          <w:b/>
          <w:bCs/>
          <w:szCs w:val="24"/>
          <w:lang w:val="es-DO"/>
        </w:rPr>
        <w:t>Caguas</w:t>
      </w:r>
      <w:r w:rsidR="00636D47">
        <w:rPr>
          <w:rFonts w:ascii="Book Antiqua" w:eastAsia="Times New Roman" w:hAnsi="Book Antiqua"/>
          <w:b/>
          <w:bCs/>
          <w:szCs w:val="24"/>
          <w:lang w:val="es-DO"/>
        </w:rPr>
        <w:t>:</w:t>
      </w:r>
    </w:p>
    <w:p w14:paraId="2CB33BA4" w14:textId="77777777" w:rsidR="008A24E0" w:rsidRPr="008A24E0" w:rsidRDefault="008A24E0" w:rsidP="008A24E0">
      <w:pPr>
        <w:numPr>
          <w:ilvl w:val="0"/>
          <w:numId w:val="41"/>
        </w:numPr>
        <w:spacing w:before="100" w:beforeAutospacing="1" w:after="100" w:afterAutospacing="1"/>
        <w:jc w:val="both"/>
        <w:rPr>
          <w:rFonts w:ascii="Book Antiqua" w:eastAsia="Times New Roman" w:hAnsi="Book Antiqua"/>
          <w:szCs w:val="24"/>
          <w:lang w:val="es-DO"/>
        </w:rPr>
      </w:pPr>
      <w:r w:rsidRPr="008A24E0">
        <w:rPr>
          <w:rFonts w:ascii="Book Antiqua" w:eastAsia="Times New Roman" w:hAnsi="Book Antiqua"/>
          <w:szCs w:val="24"/>
          <w:lang w:val="es-DO"/>
        </w:rPr>
        <w:t>No debe existir una prohibición absoluta.</w:t>
      </w:r>
    </w:p>
    <w:p w14:paraId="7303C749" w14:textId="77777777" w:rsidR="008A24E0" w:rsidRPr="008A24E0" w:rsidRDefault="008A24E0" w:rsidP="008A24E0">
      <w:pPr>
        <w:numPr>
          <w:ilvl w:val="0"/>
          <w:numId w:val="41"/>
        </w:numPr>
        <w:spacing w:before="100" w:beforeAutospacing="1" w:after="100" w:afterAutospacing="1"/>
        <w:jc w:val="both"/>
        <w:rPr>
          <w:rFonts w:ascii="Book Antiqua" w:eastAsia="Times New Roman" w:hAnsi="Book Antiqua"/>
          <w:szCs w:val="24"/>
          <w:lang w:val="es-DO"/>
        </w:rPr>
      </w:pPr>
      <w:r w:rsidRPr="008A24E0">
        <w:rPr>
          <w:rFonts w:ascii="Book Antiqua" w:eastAsia="Times New Roman" w:hAnsi="Book Antiqua"/>
          <w:szCs w:val="24"/>
          <w:lang w:val="es-DO"/>
        </w:rPr>
        <w:t>Podría perpetuar problemas de deterioro urbano e inercia administrativa.</w:t>
      </w:r>
    </w:p>
    <w:p w14:paraId="73012B03" w14:textId="77777777" w:rsidR="008A24E0" w:rsidRPr="008A24E0" w:rsidRDefault="008A24E0" w:rsidP="008A24E0">
      <w:pPr>
        <w:numPr>
          <w:ilvl w:val="0"/>
          <w:numId w:val="41"/>
        </w:numPr>
        <w:spacing w:before="100" w:beforeAutospacing="1" w:after="100" w:afterAutospacing="1"/>
        <w:jc w:val="both"/>
        <w:rPr>
          <w:rFonts w:ascii="Book Antiqua" w:eastAsia="Times New Roman" w:hAnsi="Book Antiqua"/>
          <w:szCs w:val="24"/>
          <w:lang w:val="es-DO"/>
        </w:rPr>
      </w:pPr>
      <w:r w:rsidRPr="008A24E0">
        <w:rPr>
          <w:rFonts w:ascii="Book Antiqua" w:eastAsia="Times New Roman" w:hAnsi="Book Antiqua"/>
          <w:szCs w:val="24"/>
          <w:lang w:val="es-DO"/>
        </w:rPr>
        <w:t>Los municipios han demostrado capacidad para gestionar inventarios y promover vivienda asequible.</w:t>
      </w:r>
    </w:p>
    <w:p w14:paraId="0EDBF6B9" w14:textId="77777777" w:rsidR="008A24E0" w:rsidRPr="008A24E0" w:rsidRDefault="008A24E0" w:rsidP="008A24E0">
      <w:pPr>
        <w:numPr>
          <w:ilvl w:val="0"/>
          <w:numId w:val="41"/>
        </w:numPr>
        <w:spacing w:before="100" w:beforeAutospacing="1" w:after="100" w:afterAutospacing="1"/>
        <w:jc w:val="both"/>
        <w:rPr>
          <w:rFonts w:ascii="Book Antiqua" w:eastAsia="Times New Roman" w:hAnsi="Book Antiqua"/>
          <w:szCs w:val="24"/>
          <w:lang w:val="es-DO"/>
        </w:rPr>
      </w:pPr>
      <w:r w:rsidRPr="008A24E0">
        <w:rPr>
          <w:rFonts w:ascii="Book Antiqua" w:eastAsia="Times New Roman" w:hAnsi="Book Antiqua"/>
          <w:szCs w:val="24"/>
          <w:lang w:val="es-DO"/>
        </w:rPr>
        <w:t>Debe establecerse un procedimiento expedito que permita al municipio expresar interés en la propiedad y, de no contestar el Departamento en un término razonable (por ejemplo, 15 días), continuar el procedimiento.</w:t>
      </w:r>
    </w:p>
    <w:p w14:paraId="2794C896" w14:textId="11973051" w:rsidR="008A24E0" w:rsidRPr="00636D47" w:rsidRDefault="008A24E0" w:rsidP="00636D47">
      <w:pPr>
        <w:pStyle w:val="ListParagraph"/>
        <w:numPr>
          <w:ilvl w:val="0"/>
          <w:numId w:val="43"/>
        </w:numPr>
        <w:spacing w:before="100" w:beforeAutospacing="1" w:after="100" w:afterAutospacing="1"/>
        <w:outlineLvl w:val="2"/>
        <w:rPr>
          <w:rFonts w:ascii="Book Antiqua" w:eastAsia="Times New Roman" w:hAnsi="Book Antiqua"/>
          <w:b/>
          <w:bCs/>
          <w:szCs w:val="24"/>
          <w:lang w:val="es-DO"/>
        </w:rPr>
      </w:pPr>
      <w:r w:rsidRPr="00636D47">
        <w:rPr>
          <w:rFonts w:ascii="Book Antiqua" w:eastAsia="Times New Roman" w:hAnsi="Book Antiqua"/>
          <w:b/>
          <w:bCs/>
          <w:szCs w:val="24"/>
          <w:lang w:val="es-DO"/>
        </w:rPr>
        <w:t>Humacao</w:t>
      </w:r>
      <w:r w:rsidR="00636D47">
        <w:rPr>
          <w:rFonts w:ascii="Book Antiqua" w:eastAsia="Times New Roman" w:hAnsi="Book Antiqua"/>
          <w:b/>
          <w:bCs/>
          <w:szCs w:val="24"/>
          <w:lang w:val="es-DO"/>
        </w:rPr>
        <w:t>:</w:t>
      </w:r>
    </w:p>
    <w:p w14:paraId="11DFF0DF" w14:textId="77777777" w:rsidR="008A24E0" w:rsidRPr="008A24E0" w:rsidRDefault="008A24E0" w:rsidP="008A24E0">
      <w:pPr>
        <w:numPr>
          <w:ilvl w:val="0"/>
          <w:numId w:val="42"/>
        </w:numPr>
        <w:spacing w:before="100" w:beforeAutospacing="1" w:after="100" w:afterAutospacing="1"/>
        <w:jc w:val="both"/>
        <w:rPr>
          <w:rFonts w:ascii="Book Antiqua" w:eastAsia="Times New Roman" w:hAnsi="Book Antiqua"/>
          <w:szCs w:val="24"/>
          <w:lang w:val="es-DO"/>
        </w:rPr>
      </w:pPr>
      <w:r w:rsidRPr="008A24E0">
        <w:rPr>
          <w:rFonts w:ascii="Book Antiqua" w:eastAsia="Times New Roman" w:hAnsi="Book Antiqua"/>
          <w:szCs w:val="24"/>
          <w:lang w:val="es-DO"/>
        </w:rPr>
        <w:t>Ante la dejadez del Departamento, son los municipios quienes atienden estas propiedades.</w:t>
      </w:r>
    </w:p>
    <w:p w14:paraId="40522357" w14:textId="5EEE4F28" w:rsidR="008A24E0" w:rsidRPr="008A24E0" w:rsidRDefault="008A24E0" w:rsidP="008A24E0">
      <w:pPr>
        <w:numPr>
          <w:ilvl w:val="0"/>
          <w:numId w:val="42"/>
        </w:numPr>
        <w:spacing w:before="100" w:beforeAutospacing="1" w:after="100" w:afterAutospacing="1"/>
        <w:jc w:val="both"/>
        <w:rPr>
          <w:rFonts w:ascii="Book Antiqua" w:eastAsia="Times New Roman" w:hAnsi="Book Antiqua"/>
          <w:szCs w:val="24"/>
          <w:lang w:val="es-DO"/>
        </w:rPr>
      </w:pPr>
      <w:r w:rsidRPr="008A24E0">
        <w:rPr>
          <w:rFonts w:ascii="Book Antiqua" w:eastAsia="Times New Roman" w:hAnsi="Book Antiqua"/>
          <w:szCs w:val="24"/>
          <w:lang w:val="es-DO"/>
        </w:rPr>
        <w:t>Vivienda debe establecer un proceso uniforme y ágil para estos casos.</w:t>
      </w:r>
    </w:p>
    <w:p w14:paraId="2832CBAB" w14:textId="59A7423C" w:rsidR="001F7182" w:rsidRPr="002566A6" w:rsidRDefault="008A24E0" w:rsidP="002566A6">
      <w:pPr>
        <w:spacing w:before="100" w:beforeAutospacing="1" w:after="100" w:afterAutospacing="1"/>
        <w:jc w:val="both"/>
        <w:rPr>
          <w:rFonts w:ascii="Book Antiqua" w:eastAsia="Times New Roman" w:hAnsi="Book Antiqua"/>
          <w:szCs w:val="24"/>
          <w:lang w:val="es-DO"/>
        </w:rPr>
      </w:pPr>
      <w:r w:rsidRPr="008A24E0">
        <w:rPr>
          <w:rFonts w:ascii="Book Antiqua" w:eastAsia="Times New Roman" w:hAnsi="Book Antiqua"/>
          <w:szCs w:val="24"/>
          <w:lang w:val="es-DO"/>
        </w:rPr>
        <w:t xml:space="preserve">Por las razones antes expuestas, </w:t>
      </w:r>
      <w:r>
        <w:rPr>
          <w:rFonts w:ascii="Book Antiqua" w:eastAsia="Times New Roman" w:hAnsi="Book Antiqua"/>
          <w:szCs w:val="24"/>
          <w:lang w:val="es-DO"/>
        </w:rPr>
        <w:t>la Asociación no endos</w:t>
      </w:r>
      <w:r w:rsidR="00636D47">
        <w:rPr>
          <w:rFonts w:ascii="Book Antiqua" w:eastAsia="Times New Roman" w:hAnsi="Book Antiqua"/>
          <w:szCs w:val="24"/>
          <w:lang w:val="es-DO"/>
        </w:rPr>
        <w:t>o</w:t>
      </w:r>
      <w:r w:rsidRPr="008A24E0">
        <w:rPr>
          <w:rFonts w:ascii="Book Antiqua" w:eastAsia="Times New Roman" w:hAnsi="Book Antiqua"/>
          <w:szCs w:val="24"/>
          <w:lang w:val="es-DO"/>
        </w:rPr>
        <w:t xml:space="preserve"> el Proyecto de la Cámara 996, por entender que limita indebidamente la autonomía municipal reconocida en el Código Municipal y restringe facultades expresamente conferidas por ley.</w:t>
      </w:r>
    </w:p>
    <w:p w14:paraId="0E019BED" w14:textId="1BB274AD" w:rsidR="00DB2C23" w:rsidRPr="00121062" w:rsidRDefault="00DB2C23" w:rsidP="002566A6">
      <w:pPr>
        <w:spacing w:before="100" w:beforeAutospacing="1" w:after="100" w:afterAutospacing="1"/>
        <w:ind w:firstLine="720"/>
        <w:rPr>
          <w:rFonts w:ascii="Book Antiqua" w:hAnsi="Book Antiqua"/>
          <w:b/>
          <w:bCs/>
          <w:i/>
          <w:iCs/>
          <w:lang w:val="es-ES"/>
        </w:rPr>
      </w:pPr>
      <w:r w:rsidRPr="00121062">
        <w:rPr>
          <w:rFonts w:ascii="Book Antiqua" w:hAnsi="Book Antiqua"/>
          <w:b/>
          <w:bCs/>
          <w:i/>
          <w:iCs/>
          <w:lang w:val="es-ES"/>
        </w:rPr>
        <w:t>Resumen de Memoriales:</w:t>
      </w:r>
    </w:p>
    <w:bookmarkEnd w:id="4"/>
    <w:p w14:paraId="54F3FA46" w14:textId="298F790F" w:rsidR="008A24E0" w:rsidRPr="008A24E0" w:rsidRDefault="009915D8" w:rsidP="008A24E0">
      <w:pPr>
        <w:pStyle w:val="NormalWeb"/>
        <w:jc w:val="both"/>
        <w:rPr>
          <w:rFonts w:ascii="Book Antiqua" w:hAnsi="Book Antiqua"/>
          <w:lang w:val="es-DO"/>
        </w:rPr>
      </w:pPr>
      <w:r w:rsidRPr="008A24E0">
        <w:rPr>
          <w:rFonts w:ascii="Book Antiqua" w:hAnsi="Book Antiqua"/>
          <w:lang w:val="es-DO"/>
        </w:rPr>
        <w:t xml:space="preserve">La </w:t>
      </w:r>
      <w:r w:rsidR="008A24E0" w:rsidRPr="008A24E0">
        <w:rPr>
          <w:rFonts w:ascii="Book Antiqua" w:hAnsi="Book Antiqua"/>
          <w:b/>
          <w:bCs/>
          <w:i/>
          <w:iCs/>
          <w:lang w:val="es-DO"/>
        </w:rPr>
        <w:t>Federación</w:t>
      </w:r>
      <w:r w:rsidRPr="008A24E0">
        <w:rPr>
          <w:rFonts w:ascii="Book Antiqua" w:hAnsi="Book Antiqua"/>
          <w:b/>
          <w:bCs/>
          <w:i/>
          <w:iCs/>
          <w:lang w:val="es-DO"/>
        </w:rPr>
        <w:t xml:space="preserve"> de </w:t>
      </w:r>
      <w:proofErr w:type="gramStart"/>
      <w:r w:rsidR="00242B71" w:rsidRPr="008A24E0">
        <w:rPr>
          <w:rFonts w:ascii="Book Antiqua" w:hAnsi="Book Antiqua"/>
          <w:b/>
          <w:bCs/>
          <w:i/>
          <w:iCs/>
          <w:lang w:val="es-DO"/>
        </w:rPr>
        <w:t>Alcaldes</w:t>
      </w:r>
      <w:proofErr w:type="gramEnd"/>
      <w:r w:rsidR="00636D47">
        <w:rPr>
          <w:rFonts w:ascii="Book Antiqua" w:hAnsi="Book Antiqua"/>
          <w:b/>
          <w:bCs/>
          <w:i/>
          <w:iCs/>
          <w:lang w:val="es-DO"/>
        </w:rPr>
        <w:t xml:space="preserve"> de Puerto Rico (FAPR</w:t>
      </w:r>
      <w:r w:rsidR="0054506D">
        <w:rPr>
          <w:rFonts w:ascii="Book Antiqua" w:hAnsi="Book Antiqua"/>
          <w:b/>
          <w:bCs/>
          <w:i/>
          <w:iCs/>
          <w:lang w:val="es-DO"/>
        </w:rPr>
        <w:t>)</w:t>
      </w:r>
      <w:r w:rsidR="0054506D" w:rsidRPr="008A24E0">
        <w:rPr>
          <w:rFonts w:ascii="Book Antiqua" w:hAnsi="Book Antiqua"/>
          <w:lang w:val="es-DO"/>
        </w:rPr>
        <w:t>,</w:t>
      </w:r>
      <w:r w:rsidR="0054506D">
        <w:rPr>
          <w:rFonts w:ascii="Book Antiqua" w:hAnsi="Book Antiqua"/>
          <w:lang w:val="es-DO"/>
        </w:rPr>
        <w:t xml:space="preserve"> </w:t>
      </w:r>
      <w:r w:rsidR="0054506D" w:rsidRPr="008A24E0">
        <w:rPr>
          <w:rFonts w:ascii="Book Antiqua" w:hAnsi="Book Antiqua"/>
          <w:lang w:val="es-DO"/>
        </w:rPr>
        <w:t>en</w:t>
      </w:r>
      <w:r w:rsidRPr="008A24E0">
        <w:rPr>
          <w:rFonts w:ascii="Book Antiqua" w:hAnsi="Book Antiqua"/>
          <w:lang w:val="es-DO"/>
        </w:rPr>
        <w:t xml:space="preserve"> su memorial del </w:t>
      </w:r>
      <w:r w:rsidR="008A24E0" w:rsidRPr="008A24E0">
        <w:rPr>
          <w:rFonts w:ascii="Book Antiqua" w:hAnsi="Book Antiqua"/>
          <w:lang w:val="es-DO"/>
        </w:rPr>
        <w:t>1</w:t>
      </w:r>
      <w:r w:rsidRPr="008A24E0">
        <w:rPr>
          <w:rFonts w:ascii="Book Antiqua" w:hAnsi="Book Antiqua"/>
          <w:lang w:val="es-DO"/>
        </w:rPr>
        <w:t xml:space="preserve">0 de </w:t>
      </w:r>
      <w:r w:rsidR="008A24E0" w:rsidRPr="008A24E0">
        <w:rPr>
          <w:rFonts w:ascii="Book Antiqua" w:hAnsi="Book Antiqua"/>
          <w:lang w:val="es-DO"/>
        </w:rPr>
        <w:t>febrero</w:t>
      </w:r>
      <w:r w:rsidRPr="008A24E0">
        <w:rPr>
          <w:rFonts w:ascii="Book Antiqua" w:hAnsi="Book Antiqua"/>
          <w:lang w:val="es-DO"/>
        </w:rPr>
        <w:t xml:space="preserve"> de 2026, suscrito por su </w:t>
      </w:r>
      <w:r w:rsidR="005809AE" w:rsidRPr="008A24E0">
        <w:rPr>
          <w:rFonts w:ascii="Book Antiqua" w:hAnsi="Book Antiqua"/>
          <w:lang w:val="es-DO"/>
        </w:rPr>
        <w:t>director ejecutivo</w:t>
      </w:r>
      <w:r w:rsidRPr="008A24E0">
        <w:rPr>
          <w:rFonts w:ascii="Book Antiqua" w:hAnsi="Book Antiqua"/>
          <w:lang w:val="es-DO"/>
        </w:rPr>
        <w:t xml:space="preserve">, </w:t>
      </w:r>
      <w:r w:rsidR="008A24E0" w:rsidRPr="008A24E0">
        <w:rPr>
          <w:rFonts w:ascii="Book Antiqua" w:hAnsi="Book Antiqua"/>
          <w:lang w:val="es-DO"/>
        </w:rPr>
        <w:t>Sr. Ángel M. Morales Vázquez</w:t>
      </w:r>
      <w:r w:rsidRPr="008A24E0">
        <w:rPr>
          <w:rFonts w:ascii="Book Antiqua" w:hAnsi="Book Antiqua"/>
          <w:lang w:val="es-DO"/>
        </w:rPr>
        <w:t xml:space="preserve">, </w:t>
      </w:r>
      <w:r w:rsidR="008A24E0" w:rsidRPr="008A24E0">
        <w:rPr>
          <w:rFonts w:ascii="Book Antiqua" w:hAnsi="Book Antiqua"/>
          <w:lang w:val="es-DO"/>
        </w:rPr>
        <w:t xml:space="preserve">indicó que el </w:t>
      </w:r>
      <w:r w:rsidR="005809AE">
        <w:rPr>
          <w:rFonts w:ascii="Book Antiqua" w:hAnsi="Book Antiqua"/>
          <w:lang w:val="es-DO"/>
        </w:rPr>
        <w:t>p</w:t>
      </w:r>
      <w:r w:rsidR="008A24E0" w:rsidRPr="008A24E0">
        <w:rPr>
          <w:rFonts w:ascii="Book Antiqua" w:hAnsi="Book Antiqua"/>
          <w:lang w:val="es-DO"/>
        </w:rPr>
        <w:t>royecto pretende enmendar el inciso (h) del Artículo 1.008 de la Ley Núm. 107-2020, conocida como el “Código Municipal de Puerto Rico”, a los fines de establecer que los bienes inmuebles pertenecientes al Departamento de la Vivienda no podrán ser declarados estorbo público ni ser expropiados por los municipios.</w:t>
      </w:r>
    </w:p>
    <w:p w14:paraId="2ED53E1A" w14:textId="7EDE05BD" w:rsidR="008A24E0" w:rsidRPr="008A24E0" w:rsidRDefault="008A24E0" w:rsidP="008A24E0">
      <w:pPr>
        <w:spacing w:before="100" w:beforeAutospacing="1" w:after="100" w:afterAutospacing="1"/>
        <w:jc w:val="both"/>
        <w:rPr>
          <w:rFonts w:ascii="Book Antiqua" w:eastAsia="Times New Roman" w:hAnsi="Book Antiqua"/>
          <w:szCs w:val="24"/>
          <w:lang w:val="es-DO"/>
        </w:rPr>
      </w:pPr>
      <w:r w:rsidRPr="008A24E0">
        <w:rPr>
          <w:rFonts w:ascii="Book Antiqua" w:eastAsia="Times New Roman" w:hAnsi="Book Antiqua"/>
          <w:szCs w:val="24"/>
          <w:lang w:val="es-DO"/>
        </w:rPr>
        <w:t xml:space="preserve">Señala la Federación que, según la Exposición de Motivos del </w:t>
      </w:r>
      <w:r w:rsidR="005809AE">
        <w:rPr>
          <w:rFonts w:ascii="Book Antiqua" w:eastAsia="Times New Roman" w:hAnsi="Book Antiqua"/>
          <w:szCs w:val="24"/>
          <w:lang w:val="es-DO"/>
        </w:rPr>
        <w:t>p</w:t>
      </w:r>
      <w:r w:rsidRPr="008A24E0">
        <w:rPr>
          <w:rFonts w:ascii="Book Antiqua" w:eastAsia="Times New Roman" w:hAnsi="Book Antiqua"/>
          <w:szCs w:val="24"/>
          <w:lang w:val="es-DO"/>
        </w:rPr>
        <w:t xml:space="preserve">royecto, aunque el Código Municipal faculta a los municipios </w:t>
      </w:r>
      <w:r w:rsidR="0054506D">
        <w:rPr>
          <w:rFonts w:ascii="Book Antiqua" w:eastAsia="Times New Roman" w:hAnsi="Book Antiqua"/>
          <w:szCs w:val="24"/>
          <w:lang w:val="es-DO"/>
        </w:rPr>
        <w:t>para</w:t>
      </w:r>
      <w:r w:rsidRPr="008A24E0">
        <w:rPr>
          <w:rFonts w:ascii="Book Antiqua" w:eastAsia="Times New Roman" w:hAnsi="Book Antiqua"/>
          <w:szCs w:val="24"/>
          <w:lang w:val="es-DO"/>
        </w:rPr>
        <w:t xml:space="preserve"> identificar y atender propiedades en estado de abandono, dicha facultad no puede ejercerse sobre bienes inmuebles cuyo titular es el Departamento de la Vivienda, ya que ello podría contravenir obligaciones federales, afectar inversiones de fondos públicos y comprometer iniciativas gubernamentales dirigidas al desarrollo social y comunitario.</w:t>
      </w:r>
    </w:p>
    <w:p w14:paraId="5E9BE2A7" w14:textId="77777777" w:rsidR="008A24E0" w:rsidRPr="008A24E0" w:rsidRDefault="008A24E0" w:rsidP="008A24E0">
      <w:pPr>
        <w:spacing w:before="100" w:beforeAutospacing="1" w:after="100" w:afterAutospacing="1"/>
        <w:jc w:val="both"/>
        <w:rPr>
          <w:rFonts w:ascii="Book Antiqua" w:eastAsia="Times New Roman" w:hAnsi="Book Antiqua"/>
          <w:szCs w:val="24"/>
          <w:lang w:val="es-DO"/>
        </w:rPr>
      </w:pPr>
      <w:r w:rsidRPr="008A24E0">
        <w:rPr>
          <w:rFonts w:ascii="Book Antiqua" w:eastAsia="Times New Roman" w:hAnsi="Book Antiqua"/>
          <w:szCs w:val="24"/>
          <w:lang w:val="es-DO"/>
        </w:rPr>
        <w:t xml:space="preserve">La Federación expone que, mediante la Ley 114-2024, se enmendó el Código Municipal para incorporar el inciso (h) al Artículo 1.008, precisamente con el propósito de atender </w:t>
      </w:r>
      <w:r w:rsidRPr="008A24E0">
        <w:rPr>
          <w:rFonts w:ascii="Book Antiqua" w:eastAsia="Times New Roman" w:hAnsi="Book Antiqua"/>
          <w:szCs w:val="24"/>
          <w:lang w:val="es-DO"/>
        </w:rPr>
        <w:lastRenderedPageBreak/>
        <w:t>el problema de los estorbos públicos, asunto que catalogan como de importancia neurálgica para los municipios.</w:t>
      </w:r>
    </w:p>
    <w:p w14:paraId="1D530A52" w14:textId="77777777" w:rsidR="008A24E0" w:rsidRPr="008A24E0" w:rsidRDefault="008A24E0" w:rsidP="008A24E0">
      <w:pPr>
        <w:spacing w:before="100" w:beforeAutospacing="1" w:after="100" w:afterAutospacing="1"/>
        <w:jc w:val="both"/>
        <w:rPr>
          <w:rFonts w:ascii="Book Antiqua" w:eastAsia="Times New Roman" w:hAnsi="Book Antiqua"/>
          <w:szCs w:val="24"/>
          <w:lang w:val="es-DO"/>
        </w:rPr>
      </w:pPr>
      <w:r w:rsidRPr="008A24E0">
        <w:rPr>
          <w:rFonts w:ascii="Book Antiqua" w:eastAsia="Times New Roman" w:hAnsi="Book Antiqua"/>
          <w:szCs w:val="24"/>
          <w:lang w:val="es-DO"/>
        </w:rPr>
        <w:t>Sostiene que los inmuebles clasificados como estorbos públicos constituyen una amenaza para la salud y seguridad de los residentes, por lo que los municipios tienen la responsabilidad y misión de atender dicha problemática conforme a las facultades conferidas por la Ley 107-2020.</w:t>
      </w:r>
    </w:p>
    <w:p w14:paraId="15BFA39D" w14:textId="7D4DC1DD" w:rsidR="008A24E0" w:rsidRPr="008A24E0" w:rsidRDefault="008A24E0" w:rsidP="008A24E0">
      <w:pPr>
        <w:spacing w:before="100" w:beforeAutospacing="1" w:after="100" w:afterAutospacing="1"/>
        <w:jc w:val="both"/>
        <w:rPr>
          <w:rFonts w:ascii="Book Antiqua" w:eastAsia="Times New Roman" w:hAnsi="Book Antiqua"/>
          <w:szCs w:val="24"/>
          <w:lang w:val="es-DO"/>
        </w:rPr>
      </w:pPr>
      <w:r w:rsidRPr="008A24E0">
        <w:rPr>
          <w:rFonts w:ascii="Book Antiqua" w:eastAsia="Times New Roman" w:hAnsi="Book Antiqua"/>
          <w:szCs w:val="24"/>
          <w:lang w:val="es-DO"/>
        </w:rPr>
        <w:t xml:space="preserve">En particular, hace referencia al Artículo 2.018(b) del Código Municipal, el cual dispone que los municipios podrán instar un proceso de expropiación forzosa por cuenta propia cuando la propiedad pertenezca al Gobierno </w:t>
      </w:r>
      <w:r w:rsidR="005809AE">
        <w:rPr>
          <w:rFonts w:ascii="Book Antiqua" w:eastAsia="Times New Roman" w:hAnsi="Book Antiqua"/>
          <w:szCs w:val="24"/>
          <w:lang w:val="es-DO"/>
        </w:rPr>
        <w:t>E</w:t>
      </w:r>
      <w:r w:rsidRPr="008A24E0">
        <w:rPr>
          <w:rFonts w:ascii="Book Antiqua" w:eastAsia="Times New Roman" w:hAnsi="Book Antiqua"/>
          <w:szCs w:val="24"/>
          <w:lang w:val="es-DO"/>
        </w:rPr>
        <w:t xml:space="preserve">statal o a alguna de sus instrumentalidades o corporaciones públicas, siempre que medie autorización mediante Resolución Conjunta de la Asamblea Legislativa. Asimismo, establece que, si la propiedad perteneció al Gobierno </w:t>
      </w:r>
      <w:r w:rsidR="005809AE">
        <w:rPr>
          <w:rFonts w:ascii="Book Antiqua" w:eastAsia="Times New Roman" w:hAnsi="Book Antiqua"/>
          <w:szCs w:val="24"/>
          <w:lang w:val="es-DO"/>
        </w:rPr>
        <w:t>E</w:t>
      </w:r>
      <w:r w:rsidRPr="008A24E0">
        <w:rPr>
          <w:rFonts w:ascii="Book Antiqua" w:eastAsia="Times New Roman" w:hAnsi="Book Antiqua"/>
          <w:szCs w:val="24"/>
          <w:lang w:val="es-DO"/>
        </w:rPr>
        <w:t>statal durante los diez (10) años anteriores a la solicitud de expropiación, la acción municipal no contravendrá el fin público para el cual el Gobierno reservó la propiedad en la transmisión del dominio.</w:t>
      </w:r>
    </w:p>
    <w:p w14:paraId="2BAEA3C4" w14:textId="1B1AB1E7" w:rsidR="008A24E0" w:rsidRPr="008A24E0" w:rsidRDefault="008A24E0" w:rsidP="008A24E0">
      <w:pPr>
        <w:spacing w:before="100" w:beforeAutospacing="1" w:after="100" w:afterAutospacing="1"/>
        <w:jc w:val="both"/>
        <w:rPr>
          <w:rFonts w:ascii="Book Antiqua" w:eastAsia="Times New Roman" w:hAnsi="Book Antiqua"/>
          <w:szCs w:val="24"/>
          <w:lang w:val="es-DO"/>
        </w:rPr>
      </w:pPr>
      <w:r w:rsidRPr="008A24E0">
        <w:rPr>
          <w:rFonts w:ascii="Book Antiqua" w:eastAsia="Times New Roman" w:hAnsi="Book Antiqua"/>
          <w:szCs w:val="24"/>
          <w:lang w:val="es-DO"/>
        </w:rPr>
        <w:t>A base de ello, la Federación argumenta que lo propuesto en el Proyecto contraviene las normas expresadas en la Ley 107-2020, la cual reconoce la autonomía municipal para ejercer las facultades inherentes a sus fines y funciones, incluyendo la restauración de comunidades en beneficio de los residentes.</w:t>
      </w:r>
      <w:r w:rsidR="00864A55">
        <w:rPr>
          <w:rFonts w:ascii="Book Antiqua" w:eastAsia="Times New Roman" w:hAnsi="Book Antiqua"/>
          <w:szCs w:val="24"/>
          <w:lang w:val="es-DO"/>
        </w:rPr>
        <w:t xml:space="preserve"> </w:t>
      </w:r>
      <w:r w:rsidRPr="008A24E0">
        <w:rPr>
          <w:rFonts w:ascii="Book Antiqua" w:eastAsia="Times New Roman" w:hAnsi="Book Antiqua"/>
          <w:szCs w:val="24"/>
          <w:lang w:val="es-DO"/>
        </w:rPr>
        <w:t>La Federación sostiene que la medida afecta la política pública de autonomía municipal declarada en el Código Municipal, que otorga a los municipios el máximo grado posible de autonomía, así como las herramientas financieras, fiscales y los poderes necesarios para asumir una función central en su desarrollo urbano, social y económico.</w:t>
      </w:r>
    </w:p>
    <w:p w14:paraId="65CD5C7C" w14:textId="77777777" w:rsidR="008A24E0" w:rsidRPr="008A24E0" w:rsidRDefault="008A24E0" w:rsidP="008A24E0">
      <w:pPr>
        <w:spacing w:before="100" w:beforeAutospacing="1" w:after="100" w:afterAutospacing="1"/>
        <w:jc w:val="both"/>
        <w:rPr>
          <w:rFonts w:ascii="Book Antiqua" w:eastAsia="Times New Roman" w:hAnsi="Book Antiqua"/>
          <w:szCs w:val="24"/>
          <w:lang w:val="es-DO"/>
        </w:rPr>
      </w:pPr>
      <w:r w:rsidRPr="008A24E0">
        <w:rPr>
          <w:rFonts w:ascii="Book Antiqua" w:eastAsia="Times New Roman" w:hAnsi="Book Antiqua"/>
          <w:szCs w:val="24"/>
          <w:lang w:val="es-DO"/>
        </w:rPr>
        <w:t>Añade que el Código Municipal faculta a los municipios a restaurar y ocupar estructuras que, por sus condiciones, constituyan amenaza a la salud, seguridad y bienestar de los residentes de las comunidades donde están situadas, sin distinguir si se trata de propiedad estatal o privada.</w:t>
      </w:r>
    </w:p>
    <w:p w14:paraId="1261E96D" w14:textId="1D620AC6" w:rsidR="008A24E0" w:rsidRPr="008A24E0" w:rsidRDefault="008A24E0" w:rsidP="008A24E0">
      <w:pPr>
        <w:spacing w:before="100" w:beforeAutospacing="1" w:after="100" w:afterAutospacing="1"/>
        <w:jc w:val="both"/>
        <w:rPr>
          <w:rFonts w:ascii="Book Antiqua" w:eastAsia="Times New Roman" w:hAnsi="Book Antiqua"/>
          <w:szCs w:val="24"/>
          <w:lang w:val="es-DO"/>
        </w:rPr>
      </w:pPr>
      <w:r w:rsidRPr="008A24E0">
        <w:rPr>
          <w:rFonts w:ascii="Book Antiqua" w:eastAsia="Times New Roman" w:hAnsi="Book Antiqua"/>
          <w:szCs w:val="24"/>
          <w:lang w:val="es-DO"/>
        </w:rPr>
        <w:t xml:space="preserve">Asimismo, expresa que el cumplimiento con la legislación vigente no contraviene obligaciones federales, no afecta inversiones de fondos públicos ni compromete iniciativas gubernamentales dirigidas al desarrollo social y comunitario, contrario a lo planteado en la Exposición de Motivos del </w:t>
      </w:r>
      <w:r w:rsidR="005809AE">
        <w:rPr>
          <w:rFonts w:ascii="Book Antiqua" w:eastAsia="Times New Roman" w:hAnsi="Book Antiqua"/>
          <w:szCs w:val="24"/>
          <w:lang w:val="es-DO"/>
        </w:rPr>
        <w:t>p</w:t>
      </w:r>
      <w:r w:rsidRPr="008A24E0">
        <w:rPr>
          <w:rFonts w:ascii="Book Antiqua" w:eastAsia="Times New Roman" w:hAnsi="Book Antiqua"/>
          <w:szCs w:val="24"/>
          <w:lang w:val="es-DO"/>
        </w:rPr>
        <w:t>royecto.</w:t>
      </w:r>
    </w:p>
    <w:p w14:paraId="52FC3EE4" w14:textId="789D2DD3" w:rsidR="008A24E0" w:rsidRPr="008A24E0" w:rsidRDefault="008A24E0" w:rsidP="008A24E0">
      <w:pPr>
        <w:spacing w:before="100" w:beforeAutospacing="1" w:after="100" w:afterAutospacing="1"/>
        <w:jc w:val="both"/>
        <w:rPr>
          <w:rFonts w:ascii="Book Antiqua" w:eastAsia="Times New Roman" w:hAnsi="Book Antiqua"/>
          <w:szCs w:val="24"/>
          <w:lang w:val="es-DO"/>
        </w:rPr>
      </w:pPr>
      <w:r w:rsidRPr="008A24E0">
        <w:rPr>
          <w:rFonts w:ascii="Book Antiqua" w:eastAsia="Times New Roman" w:hAnsi="Book Antiqua"/>
          <w:szCs w:val="24"/>
          <w:lang w:val="es-DO"/>
        </w:rPr>
        <w:t xml:space="preserve">Por las razones antes expuestas, la Federación de Alcaldes de Puerto Rico expresó formalmente que </w:t>
      </w:r>
      <w:r w:rsidRPr="00636D47">
        <w:rPr>
          <w:rFonts w:ascii="Book Antiqua" w:eastAsia="Times New Roman" w:hAnsi="Book Antiqua"/>
          <w:szCs w:val="24"/>
          <w:lang w:val="es-DO"/>
        </w:rPr>
        <w:t>no</w:t>
      </w:r>
      <w:r>
        <w:rPr>
          <w:rFonts w:ascii="Book Antiqua" w:eastAsia="Times New Roman" w:hAnsi="Book Antiqua"/>
          <w:szCs w:val="24"/>
          <w:lang w:val="es-DO"/>
        </w:rPr>
        <w:t xml:space="preserve"> endosa </w:t>
      </w:r>
      <w:r w:rsidRPr="008A24E0">
        <w:rPr>
          <w:rFonts w:ascii="Book Antiqua" w:eastAsia="Times New Roman" w:hAnsi="Book Antiqua"/>
          <w:szCs w:val="24"/>
          <w:lang w:val="es-DO"/>
        </w:rPr>
        <w:t>l Proyecto de la Cámara 996, por entender que la medida contraviene lo establecido en la Ley 107-2020 y afecta la prestación de servicios esenciales que requieren las comunidades.</w:t>
      </w:r>
    </w:p>
    <w:p w14:paraId="5F9BE8B0" w14:textId="77777777" w:rsidR="009E07AA" w:rsidRDefault="009E07AA" w:rsidP="008A24E0">
      <w:pPr>
        <w:pStyle w:val="NormalWeb"/>
        <w:jc w:val="center"/>
        <w:rPr>
          <w:rFonts w:ascii="Book Antiqua" w:hAnsi="Book Antiqua"/>
          <w:b/>
          <w:i/>
          <w:smallCaps/>
          <w:color w:val="000000" w:themeColor="text1"/>
          <w:lang w:val="es-ES_tradnl"/>
        </w:rPr>
      </w:pPr>
    </w:p>
    <w:p w14:paraId="4FF2ECB3" w14:textId="625E8833" w:rsidR="009B3675" w:rsidRPr="00BB54F0" w:rsidRDefault="009B3675" w:rsidP="008A24E0">
      <w:pPr>
        <w:pStyle w:val="NormalWeb"/>
        <w:jc w:val="center"/>
        <w:rPr>
          <w:rFonts w:ascii="Book Antiqua" w:hAnsi="Book Antiqua"/>
          <w:b/>
          <w:i/>
          <w:smallCaps/>
          <w:color w:val="000000" w:themeColor="text1"/>
          <w:lang w:val="es-ES_tradnl"/>
        </w:rPr>
      </w:pPr>
      <w:r w:rsidRPr="00721BCE">
        <w:rPr>
          <w:rFonts w:ascii="Book Antiqua" w:hAnsi="Book Antiqua"/>
          <w:b/>
          <w:i/>
          <w:smallCaps/>
          <w:color w:val="000000" w:themeColor="text1"/>
          <w:lang w:val="es-ES_tradnl"/>
        </w:rPr>
        <w:lastRenderedPageBreak/>
        <w:t>Enmiendas Recomendadas</w:t>
      </w:r>
    </w:p>
    <w:p w14:paraId="1E197DE3" w14:textId="0E249C23" w:rsidR="002566A6" w:rsidRPr="002566A6" w:rsidRDefault="002566A6" w:rsidP="002566A6">
      <w:pPr>
        <w:pStyle w:val="NormalWeb"/>
        <w:jc w:val="both"/>
        <w:rPr>
          <w:rFonts w:ascii="Book Antiqua" w:hAnsi="Book Antiqua"/>
        </w:rPr>
      </w:pPr>
      <w:r w:rsidRPr="002566A6">
        <w:rPr>
          <w:rFonts w:ascii="Book Antiqua" w:hAnsi="Book Antiqua"/>
        </w:rPr>
        <w:t xml:space="preserve">En atención a las recomendaciones formuladas por el Departamento de Justicia, </w:t>
      </w:r>
      <w:r w:rsidR="00864A55">
        <w:rPr>
          <w:rFonts w:ascii="Book Antiqua" w:hAnsi="Book Antiqua"/>
        </w:rPr>
        <w:t>se</w:t>
      </w:r>
      <w:r w:rsidRPr="002566A6">
        <w:rPr>
          <w:rFonts w:ascii="Book Antiqua" w:hAnsi="Book Antiqua"/>
        </w:rPr>
        <w:t xml:space="preserve"> incorporó en la medida un lenguaje preciso para establecer que, una vez el municipio realice la investigación y estudio de las propiedades conforme al Artículo 4.008 del Código Municipal, toda propiedad cuya titularidad conste a nombre del Departamento de la Vivienda quedará excluida expresamente de la declaración de estorbo público y, por consiguiente, de cualquier procedimiento de expropiación forzosa. Asimismo, se añadió la obligación de que el municipio, al identificar que el inmueble pertenece al Departamento de la Vivienda, notifique formalmente a dicha agencia sobre el estatus de la propiedad e informe cualquier situación relacionada con salubridad, seguridad pública o riesgo estructural detectada durante la investigación, a fin de que esta pueda adoptar las medidas correctivas correspondientes dentro de su ámbito de autoridad.</w:t>
      </w:r>
    </w:p>
    <w:p w14:paraId="34ECD4C2" w14:textId="6A27A98E" w:rsidR="00F34222" w:rsidRPr="00864A55" w:rsidRDefault="002566A6" w:rsidP="00864A55">
      <w:pPr>
        <w:pStyle w:val="NormalWeb"/>
        <w:jc w:val="both"/>
        <w:rPr>
          <w:rFonts w:ascii="Book Antiqua" w:hAnsi="Book Antiqua"/>
        </w:rPr>
      </w:pPr>
      <w:r w:rsidRPr="002566A6">
        <w:rPr>
          <w:rFonts w:ascii="Book Antiqua" w:hAnsi="Book Antiqua"/>
        </w:rPr>
        <w:t>De igual forma, y con el propósito de asegurar uniformidad normativa y evitar interpretaciones contradictorias, la Comisión acogió la recomendación de extender expresamente esta prohibición a los Artículos 2.018, 2.019, 4.008, 4.010, 4.012 y 4.012A del Código Municipal, que regulan los distintos procedimientos de expropiación forzosa y declaración de estorbo público. Con ello se fortalece la coherencia interna del estatuto, se previenen conflictos interpretativos y se garantiza que la intención legislativa de proteger los bienes bajo la titularidad del Departamento de la Vivienda quede claramente reflejada en todo el andamiaje procesal aplicable.</w:t>
      </w:r>
    </w:p>
    <w:p w14:paraId="0513540A" w14:textId="5B505C2B" w:rsidR="00721BCE" w:rsidRDefault="004000AE" w:rsidP="009962C2">
      <w:pPr>
        <w:jc w:val="center"/>
        <w:rPr>
          <w:rFonts w:ascii="Book Antiqua" w:hAnsi="Book Antiqua"/>
          <w:b/>
          <w:i/>
          <w:smallCaps/>
          <w:color w:val="000000" w:themeColor="text1"/>
          <w:szCs w:val="24"/>
          <w:lang w:val="es-ES_tradnl"/>
        </w:rPr>
      </w:pPr>
      <w:r w:rsidRPr="00FF33FB">
        <w:rPr>
          <w:rFonts w:ascii="Book Antiqua" w:hAnsi="Book Antiqua"/>
          <w:b/>
          <w:i/>
          <w:smallCaps/>
          <w:color w:val="000000" w:themeColor="text1"/>
          <w:szCs w:val="24"/>
          <w:lang w:val="es-ES_tradnl"/>
        </w:rPr>
        <w:t xml:space="preserve">Análisis </w:t>
      </w:r>
      <w:r w:rsidR="00C646DB" w:rsidRPr="00FF33FB">
        <w:rPr>
          <w:rFonts w:ascii="Book Antiqua" w:hAnsi="Book Antiqua"/>
          <w:b/>
          <w:i/>
          <w:smallCaps/>
          <w:color w:val="000000" w:themeColor="text1"/>
          <w:szCs w:val="24"/>
          <w:lang w:val="es-ES_tradnl"/>
        </w:rPr>
        <w:t>De la Medida</w:t>
      </w:r>
    </w:p>
    <w:p w14:paraId="760090D9" w14:textId="0CCBFF88" w:rsidR="002566A6" w:rsidRPr="00636D47" w:rsidRDefault="002566A6" w:rsidP="002566A6">
      <w:pPr>
        <w:pStyle w:val="NormalWeb"/>
        <w:jc w:val="both"/>
        <w:rPr>
          <w:rFonts w:ascii="Book Antiqua" w:hAnsi="Book Antiqua"/>
        </w:rPr>
      </w:pPr>
      <w:r w:rsidRPr="00636D47">
        <w:rPr>
          <w:rFonts w:ascii="Book Antiqua" w:hAnsi="Book Antiqua"/>
        </w:rPr>
        <w:t>El Proyecto de la Cámara 996 responde a una necesidad real de política pública: salvaguardar bienes inmuebles bajo la titularidad del Departamento de la Vivienda que, por su naturaleza, no constituyen simples propiedades en desuso, sino activos públicos insertos en programas de vivienda y revitalización urbana</w:t>
      </w:r>
      <w:r w:rsidR="0054506D">
        <w:rPr>
          <w:rFonts w:ascii="Book Antiqua" w:hAnsi="Book Antiqua"/>
        </w:rPr>
        <w:t>, sujetos a planificación estratégica, procesos administrativos complejos y al cumplimiento riguroso de la</w:t>
      </w:r>
      <w:r w:rsidRPr="00636D47">
        <w:rPr>
          <w:rFonts w:ascii="Book Antiqua" w:hAnsi="Book Antiqua"/>
        </w:rPr>
        <w:t xml:space="preserve"> normativa estatal y federal. En ese contexto, la medida </w:t>
      </w:r>
      <w:r w:rsidR="00636D47" w:rsidRPr="00636D47">
        <w:rPr>
          <w:rFonts w:ascii="Book Antiqua" w:hAnsi="Book Antiqua"/>
        </w:rPr>
        <w:t xml:space="preserve">ante consideración </w:t>
      </w:r>
      <w:r w:rsidRPr="00636D47">
        <w:rPr>
          <w:rFonts w:ascii="Book Antiqua" w:hAnsi="Book Antiqua"/>
        </w:rPr>
        <w:t xml:space="preserve">persigue evitar que, por virtud de los mecanismos municipales de estorbo público y expropiación, se produzcan interferencias inadvertidas que atrasen proyectos de vivienda, </w:t>
      </w:r>
      <w:r w:rsidR="00636D47" w:rsidRPr="00636D47">
        <w:rPr>
          <w:rFonts w:ascii="Book Antiqua" w:hAnsi="Book Antiqua"/>
        </w:rPr>
        <w:t>afecten programas de gobierno</w:t>
      </w:r>
      <w:r w:rsidRPr="00636D47">
        <w:rPr>
          <w:rFonts w:ascii="Book Antiqua" w:hAnsi="Book Antiqua"/>
        </w:rPr>
        <w:t xml:space="preserve"> y, particularmente, coloquen al Estado en riesgo de incumplimiento </w:t>
      </w:r>
      <w:r w:rsidR="0054506D">
        <w:rPr>
          <w:rFonts w:ascii="Book Antiqua" w:hAnsi="Book Antiqua"/>
        </w:rPr>
        <w:t xml:space="preserve">de condiciones asociadas a fondos federales </w:t>
      </w:r>
      <w:proofErr w:type="gramStart"/>
      <w:r w:rsidR="0054506D">
        <w:rPr>
          <w:rFonts w:ascii="Book Antiqua" w:hAnsi="Book Antiqua"/>
        </w:rPr>
        <w:t xml:space="preserve">o </w:t>
      </w:r>
      <w:r w:rsidRPr="00636D47">
        <w:rPr>
          <w:rFonts w:ascii="Book Antiqua" w:hAnsi="Book Antiqua"/>
        </w:rPr>
        <w:t xml:space="preserve"> acuerdos</w:t>
      </w:r>
      <w:proofErr w:type="gramEnd"/>
      <w:r w:rsidRPr="00636D47">
        <w:rPr>
          <w:rFonts w:ascii="Book Antiqua" w:hAnsi="Book Antiqua"/>
        </w:rPr>
        <w:t xml:space="preserve"> </w:t>
      </w:r>
      <w:proofErr w:type="spellStart"/>
      <w:r w:rsidRPr="00636D47">
        <w:rPr>
          <w:rFonts w:ascii="Book Antiqua" w:hAnsi="Book Antiqua"/>
        </w:rPr>
        <w:t>interagenciales</w:t>
      </w:r>
      <w:proofErr w:type="spellEnd"/>
      <w:r w:rsidRPr="00636D47">
        <w:rPr>
          <w:rFonts w:ascii="Book Antiqua" w:hAnsi="Book Antiqua"/>
        </w:rPr>
        <w:t xml:space="preserve"> vinculados a iniciativas de reconstrucción y desarrollo comunitario.</w:t>
      </w:r>
    </w:p>
    <w:p w14:paraId="0EC1D629" w14:textId="008547E2" w:rsidR="002566A6" w:rsidRPr="004C50B0" w:rsidRDefault="002566A6" w:rsidP="002566A6">
      <w:pPr>
        <w:pStyle w:val="NormalWeb"/>
        <w:jc w:val="both"/>
        <w:rPr>
          <w:rFonts w:ascii="Book Antiqua" w:hAnsi="Book Antiqua"/>
        </w:rPr>
      </w:pPr>
      <w:r w:rsidRPr="004C50B0">
        <w:rPr>
          <w:rFonts w:ascii="Book Antiqua" w:hAnsi="Book Antiqua"/>
        </w:rPr>
        <w:t xml:space="preserve">Desde el punto de vista jurídico, la Asamblea Legislativa </w:t>
      </w:r>
      <w:r w:rsidR="0054506D">
        <w:rPr>
          <w:rFonts w:ascii="Book Antiqua" w:hAnsi="Book Antiqua"/>
        </w:rPr>
        <w:t>tiene discreción para armonizar y delimitar el alcance de los poderes conferidos por ley a los municipios, especialmente cuando el interés público exige coordinación intergubernamental y la</w:t>
      </w:r>
      <w:r w:rsidRPr="004C50B0">
        <w:rPr>
          <w:rFonts w:ascii="Book Antiqua" w:hAnsi="Book Antiqua"/>
        </w:rPr>
        <w:t xml:space="preserve"> protección de bienes estatales destinados a fines esenciales. En efecto, la medida no elimina el poder municipal de atender estorbos públicos ni de acudir a la expropiación forzosa como herramienta para manejar propiedades abandonadas; lo que establece es una excepción </w:t>
      </w:r>
      <w:r w:rsidRPr="004C50B0">
        <w:rPr>
          <w:rFonts w:ascii="Book Antiqua" w:hAnsi="Book Antiqua"/>
        </w:rPr>
        <w:lastRenderedPageBreak/>
        <w:t xml:space="preserve">expresa para </w:t>
      </w:r>
      <w:r w:rsidR="00636D47" w:rsidRPr="004C50B0">
        <w:rPr>
          <w:rFonts w:ascii="Book Antiqua" w:hAnsi="Book Antiqua"/>
        </w:rPr>
        <w:t xml:space="preserve">casos </w:t>
      </w:r>
      <w:r w:rsidRPr="004C50B0">
        <w:rPr>
          <w:rFonts w:ascii="Book Antiqua" w:hAnsi="Book Antiqua"/>
        </w:rPr>
        <w:t>específico</w:t>
      </w:r>
      <w:r w:rsidR="00636D47" w:rsidRPr="004C50B0">
        <w:rPr>
          <w:rFonts w:ascii="Book Antiqua" w:hAnsi="Book Antiqua"/>
        </w:rPr>
        <w:t>s</w:t>
      </w:r>
      <w:r w:rsidRPr="004C50B0">
        <w:rPr>
          <w:rFonts w:ascii="Book Antiqua" w:hAnsi="Book Antiqua"/>
        </w:rPr>
        <w:t xml:space="preserve"> de bienes cuya titularidad recae en el Departamento de la Vivienda y cuya administración responde a un propósito público superior. Al aclarar de forma expresa esta exclusión, el </w:t>
      </w:r>
      <w:r w:rsidR="009E07AA">
        <w:rPr>
          <w:rFonts w:ascii="Book Antiqua" w:hAnsi="Book Antiqua"/>
        </w:rPr>
        <w:t>p</w:t>
      </w:r>
      <w:r w:rsidR="009E07AA" w:rsidRPr="004C50B0">
        <w:rPr>
          <w:rFonts w:ascii="Book Antiqua" w:hAnsi="Book Antiqua"/>
        </w:rPr>
        <w:t>royecto</w:t>
      </w:r>
      <w:r w:rsidRPr="004C50B0">
        <w:rPr>
          <w:rFonts w:ascii="Book Antiqua" w:hAnsi="Book Antiqua"/>
        </w:rPr>
        <w:t xml:space="preserve"> fortalece la certeza jurídica, reduce controversias interpretativas</w:t>
      </w:r>
      <w:r w:rsidR="00636D47" w:rsidRPr="004C50B0">
        <w:rPr>
          <w:rFonts w:ascii="Book Antiqua" w:hAnsi="Book Antiqua"/>
        </w:rPr>
        <w:t xml:space="preserve">, </w:t>
      </w:r>
      <w:r w:rsidRPr="004C50B0">
        <w:rPr>
          <w:rFonts w:ascii="Book Antiqua" w:hAnsi="Book Antiqua"/>
        </w:rPr>
        <w:t>previene litigios y duplicidad de esfuerzos entre niveles de gobierno.</w:t>
      </w:r>
    </w:p>
    <w:p w14:paraId="3D41AA27" w14:textId="6092EA7A" w:rsidR="002566A6" w:rsidRPr="004C50B0" w:rsidRDefault="002566A6" w:rsidP="002566A6">
      <w:pPr>
        <w:pStyle w:val="NormalWeb"/>
        <w:jc w:val="both"/>
        <w:rPr>
          <w:rFonts w:ascii="Book Antiqua" w:hAnsi="Book Antiqua"/>
        </w:rPr>
      </w:pPr>
      <w:r w:rsidRPr="004C50B0">
        <w:rPr>
          <w:rFonts w:ascii="Book Antiqua" w:hAnsi="Book Antiqua"/>
        </w:rPr>
        <w:t>Asimismo, la</w:t>
      </w:r>
      <w:r w:rsidR="00636D47" w:rsidRPr="004C50B0">
        <w:rPr>
          <w:rFonts w:ascii="Book Antiqua" w:hAnsi="Book Antiqua"/>
        </w:rPr>
        <w:t xml:space="preserve"> adopción</w:t>
      </w:r>
      <w:r w:rsidRPr="004C50B0">
        <w:rPr>
          <w:rFonts w:ascii="Book Antiqua" w:hAnsi="Book Antiqua"/>
        </w:rPr>
        <w:t xml:space="preserve"> de enmiendas recomendadas por el Departamento de Justicia </w:t>
      </w:r>
      <w:r w:rsidR="00636D47" w:rsidRPr="004C50B0">
        <w:rPr>
          <w:rFonts w:ascii="Book Antiqua" w:hAnsi="Book Antiqua"/>
        </w:rPr>
        <w:t>fortalece</w:t>
      </w:r>
      <w:r w:rsidRPr="004C50B0">
        <w:rPr>
          <w:rFonts w:ascii="Book Antiqua" w:hAnsi="Book Antiqua"/>
        </w:rPr>
        <w:t xml:space="preserve"> la medida al insertar un marco operativo razonable: primero, requiere que el municipio realice la investigación y el estudio conforme al Artículo 4.008 del Código Municipal, identificando formalmente la titularidad del inmueble; segundo, impone el deber de notificar al Departamento de la Vivienda e informar riesgos de salubridad, seguridad pública o condiciones estructurales, lo que promueve respuestas correctivas oportunas sin desarticular la función municipal de velar por el bienestar comunitario. De igual manera, al extender la prohibición a los Artículos 2.018, 2.019, 4.008, 4.010, 4.012 y 4.012A, se garantiza uniformidad en todo el andamiaje procesal y se evita que la intención legislativa quede limitada a un solo inciso, susceptible </w:t>
      </w:r>
      <w:r w:rsidR="0054506D">
        <w:rPr>
          <w:rFonts w:ascii="Book Antiqua" w:hAnsi="Book Antiqua"/>
        </w:rPr>
        <w:t>de</w:t>
      </w:r>
      <w:r w:rsidRPr="004C50B0">
        <w:rPr>
          <w:rFonts w:ascii="Book Antiqua" w:hAnsi="Book Antiqua"/>
        </w:rPr>
        <w:t xml:space="preserve"> </w:t>
      </w:r>
      <w:r w:rsidR="0054506D">
        <w:rPr>
          <w:rFonts w:ascii="Book Antiqua" w:hAnsi="Book Antiqua"/>
        </w:rPr>
        <w:t>interpretaciones diversas</w:t>
      </w:r>
      <w:r w:rsidRPr="004C50B0">
        <w:rPr>
          <w:rFonts w:ascii="Book Antiqua" w:hAnsi="Book Antiqua"/>
        </w:rPr>
        <w:t>.</w:t>
      </w:r>
    </w:p>
    <w:p w14:paraId="2AA92243" w14:textId="171494AC" w:rsidR="002566A6" w:rsidRPr="002566A6" w:rsidRDefault="002566A6" w:rsidP="002566A6">
      <w:pPr>
        <w:pStyle w:val="NormalWeb"/>
        <w:jc w:val="both"/>
        <w:rPr>
          <w:rFonts w:ascii="Book Antiqua" w:hAnsi="Book Antiqua"/>
        </w:rPr>
      </w:pPr>
      <w:r w:rsidRPr="004C50B0">
        <w:rPr>
          <w:rFonts w:ascii="Book Antiqua" w:hAnsi="Book Antiqua"/>
        </w:rPr>
        <w:t xml:space="preserve">En cuanto a la autonomía municipal, la medida no constituye una </w:t>
      </w:r>
      <w:r w:rsidR="004C50B0" w:rsidRPr="004C50B0">
        <w:rPr>
          <w:rFonts w:ascii="Book Antiqua" w:hAnsi="Book Antiqua"/>
        </w:rPr>
        <w:t>limitación,</w:t>
      </w:r>
      <w:r w:rsidRPr="004C50B0">
        <w:rPr>
          <w:rFonts w:ascii="Book Antiqua" w:hAnsi="Book Antiqua"/>
        </w:rPr>
        <w:t xml:space="preserve"> pues no suprime ni anula la capacidad de los municipios para ejercer sus competencias esenciales dentro de su jurisdicción. La autonomía municipal, reconocida por el Código Municipal, existe dentro del marco regulatorio que la propia Asamblea Legislativa está facultada a definir y ajustar conforme al interés público. Aquí, la Legislatura no despoja a los municipios de sus poderes generales de estorbo público y expropiación; más bien, establece una delimitación específica y razonable sobre bienes estatales destinados a un fin público esencial, promoviendo coordinación intergubernamental y evitando choques de jurisdicción. En consecuencia, el </w:t>
      </w:r>
      <w:r w:rsidR="009E07AA">
        <w:rPr>
          <w:rFonts w:ascii="Book Antiqua" w:hAnsi="Book Antiqua"/>
        </w:rPr>
        <w:t>p</w:t>
      </w:r>
      <w:r w:rsidRPr="004C50B0">
        <w:rPr>
          <w:rFonts w:ascii="Book Antiqua" w:hAnsi="Book Antiqua"/>
        </w:rPr>
        <w:t>royecto es cónsono con el ordenamiento jurídico vigente y responde de forma proporcional al objetivo legítimo de proteger activos públicos estratégicos sin menoscabar indebidamente la autonomía municipal.</w:t>
      </w:r>
    </w:p>
    <w:p w14:paraId="4E995367" w14:textId="0D0F9A8F" w:rsidR="00A76B51" w:rsidRDefault="00F04A9A" w:rsidP="00F34222">
      <w:pPr>
        <w:spacing w:before="100" w:beforeAutospacing="1" w:after="100" w:afterAutospacing="1"/>
        <w:jc w:val="center"/>
        <w:rPr>
          <w:rFonts w:ascii="Book Antiqua" w:hAnsi="Book Antiqua"/>
          <w:b/>
          <w:i/>
          <w:smallCaps/>
          <w:szCs w:val="24"/>
          <w:lang w:val="es-ES_tradnl"/>
        </w:rPr>
      </w:pPr>
      <w:r>
        <w:rPr>
          <w:rFonts w:ascii="Book Antiqua" w:hAnsi="Book Antiqua"/>
          <w:b/>
          <w:i/>
          <w:smallCaps/>
          <w:szCs w:val="24"/>
          <w:lang w:val="es-ES_tradnl"/>
        </w:rPr>
        <w:t>Impacto Fiscal</w:t>
      </w:r>
    </w:p>
    <w:p w14:paraId="32E90FA0" w14:textId="63FA5F33" w:rsidR="00476E5E" w:rsidRDefault="008E3F18" w:rsidP="00476E5E">
      <w:pPr>
        <w:jc w:val="both"/>
        <w:rPr>
          <w:rFonts w:ascii="Book Antiqua" w:hAnsi="Book Antiqua"/>
          <w:lang w:val="es-ES"/>
        </w:rPr>
      </w:pPr>
      <w:r w:rsidRPr="008E3F18">
        <w:rPr>
          <w:rFonts w:ascii="Book Antiqua" w:hAnsi="Book Antiqua"/>
          <w:lang w:val="es-ES"/>
        </w:rPr>
        <w:t xml:space="preserve">En cumplimiento </w:t>
      </w:r>
      <w:r w:rsidR="0054506D">
        <w:rPr>
          <w:rFonts w:ascii="Book Antiqua" w:hAnsi="Book Antiqua"/>
          <w:lang w:val="es-ES"/>
        </w:rPr>
        <w:t>de</w:t>
      </w:r>
      <w:r w:rsidRPr="008E3F18">
        <w:rPr>
          <w:rFonts w:ascii="Book Antiqua" w:hAnsi="Book Antiqua"/>
          <w:lang w:val="es-ES"/>
        </w:rPr>
        <w:t xml:space="preserve"> lo dispuesto en el Artículo 1.007 de la Ley 107-2020 (21 L.P.R.A. § 7012), conocida como el </w:t>
      </w:r>
      <w:r w:rsidRPr="008E3F18">
        <w:rPr>
          <w:rStyle w:val="Emphasis"/>
          <w:rFonts w:ascii="Book Antiqua" w:hAnsi="Book Antiqua"/>
          <w:lang w:val="es-ES"/>
        </w:rPr>
        <w:t>Código Municipal de Puerto Rico</w:t>
      </w:r>
      <w:r w:rsidRPr="008E3F18">
        <w:rPr>
          <w:rFonts w:ascii="Book Antiqua" w:hAnsi="Book Antiqua"/>
          <w:lang w:val="es-ES"/>
        </w:rPr>
        <w:t xml:space="preserve">, la Comisión de Asuntos Municipales certifica que la medida legislativa </w:t>
      </w:r>
      <w:r w:rsidR="0054506D">
        <w:rPr>
          <w:rFonts w:ascii="Book Antiqua" w:hAnsi="Book Antiqua"/>
          <w:lang w:val="es-ES"/>
        </w:rPr>
        <w:t>objeto de</w:t>
      </w:r>
      <w:r w:rsidRPr="008E3F18">
        <w:rPr>
          <w:rFonts w:ascii="Book Antiqua" w:hAnsi="Book Antiqua"/>
          <w:lang w:val="es-ES"/>
        </w:rPr>
        <w:t xml:space="preserve"> análisis no conlleva un impacto económico adverso sobre el presupuesto de los gobiernos municipales. </w:t>
      </w:r>
    </w:p>
    <w:p w14:paraId="27C3911D" w14:textId="77777777" w:rsidR="00476E5E" w:rsidRDefault="00476E5E" w:rsidP="00476E5E">
      <w:pPr>
        <w:jc w:val="both"/>
        <w:rPr>
          <w:rFonts w:ascii="Book Antiqua" w:hAnsi="Book Antiqua"/>
          <w:lang w:val="es-ES"/>
        </w:rPr>
      </w:pPr>
    </w:p>
    <w:p w14:paraId="64E4266F" w14:textId="32093F06" w:rsidR="004000AE" w:rsidRDefault="004000AE" w:rsidP="00476E5E">
      <w:pPr>
        <w:jc w:val="center"/>
        <w:rPr>
          <w:rFonts w:ascii="Book Antiqua" w:hAnsi="Book Antiqua"/>
          <w:b/>
          <w:i/>
          <w:smallCaps/>
          <w:szCs w:val="24"/>
          <w:lang w:val="es-ES_tradnl"/>
        </w:rPr>
      </w:pPr>
      <w:r>
        <w:rPr>
          <w:rFonts w:ascii="Book Antiqua" w:hAnsi="Book Antiqua"/>
          <w:b/>
          <w:i/>
          <w:smallCaps/>
          <w:szCs w:val="24"/>
          <w:lang w:val="es-ES_tradnl"/>
        </w:rPr>
        <w:t>Conclusión</w:t>
      </w:r>
    </w:p>
    <w:p w14:paraId="2359C1D4" w14:textId="77777777" w:rsidR="001F7182" w:rsidRPr="001F7182" w:rsidRDefault="001F7182" w:rsidP="002566A6">
      <w:pPr>
        <w:jc w:val="both"/>
        <w:rPr>
          <w:rFonts w:ascii="Book Antiqua" w:eastAsia="Times New Roman" w:hAnsi="Book Antiqua"/>
          <w:szCs w:val="24"/>
          <w:lang w:val="es-ES"/>
        </w:rPr>
      </w:pPr>
    </w:p>
    <w:p w14:paraId="456DA84C" w14:textId="528CFF1D" w:rsidR="001F7182" w:rsidRPr="001F7182" w:rsidRDefault="002566A6" w:rsidP="001F7182">
      <w:pPr>
        <w:jc w:val="both"/>
        <w:rPr>
          <w:rFonts w:ascii="Book Antiqua" w:eastAsia="Times New Roman" w:hAnsi="Book Antiqua"/>
          <w:szCs w:val="24"/>
          <w:lang w:val="es-ES"/>
        </w:rPr>
      </w:pPr>
      <w:r>
        <w:rPr>
          <w:rFonts w:ascii="Book Antiqua" w:eastAsia="Times New Roman" w:hAnsi="Book Antiqua"/>
          <w:szCs w:val="24"/>
          <w:lang w:val="es-ES"/>
        </w:rPr>
        <w:t>Luego del análisis legislativo, se</w:t>
      </w:r>
      <w:r w:rsidR="001F7182" w:rsidRPr="001F7182">
        <w:rPr>
          <w:rFonts w:ascii="Book Antiqua" w:eastAsia="Times New Roman" w:hAnsi="Book Antiqua"/>
          <w:szCs w:val="24"/>
          <w:lang w:val="es-ES"/>
        </w:rPr>
        <w:t xml:space="preserve"> estima necesario aclarar el lenguaje del inciso (h) del Artículo 1.008 del Código Municipal, a fin de establecer expresamente que los bienes inmuebles cuyo titular es el Departamento de la Vivienda no podrán ser declarados estorbo público ni ser objeto de expropiación</w:t>
      </w:r>
      <w:r w:rsidR="00864A55">
        <w:rPr>
          <w:rFonts w:ascii="Book Antiqua" w:eastAsia="Times New Roman" w:hAnsi="Book Antiqua"/>
          <w:szCs w:val="24"/>
          <w:lang w:val="es-ES"/>
        </w:rPr>
        <w:t xml:space="preserve"> forzosa</w:t>
      </w:r>
      <w:r w:rsidR="001F7182" w:rsidRPr="001F7182">
        <w:rPr>
          <w:rFonts w:ascii="Book Antiqua" w:eastAsia="Times New Roman" w:hAnsi="Book Antiqua"/>
          <w:szCs w:val="24"/>
          <w:lang w:val="es-ES"/>
        </w:rPr>
        <w:t xml:space="preserve"> por parte de los municipios.</w:t>
      </w:r>
      <w:r w:rsidR="001F7182" w:rsidRPr="002566A6">
        <w:rPr>
          <w:rFonts w:ascii="Book Antiqua" w:eastAsia="Times New Roman" w:hAnsi="Book Antiqua"/>
          <w:szCs w:val="24"/>
          <w:lang w:val="es-ES"/>
        </w:rPr>
        <w:t xml:space="preserve"> L</w:t>
      </w:r>
      <w:r w:rsidR="001F7182" w:rsidRPr="001F7182">
        <w:rPr>
          <w:rFonts w:ascii="Book Antiqua" w:eastAsia="Times New Roman" w:hAnsi="Book Antiqua"/>
          <w:szCs w:val="24"/>
          <w:lang w:val="es-ES"/>
        </w:rPr>
        <w:t xml:space="preserve">o anterior promueve claridad jurídica, evita conflictos intergubernamentales y protege el </w:t>
      </w:r>
      <w:r w:rsidR="001F7182" w:rsidRPr="001F7182">
        <w:rPr>
          <w:rFonts w:ascii="Book Antiqua" w:eastAsia="Times New Roman" w:hAnsi="Book Antiqua"/>
          <w:szCs w:val="24"/>
          <w:lang w:val="es-ES"/>
        </w:rPr>
        <w:lastRenderedPageBreak/>
        <w:t>uso adecuado de propiedades esenciales para la política pública de vivienda en Puerto Rico.</w:t>
      </w:r>
    </w:p>
    <w:p w14:paraId="7266900F" w14:textId="77777777" w:rsidR="003004EC" w:rsidRPr="003004EC" w:rsidRDefault="003004EC" w:rsidP="004000AE">
      <w:pPr>
        <w:jc w:val="both"/>
        <w:rPr>
          <w:rFonts w:ascii="Book Antiqua" w:hAnsi="Book Antiqua" w:cs="Arial"/>
          <w:lang w:val="es-ES"/>
        </w:rPr>
      </w:pPr>
    </w:p>
    <w:p w14:paraId="693ABEB6" w14:textId="6E50CCB6" w:rsidR="0076466B" w:rsidRDefault="0076466B" w:rsidP="004000AE">
      <w:pPr>
        <w:jc w:val="both"/>
        <w:rPr>
          <w:rFonts w:ascii="Book Antiqua" w:hAnsi="Book Antiqua" w:cs="Arial"/>
          <w:lang w:val="es-ES"/>
        </w:rPr>
      </w:pPr>
      <w:r>
        <w:rPr>
          <w:rFonts w:ascii="Book Antiqua" w:hAnsi="Book Antiqua" w:cs="Arial"/>
          <w:lang w:val="es-ES"/>
        </w:rPr>
        <w:t xml:space="preserve">Por todos los fundamentos expuestos, </w:t>
      </w:r>
      <w:r w:rsidR="00E304DB">
        <w:rPr>
          <w:rFonts w:ascii="Book Antiqua" w:hAnsi="Book Antiqua" w:cs="Arial"/>
          <w:lang w:val="es-ES"/>
        </w:rPr>
        <w:t>la</w:t>
      </w:r>
      <w:r>
        <w:rPr>
          <w:rFonts w:ascii="Book Antiqua" w:hAnsi="Book Antiqua" w:cs="Arial"/>
          <w:lang w:val="es-ES"/>
        </w:rPr>
        <w:t xml:space="preserve"> Comisión de Asuntos Municipales de la Cámara de Representantes, recomienda a este Alto Cuerpo la aprobación del Proyecto de la Cámara </w:t>
      </w:r>
      <w:r w:rsidR="001F7182">
        <w:rPr>
          <w:rFonts w:ascii="Book Antiqua" w:hAnsi="Book Antiqua" w:cs="Arial"/>
          <w:lang w:val="es-ES"/>
        </w:rPr>
        <w:t>996</w:t>
      </w:r>
      <w:r w:rsidR="003004EC">
        <w:rPr>
          <w:rFonts w:ascii="Book Antiqua" w:hAnsi="Book Antiqua" w:cs="Arial"/>
          <w:lang w:val="es-ES"/>
        </w:rPr>
        <w:t xml:space="preserve">, </w:t>
      </w:r>
      <w:r w:rsidR="003004EC" w:rsidRPr="009B3675">
        <w:rPr>
          <w:rFonts w:ascii="Book Antiqua" w:hAnsi="Book Antiqua" w:cs="Arial"/>
          <w:lang w:val="es-ES"/>
        </w:rPr>
        <w:t>con</w:t>
      </w:r>
      <w:r w:rsidR="009B3675" w:rsidRPr="009B3675">
        <w:rPr>
          <w:rFonts w:ascii="Book Antiqua" w:hAnsi="Book Antiqua" w:cs="Arial"/>
          <w:lang w:val="es-ES"/>
        </w:rPr>
        <w:t xml:space="preserve"> las enmiendas que se incluyen en el </w:t>
      </w:r>
      <w:proofErr w:type="spellStart"/>
      <w:r w:rsidR="009B3675" w:rsidRPr="009B3675">
        <w:rPr>
          <w:rFonts w:ascii="Book Antiqua" w:hAnsi="Book Antiqua" w:cs="Arial"/>
          <w:lang w:val="es-ES"/>
        </w:rPr>
        <w:t>entirillado</w:t>
      </w:r>
      <w:proofErr w:type="spellEnd"/>
      <w:r w:rsidR="009B3675" w:rsidRPr="009B3675">
        <w:rPr>
          <w:rFonts w:ascii="Book Antiqua" w:hAnsi="Book Antiqua" w:cs="Arial"/>
          <w:lang w:val="es-ES"/>
        </w:rPr>
        <w:t xml:space="preserve"> electrónico que acompaña este </w:t>
      </w:r>
      <w:r w:rsidR="009E07AA">
        <w:rPr>
          <w:rFonts w:ascii="Book Antiqua" w:hAnsi="Book Antiqua" w:cs="Arial"/>
          <w:lang w:val="es-ES"/>
        </w:rPr>
        <w:t>i</w:t>
      </w:r>
      <w:r w:rsidR="009B3675" w:rsidRPr="009B3675">
        <w:rPr>
          <w:rFonts w:ascii="Book Antiqua" w:hAnsi="Book Antiqua" w:cs="Arial"/>
          <w:lang w:val="es-ES"/>
        </w:rPr>
        <w:t xml:space="preserve">nforme. </w:t>
      </w:r>
    </w:p>
    <w:p w14:paraId="2D3414A2" w14:textId="77777777" w:rsidR="0076466B" w:rsidRDefault="0076466B" w:rsidP="004000AE">
      <w:pPr>
        <w:jc w:val="both"/>
        <w:rPr>
          <w:rFonts w:ascii="Book Antiqua" w:hAnsi="Book Antiqua" w:cs="Arial"/>
          <w:lang w:val="es-ES"/>
        </w:rPr>
      </w:pPr>
    </w:p>
    <w:p w14:paraId="0636930C" w14:textId="77777777" w:rsidR="00AC0B45" w:rsidRPr="00AC0B45" w:rsidRDefault="00AC0B45" w:rsidP="00AC0B45">
      <w:pPr>
        <w:jc w:val="both"/>
        <w:rPr>
          <w:rFonts w:ascii="Book Antiqua" w:hAnsi="Book Antiqua" w:cs="Arial"/>
          <w:lang w:val="es-ES"/>
        </w:rPr>
      </w:pPr>
      <w:r w:rsidRPr="00AC0B45">
        <w:rPr>
          <w:rFonts w:ascii="Book Antiqua" w:hAnsi="Book Antiqua" w:cs="Arial"/>
          <w:lang w:val="es-ES"/>
        </w:rPr>
        <w:t>Respetuosamente sometido,</w:t>
      </w:r>
    </w:p>
    <w:p w14:paraId="73C7FD62" w14:textId="77777777" w:rsidR="00AC0B45" w:rsidRPr="00AC0B45" w:rsidRDefault="00AC0B45" w:rsidP="00AC0B45">
      <w:pPr>
        <w:rPr>
          <w:lang w:val="es-ES"/>
        </w:rPr>
      </w:pPr>
    </w:p>
    <w:p w14:paraId="5A509428" w14:textId="77777777" w:rsidR="00AC0B45" w:rsidRPr="00AC0B45" w:rsidRDefault="00AC0B45" w:rsidP="00AC0B45">
      <w:pPr>
        <w:rPr>
          <w:lang w:val="es-ES"/>
        </w:rPr>
      </w:pPr>
    </w:p>
    <w:p w14:paraId="3EC4B2F2" w14:textId="77777777" w:rsidR="00304C16" w:rsidRPr="00760D4D" w:rsidRDefault="00304C16" w:rsidP="00304C16">
      <w:pPr>
        <w:jc w:val="both"/>
        <w:rPr>
          <w:rFonts w:ascii="Book Antiqua" w:hAnsi="Book Antiqua"/>
          <w:b/>
          <w:i/>
          <w:szCs w:val="24"/>
          <w:lang w:val="es-ES_tradnl"/>
        </w:rPr>
      </w:pPr>
      <w:r w:rsidRPr="00760D4D">
        <w:rPr>
          <w:rFonts w:ascii="Book Antiqua" w:hAnsi="Book Antiqua"/>
          <w:b/>
          <w:i/>
          <w:szCs w:val="24"/>
          <w:lang w:val="es-ES_tradnl"/>
        </w:rPr>
        <w:t>Luis Pérez Ortiz</w:t>
      </w:r>
    </w:p>
    <w:p w14:paraId="1293D745" w14:textId="77777777" w:rsidR="00AC0B45" w:rsidRPr="00304C16" w:rsidRDefault="00AC0B45" w:rsidP="00AC0B45">
      <w:pPr>
        <w:jc w:val="both"/>
        <w:rPr>
          <w:rFonts w:ascii="Book Antiqua" w:hAnsi="Book Antiqua" w:cs="Arial"/>
          <w:lang w:val="es-ES"/>
        </w:rPr>
      </w:pPr>
      <w:r w:rsidRPr="00304C16">
        <w:rPr>
          <w:rFonts w:ascii="Book Antiqua" w:hAnsi="Book Antiqua" w:cs="Arial"/>
          <w:lang w:val="es-ES"/>
        </w:rPr>
        <w:t>Presidente</w:t>
      </w:r>
      <w:r w:rsidRPr="00304C16">
        <w:rPr>
          <w:rFonts w:ascii="Book Antiqua" w:hAnsi="Book Antiqua" w:cs="Arial"/>
          <w:lang w:val="es-ES"/>
        </w:rPr>
        <w:tab/>
      </w:r>
    </w:p>
    <w:p w14:paraId="3D9F1629" w14:textId="4FF920AA" w:rsidR="00AC0B45" w:rsidRPr="00A30BC4" w:rsidRDefault="00AC0B45" w:rsidP="005E345A">
      <w:pPr>
        <w:jc w:val="both"/>
        <w:rPr>
          <w:rFonts w:ascii="Book Antiqua" w:hAnsi="Book Antiqua" w:cs="Arial"/>
          <w:lang w:val="es-ES"/>
        </w:rPr>
      </w:pPr>
      <w:r w:rsidRPr="00304C16">
        <w:rPr>
          <w:rFonts w:ascii="Book Antiqua" w:hAnsi="Book Antiqua" w:cs="Arial"/>
          <w:lang w:val="es-ES"/>
        </w:rPr>
        <w:t xml:space="preserve">Comisión de Asuntos Municipales   </w:t>
      </w:r>
    </w:p>
    <w:sectPr w:rsidR="00AC0B45" w:rsidRPr="00A30BC4" w:rsidSect="006705DD">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4EF168" w14:textId="77777777" w:rsidR="00D450A9" w:rsidRDefault="00D450A9" w:rsidP="006705DD">
      <w:r>
        <w:separator/>
      </w:r>
    </w:p>
  </w:endnote>
  <w:endnote w:type="continuationSeparator" w:id="0">
    <w:p w14:paraId="1A53129B" w14:textId="77777777" w:rsidR="00D450A9" w:rsidRDefault="00D450A9"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Times New Roman (Body CS)">
    <w:altName w:val="Times New Roman"/>
    <w:charset w:val="00"/>
    <w:family w:val="roman"/>
    <w:pitch w:val="default"/>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1B15EE07"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F0DB44"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" strokecolor="black [3213]"/>
          </w:pict>
        </mc:Fallback>
      </mc:AlternateContent>
    </w:r>
    <w:r w:rsidRPr="005777F7">
      <w:rPr>
        <w:rFonts w:ascii="Book Antiqua" w:hAnsi="Book Antiqua"/>
        <w:i/>
        <w:sz w:val="22"/>
        <w:szCs w:val="22"/>
        <w:lang w:val="es-ES"/>
      </w:rPr>
      <w:t xml:space="preserve">Comisión de </w:t>
    </w:r>
    <w:r w:rsidR="005E345A">
      <w:rPr>
        <w:rFonts w:ascii="Book Antiqua" w:hAnsi="Book Antiqua"/>
        <w:i/>
        <w:sz w:val="22"/>
        <w:szCs w:val="22"/>
        <w:lang w:val="es-ES"/>
      </w:rPr>
      <w:t>Asuntos Municipales</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7C436" w14:textId="77777777" w:rsidR="00D450A9" w:rsidRDefault="00D450A9" w:rsidP="006705DD">
      <w:r>
        <w:separator/>
      </w:r>
    </w:p>
  </w:footnote>
  <w:footnote w:type="continuationSeparator" w:id="0">
    <w:p w14:paraId="22FFA6CC" w14:textId="77777777" w:rsidR="00D450A9" w:rsidRDefault="00D450A9"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3356C72F" w:rsidR="009A24F9" w:rsidRPr="009A24F9" w:rsidRDefault="005E345A" w:rsidP="006705DD">
    <w:pPr>
      <w:pStyle w:val="Header"/>
      <w:rPr>
        <w:rStyle w:val="PageNumber"/>
        <w:lang w:val="es-PR"/>
      </w:rPr>
    </w:pPr>
    <w:r>
      <w:rPr>
        <w:rFonts w:ascii="Arial Narrow" w:hAnsi="Arial Narrow"/>
        <w:noProof/>
      </w:rPr>
      <w:drawing>
        <wp:anchor distT="0" distB="0" distL="114300" distR="114300" simplePos="0" relativeHeight="251662336" behindDoc="0" locked="0" layoutInCell="1" allowOverlap="1" wp14:anchorId="713F5125" wp14:editId="3B92D826">
          <wp:simplePos x="0" y="0"/>
          <wp:positionH relativeFrom="margin">
            <wp:posOffset>2609215</wp:posOffset>
          </wp:positionH>
          <wp:positionV relativeFrom="paragraph">
            <wp:posOffset>-335280</wp:posOffset>
          </wp:positionV>
          <wp:extent cx="738505" cy="821791"/>
          <wp:effectExtent l="0" t="0" r="4445" b="0"/>
          <wp:wrapNone/>
          <wp:docPr id="331545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r:link="rId2" cstate="print">
                    <a:extLst>
                      <a:ext uri="{28A0092B-C50C-407E-A947-70E740481C1C}">
                        <a14:useLocalDpi xmlns:a14="http://schemas.microsoft.com/office/drawing/2010/main" val="0"/>
                      </a:ext>
                    </a:extLst>
                  </a:blip>
                  <a:srcRect r="64545"/>
                  <a:stretch/>
                </pic:blipFill>
                <pic:spPr bwMode="auto">
                  <a:xfrm>
                    <a:off x="0" y="0"/>
                    <a:ext cx="738505" cy="8217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24F9" w:rsidRPr="005777F7">
      <w:rPr>
        <w:rStyle w:val="PageNumber"/>
        <w:rFonts w:ascii="Book Antiqua" w:hAnsi="Book Antiqua"/>
        <w:i/>
        <w:sz w:val="22"/>
        <w:szCs w:val="22"/>
        <w:lang w:val="es-PR"/>
      </w:rPr>
      <w:tab/>
    </w:r>
    <w:r w:rsidR="009A24F9" w:rsidRPr="005777F7">
      <w:rPr>
        <w:rStyle w:val="PageNumber"/>
        <w:rFonts w:ascii="Book Antiqua" w:hAnsi="Book Antiqua"/>
        <w:i/>
        <w:sz w:val="22"/>
        <w:szCs w:val="22"/>
        <w:lang w:val="es-PR"/>
      </w:rPr>
      <w:tab/>
    </w:r>
  </w:p>
  <w:p w14:paraId="5CDEC73C" w14:textId="451972D9"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926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B95075" id="Straight Connector 1" o:spid="_x0000_s1026" style="position:absolute;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Pr>
        <w:rStyle w:val="PageNumber"/>
        <w:rFonts w:ascii="Book Antiqua" w:hAnsi="Book Antiqua"/>
        <w:i/>
        <w:sz w:val="22"/>
        <w:szCs w:val="22"/>
        <w:lang w:val="es-PR"/>
      </w:rPr>
      <w:t xml:space="preserve"> </w:t>
    </w:r>
    <w:r w:rsidRPr="005777F7">
      <w:rPr>
        <w:rStyle w:val="PageNumber"/>
        <w:rFonts w:ascii="Book Antiqua" w:hAnsi="Book Antiqua"/>
        <w:i/>
        <w:sz w:val="22"/>
        <w:szCs w:val="22"/>
        <w:lang w:val="es-PR"/>
      </w:rPr>
      <w:t xml:space="preserve">P. de la C. </w:t>
    </w:r>
    <w:r w:rsidR="001F7182">
      <w:rPr>
        <w:rStyle w:val="PageNumber"/>
        <w:rFonts w:ascii="Book Antiqua" w:hAnsi="Book Antiqua"/>
        <w:i/>
        <w:sz w:val="22"/>
        <w:szCs w:val="22"/>
        <w:lang w:val="es-PR"/>
      </w:rPr>
      <w:t>996</w:t>
    </w:r>
    <w:r>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B547F"/>
    <w:multiLevelType w:val="hybridMultilevel"/>
    <w:tmpl w:val="BBC0375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4590862"/>
    <w:multiLevelType w:val="multilevel"/>
    <w:tmpl w:val="965AA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B043D"/>
    <w:multiLevelType w:val="hybridMultilevel"/>
    <w:tmpl w:val="9460CAA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0C69490D"/>
    <w:multiLevelType w:val="multilevel"/>
    <w:tmpl w:val="624A3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90103C"/>
    <w:multiLevelType w:val="hybridMultilevel"/>
    <w:tmpl w:val="EC365394"/>
    <w:lvl w:ilvl="0" w:tplc="20000019">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1C482395"/>
    <w:multiLevelType w:val="multilevel"/>
    <w:tmpl w:val="7304D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6B63A8"/>
    <w:multiLevelType w:val="multilevel"/>
    <w:tmpl w:val="E350F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7669E9"/>
    <w:multiLevelType w:val="hybridMultilevel"/>
    <w:tmpl w:val="777A11B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296256AE"/>
    <w:multiLevelType w:val="multilevel"/>
    <w:tmpl w:val="35E29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C807C9"/>
    <w:multiLevelType w:val="multilevel"/>
    <w:tmpl w:val="AE684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3D6D16"/>
    <w:multiLevelType w:val="multilevel"/>
    <w:tmpl w:val="5E3EE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35246B"/>
    <w:multiLevelType w:val="hybridMultilevel"/>
    <w:tmpl w:val="DCF418A6"/>
    <w:lvl w:ilvl="0" w:tplc="26B8A67E">
      <w:start w:val="1"/>
      <w:numFmt w:val="upp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3" w15:restartNumberingAfterBreak="0">
    <w:nsid w:val="380D7E1E"/>
    <w:multiLevelType w:val="multilevel"/>
    <w:tmpl w:val="3FE22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D830B5"/>
    <w:multiLevelType w:val="multilevel"/>
    <w:tmpl w:val="BED20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1D530C"/>
    <w:multiLevelType w:val="hybridMultilevel"/>
    <w:tmpl w:val="66C88768"/>
    <w:lvl w:ilvl="0" w:tplc="38D25564">
      <w:start w:val="1"/>
      <w:numFmt w:val="upperRoman"/>
      <w:lvlText w:val="%1."/>
      <w:lvlJc w:val="left"/>
      <w:pPr>
        <w:ind w:left="81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A53925"/>
    <w:multiLevelType w:val="hybridMultilevel"/>
    <w:tmpl w:val="75886524"/>
    <w:lvl w:ilvl="0" w:tplc="2000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19F45B0"/>
    <w:multiLevelType w:val="multilevel"/>
    <w:tmpl w:val="48BA5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26C7E36"/>
    <w:multiLevelType w:val="multilevel"/>
    <w:tmpl w:val="816A4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857F1D"/>
    <w:multiLevelType w:val="hybridMultilevel"/>
    <w:tmpl w:val="FF6EC13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49F5291"/>
    <w:multiLevelType w:val="hybridMultilevel"/>
    <w:tmpl w:val="B45235A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3" w15:restartNumberingAfterBreak="0">
    <w:nsid w:val="49103E17"/>
    <w:multiLevelType w:val="multilevel"/>
    <w:tmpl w:val="50229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0A45D1C"/>
    <w:multiLevelType w:val="multilevel"/>
    <w:tmpl w:val="A17CA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5AE725BA"/>
    <w:multiLevelType w:val="multilevel"/>
    <w:tmpl w:val="3A183E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C0D15F1"/>
    <w:multiLevelType w:val="multilevel"/>
    <w:tmpl w:val="EFD69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E216019"/>
    <w:multiLevelType w:val="hybridMultilevel"/>
    <w:tmpl w:val="B2B4247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0"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12229B6"/>
    <w:multiLevelType w:val="hybridMultilevel"/>
    <w:tmpl w:val="C8B0840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2"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7B42B34"/>
    <w:multiLevelType w:val="multilevel"/>
    <w:tmpl w:val="6F626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3E48DF"/>
    <w:multiLevelType w:val="hybridMultilevel"/>
    <w:tmpl w:val="D23C097E"/>
    <w:lvl w:ilvl="0" w:tplc="20000015">
      <w:start w:val="1"/>
      <w:numFmt w:val="upp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7"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8" w15:restartNumberingAfterBreak="0">
    <w:nsid w:val="74163B78"/>
    <w:multiLevelType w:val="multilevel"/>
    <w:tmpl w:val="72243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1B6F11"/>
    <w:multiLevelType w:val="multilevel"/>
    <w:tmpl w:val="62D2A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8413AFF"/>
    <w:multiLevelType w:val="multilevel"/>
    <w:tmpl w:val="FCB69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97C501D"/>
    <w:multiLevelType w:val="hybridMultilevel"/>
    <w:tmpl w:val="696256E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2" w15:restartNumberingAfterBreak="0">
    <w:nsid w:val="7A6679F1"/>
    <w:multiLevelType w:val="multilevel"/>
    <w:tmpl w:val="B852D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1621562">
    <w:abstractNumId w:val="2"/>
  </w:num>
  <w:num w:numId="2" w16cid:durableId="12457928">
    <w:abstractNumId w:val="30"/>
  </w:num>
  <w:num w:numId="3" w16cid:durableId="150217024">
    <w:abstractNumId w:val="32"/>
  </w:num>
  <w:num w:numId="4" w16cid:durableId="1144077218">
    <w:abstractNumId w:val="21"/>
  </w:num>
  <w:num w:numId="5" w16cid:durableId="1391071492">
    <w:abstractNumId w:val="35"/>
  </w:num>
  <w:num w:numId="6" w16cid:durableId="1887521205">
    <w:abstractNumId w:val="34"/>
  </w:num>
  <w:num w:numId="7" w16cid:durableId="172000890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28"/>
  </w:num>
  <w:num w:numId="9" w16cid:durableId="978419079">
    <w:abstractNumId w:val="19"/>
  </w:num>
  <w:num w:numId="10" w16cid:durableId="1431662367">
    <w:abstractNumId w:val="13"/>
  </w:num>
  <w:num w:numId="11" w16cid:durableId="745687741">
    <w:abstractNumId w:val="18"/>
  </w:num>
  <w:num w:numId="12" w16cid:durableId="788547495">
    <w:abstractNumId w:val="38"/>
  </w:num>
  <w:num w:numId="13" w16cid:durableId="953445716">
    <w:abstractNumId w:val="37"/>
  </w:num>
  <w:num w:numId="14" w16cid:durableId="194583800">
    <w:abstractNumId w:val="15"/>
  </w:num>
  <w:num w:numId="15" w16cid:durableId="523634993">
    <w:abstractNumId w:val="9"/>
  </w:num>
  <w:num w:numId="16" w16cid:durableId="640503561">
    <w:abstractNumId w:val="22"/>
  </w:num>
  <w:num w:numId="17" w16cid:durableId="558250333">
    <w:abstractNumId w:val="17"/>
  </w:num>
  <w:num w:numId="18" w16cid:durableId="544635036">
    <w:abstractNumId w:val="42"/>
  </w:num>
  <w:num w:numId="19" w16cid:durableId="328294607">
    <w:abstractNumId w:val="40"/>
  </w:num>
  <w:num w:numId="20" w16cid:durableId="1746873194">
    <w:abstractNumId w:val="10"/>
  </w:num>
  <w:num w:numId="21" w16cid:durableId="796483149">
    <w:abstractNumId w:val="24"/>
  </w:num>
  <w:num w:numId="22" w16cid:durableId="2005666296">
    <w:abstractNumId w:val="5"/>
  </w:num>
  <w:num w:numId="23" w16cid:durableId="1935046073">
    <w:abstractNumId w:val="33"/>
  </w:num>
  <w:num w:numId="24" w16cid:durableId="1003436762">
    <w:abstractNumId w:val="4"/>
  </w:num>
  <w:num w:numId="25" w16cid:durableId="363680753">
    <w:abstractNumId w:val="11"/>
  </w:num>
  <w:num w:numId="26" w16cid:durableId="819734833">
    <w:abstractNumId w:val="31"/>
  </w:num>
  <w:num w:numId="27" w16cid:durableId="319966295">
    <w:abstractNumId w:val="0"/>
  </w:num>
  <w:num w:numId="28" w16cid:durableId="1320692743">
    <w:abstractNumId w:val="8"/>
  </w:num>
  <w:num w:numId="29" w16cid:durableId="1485123259">
    <w:abstractNumId w:val="23"/>
  </w:num>
  <w:num w:numId="30" w16cid:durableId="994458932">
    <w:abstractNumId w:val="39"/>
  </w:num>
  <w:num w:numId="31" w16cid:durableId="1152524602">
    <w:abstractNumId w:val="26"/>
  </w:num>
  <w:num w:numId="32" w16cid:durableId="2128505462">
    <w:abstractNumId w:val="3"/>
  </w:num>
  <w:num w:numId="33" w16cid:durableId="2058430843">
    <w:abstractNumId w:val="27"/>
  </w:num>
  <w:num w:numId="34" w16cid:durableId="1740865236">
    <w:abstractNumId w:val="36"/>
  </w:num>
  <w:num w:numId="35" w16cid:durableId="1029069065">
    <w:abstractNumId w:val="41"/>
  </w:num>
  <w:num w:numId="36" w16cid:durableId="297496150">
    <w:abstractNumId w:val="16"/>
  </w:num>
  <w:num w:numId="37" w16cid:durableId="2012371553">
    <w:abstractNumId w:val="12"/>
  </w:num>
  <w:num w:numId="38" w16cid:durableId="1867980670">
    <w:abstractNumId w:val="29"/>
  </w:num>
  <w:num w:numId="39" w16cid:durableId="595214970">
    <w:abstractNumId w:val="7"/>
  </w:num>
  <w:num w:numId="40" w16cid:durableId="372965489">
    <w:abstractNumId w:val="1"/>
  </w:num>
  <w:num w:numId="41" w16cid:durableId="851263836">
    <w:abstractNumId w:val="6"/>
  </w:num>
  <w:num w:numId="42" w16cid:durableId="1152453367">
    <w:abstractNumId w:val="14"/>
  </w:num>
  <w:num w:numId="43" w16cid:durableId="11646613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5988"/>
    <w:rsid w:val="0001317F"/>
    <w:rsid w:val="00013214"/>
    <w:rsid w:val="0001647C"/>
    <w:rsid w:val="0002078C"/>
    <w:rsid w:val="000245A3"/>
    <w:rsid w:val="00040D4F"/>
    <w:rsid w:val="000412D4"/>
    <w:rsid w:val="0004232E"/>
    <w:rsid w:val="00046F97"/>
    <w:rsid w:val="000549AC"/>
    <w:rsid w:val="00055E65"/>
    <w:rsid w:val="0006127A"/>
    <w:rsid w:val="00065627"/>
    <w:rsid w:val="0006657A"/>
    <w:rsid w:val="00071193"/>
    <w:rsid w:val="000711C1"/>
    <w:rsid w:val="00075649"/>
    <w:rsid w:val="00076BE2"/>
    <w:rsid w:val="00084B35"/>
    <w:rsid w:val="000862D3"/>
    <w:rsid w:val="00093070"/>
    <w:rsid w:val="00093599"/>
    <w:rsid w:val="000A0DD0"/>
    <w:rsid w:val="000A1C03"/>
    <w:rsid w:val="000A3551"/>
    <w:rsid w:val="000A36B0"/>
    <w:rsid w:val="000A3926"/>
    <w:rsid w:val="000A3F06"/>
    <w:rsid w:val="000A55EE"/>
    <w:rsid w:val="000D12A2"/>
    <w:rsid w:val="000D4ACC"/>
    <w:rsid w:val="000E328C"/>
    <w:rsid w:val="000F7B85"/>
    <w:rsid w:val="00103081"/>
    <w:rsid w:val="00103ADD"/>
    <w:rsid w:val="00104793"/>
    <w:rsid w:val="00113F55"/>
    <w:rsid w:val="00115CCE"/>
    <w:rsid w:val="00121062"/>
    <w:rsid w:val="00126B90"/>
    <w:rsid w:val="001319DA"/>
    <w:rsid w:val="0014633D"/>
    <w:rsid w:val="00147634"/>
    <w:rsid w:val="00163B5C"/>
    <w:rsid w:val="00165840"/>
    <w:rsid w:val="00175AE5"/>
    <w:rsid w:val="0017614C"/>
    <w:rsid w:val="00176B06"/>
    <w:rsid w:val="00182ED3"/>
    <w:rsid w:val="0018793D"/>
    <w:rsid w:val="0019634E"/>
    <w:rsid w:val="001A2FCD"/>
    <w:rsid w:val="001A3733"/>
    <w:rsid w:val="001A6010"/>
    <w:rsid w:val="001B612F"/>
    <w:rsid w:val="001C6904"/>
    <w:rsid w:val="001D0ABB"/>
    <w:rsid w:val="001D3CBC"/>
    <w:rsid w:val="001E2BBC"/>
    <w:rsid w:val="001E51A0"/>
    <w:rsid w:val="001E58FE"/>
    <w:rsid w:val="001F7182"/>
    <w:rsid w:val="00214189"/>
    <w:rsid w:val="002169FB"/>
    <w:rsid w:val="00222553"/>
    <w:rsid w:val="0022554E"/>
    <w:rsid w:val="0022643F"/>
    <w:rsid w:val="0023264E"/>
    <w:rsid w:val="002360B5"/>
    <w:rsid w:val="002370D3"/>
    <w:rsid w:val="00242B71"/>
    <w:rsid w:val="00244C04"/>
    <w:rsid w:val="00245609"/>
    <w:rsid w:val="00252693"/>
    <w:rsid w:val="002566A6"/>
    <w:rsid w:val="00276BDD"/>
    <w:rsid w:val="00276C3E"/>
    <w:rsid w:val="002808F0"/>
    <w:rsid w:val="00281A3B"/>
    <w:rsid w:val="00290C4B"/>
    <w:rsid w:val="00296D3F"/>
    <w:rsid w:val="002B3B61"/>
    <w:rsid w:val="002D1D70"/>
    <w:rsid w:val="002D2285"/>
    <w:rsid w:val="002D4B38"/>
    <w:rsid w:val="002F2860"/>
    <w:rsid w:val="002F58EB"/>
    <w:rsid w:val="002F60E4"/>
    <w:rsid w:val="002F615B"/>
    <w:rsid w:val="003004EC"/>
    <w:rsid w:val="00300512"/>
    <w:rsid w:val="00304C16"/>
    <w:rsid w:val="00326892"/>
    <w:rsid w:val="00327EDE"/>
    <w:rsid w:val="00330D59"/>
    <w:rsid w:val="003403CB"/>
    <w:rsid w:val="003428AA"/>
    <w:rsid w:val="00352C61"/>
    <w:rsid w:val="00353DB9"/>
    <w:rsid w:val="0035537E"/>
    <w:rsid w:val="00361144"/>
    <w:rsid w:val="00364DCF"/>
    <w:rsid w:val="003700E9"/>
    <w:rsid w:val="003822D7"/>
    <w:rsid w:val="00396560"/>
    <w:rsid w:val="00397AC7"/>
    <w:rsid w:val="003A69EF"/>
    <w:rsid w:val="003B644B"/>
    <w:rsid w:val="003B766F"/>
    <w:rsid w:val="003C1FA6"/>
    <w:rsid w:val="003C7016"/>
    <w:rsid w:val="003D07D2"/>
    <w:rsid w:val="003E4264"/>
    <w:rsid w:val="003F0372"/>
    <w:rsid w:val="003F2DE1"/>
    <w:rsid w:val="003F46BE"/>
    <w:rsid w:val="003F7352"/>
    <w:rsid w:val="003F7F49"/>
    <w:rsid w:val="004000AE"/>
    <w:rsid w:val="0040062C"/>
    <w:rsid w:val="00403A15"/>
    <w:rsid w:val="00415E27"/>
    <w:rsid w:val="0042474F"/>
    <w:rsid w:val="004315C4"/>
    <w:rsid w:val="00437BDC"/>
    <w:rsid w:val="00440C62"/>
    <w:rsid w:val="00451E85"/>
    <w:rsid w:val="004538A3"/>
    <w:rsid w:val="00462A7C"/>
    <w:rsid w:val="004641B9"/>
    <w:rsid w:val="00465358"/>
    <w:rsid w:val="004663D5"/>
    <w:rsid w:val="004719B8"/>
    <w:rsid w:val="00473250"/>
    <w:rsid w:val="004733FF"/>
    <w:rsid w:val="00476E5E"/>
    <w:rsid w:val="00487F38"/>
    <w:rsid w:val="004A40A5"/>
    <w:rsid w:val="004C0E27"/>
    <w:rsid w:val="004C4B57"/>
    <w:rsid w:val="004C50B0"/>
    <w:rsid w:val="004D44C1"/>
    <w:rsid w:val="004D66E8"/>
    <w:rsid w:val="004D7CDB"/>
    <w:rsid w:val="004F0D7E"/>
    <w:rsid w:val="0050015A"/>
    <w:rsid w:val="0050357A"/>
    <w:rsid w:val="005054AB"/>
    <w:rsid w:val="0052307A"/>
    <w:rsid w:val="00531976"/>
    <w:rsid w:val="00540C4E"/>
    <w:rsid w:val="0054506D"/>
    <w:rsid w:val="005453CE"/>
    <w:rsid w:val="005616B3"/>
    <w:rsid w:val="00565C58"/>
    <w:rsid w:val="005670CC"/>
    <w:rsid w:val="00575591"/>
    <w:rsid w:val="005809AE"/>
    <w:rsid w:val="00584F82"/>
    <w:rsid w:val="005852B6"/>
    <w:rsid w:val="005865D6"/>
    <w:rsid w:val="00592912"/>
    <w:rsid w:val="00593EDF"/>
    <w:rsid w:val="00594C0D"/>
    <w:rsid w:val="00597725"/>
    <w:rsid w:val="005C2A30"/>
    <w:rsid w:val="005C5D02"/>
    <w:rsid w:val="005C6005"/>
    <w:rsid w:val="005D4247"/>
    <w:rsid w:val="005D697D"/>
    <w:rsid w:val="005E345A"/>
    <w:rsid w:val="005F2117"/>
    <w:rsid w:val="005F3B18"/>
    <w:rsid w:val="00602E0C"/>
    <w:rsid w:val="00610D55"/>
    <w:rsid w:val="00620546"/>
    <w:rsid w:val="00623B5D"/>
    <w:rsid w:val="00624B6C"/>
    <w:rsid w:val="00625848"/>
    <w:rsid w:val="00633B31"/>
    <w:rsid w:val="00636D47"/>
    <w:rsid w:val="00642D73"/>
    <w:rsid w:val="00650E7C"/>
    <w:rsid w:val="00651F6C"/>
    <w:rsid w:val="00663552"/>
    <w:rsid w:val="006679D2"/>
    <w:rsid w:val="006705DD"/>
    <w:rsid w:val="00677ADE"/>
    <w:rsid w:val="006A2E89"/>
    <w:rsid w:val="006A627D"/>
    <w:rsid w:val="006B0E23"/>
    <w:rsid w:val="006C132B"/>
    <w:rsid w:val="006C6F08"/>
    <w:rsid w:val="006D2DAD"/>
    <w:rsid w:val="006E01C3"/>
    <w:rsid w:val="00716D4F"/>
    <w:rsid w:val="007202AB"/>
    <w:rsid w:val="00721BCE"/>
    <w:rsid w:val="00726C66"/>
    <w:rsid w:val="0073521E"/>
    <w:rsid w:val="00744889"/>
    <w:rsid w:val="007526B6"/>
    <w:rsid w:val="007540B2"/>
    <w:rsid w:val="00757B0E"/>
    <w:rsid w:val="0076466B"/>
    <w:rsid w:val="0076672E"/>
    <w:rsid w:val="00766BC6"/>
    <w:rsid w:val="007751EF"/>
    <w:rsid w:val="007767FD"/>
    <w:rsid w:val="00787CC3"/>
    <w:rsid w:val="00796D86"/>
    <w:rsid w:val="007A3330"/>
    <w:rsid w:val="007A442F"/>
    <w:rsid w:val="007A52BD"/>
    <w:rsid w:val="007B1F4C"/>
    <w:rsid w:val="007B284B"/>
    <w:rsid w:val="007B6A57"/>
    <w:rsid w:val="007B737C"/>
    <w:rsid w:val="007B75B4"/>
    <w:rsid w:val="007C1FB4"/>
    <w:rsid w:val="007C5402"/>
    <w:rsid w:val="007D483B"/>
    <w:rsid w:val="007D502B"/>
    <w:rsid w:val="007E3FE5"/>
    <w:rsid w:val="007F6BCF"/>
    <w:rsid w:val="0080494A"/>
    <w:rsid w:val="0083160D"/>
    <w:rsid w:val="00832BE1"/>
    <w:rsid w:val="00835666"/>
    <w:rsid w:val="00840090"/>
    <w:rsid w:val="00855DDC"/>
    <w:rsid w:val="008605D1"/>
    <w:rsid w:val="0086119E"/>
    <w:rsid w:val="00864A55"/>
    <w:rsid w:val="00866623"/>
    <w:rsid w:val="00873014"/>
    <w:rsid w:val="00874229"/>
    <w:rsid w:val="0087700A"/>
    <w:rsid w:val="008945B2"/>
    <w:rsid w:val="008A1DDA"/>
    <w:rsid w:val="008A24E0"/>
    <w:rsid w:val="008A3BFF"/>
    <w:rsid w:val="008B131A"/>
    <w:rsid w:val="008B5837"/>
    <w:rsid w:val="008C4E1E"/>
    <w:rsid w:val="008D1B6A"/>
    <w:rsid w:val="008D3AED"/>
    <w:rsid w:val="008E3F18"/>
    <w:rsid w:val="008E3FE1"/>
    <w:rsid w:val="008E4C98"/>
    <w:rsid w:val="008F3240"/>
    <w:rsid w:val="00916851"/>
    <w:rsid w:val="0091696B"/>
    <w:rsid w:val="009170EF"/>
    <w:rsid w:val="00920655"/>
    <w:rsid w:val="00922DA1"/>
    <w:rsid w:val="009375FE"/>
    <w:rsid w:val="00944B6E"/>
    <w:rsid w:val="00950543"/>
    <w:rsid w:val="00953576"/>
    <w:rsid w:val="0095762D"/>
    <w:rsid w:val="0097681C"/>
    <w:rsid w:val="0098155A"/>
    <w:rsid w:val="00986544"/>
    <w:rsid w:val="00986838"/>
    <w:rsid w:val="009912EA"/>
    <w:rsid w:val="009915D8"/>
    <w:rsid w:val="00995340"/>
    <w:rsid w:val="009962C2"/>
    <w:rsid w:val="009A0D8D"/>
    <w:rsid w:val="009A24F9"/>
    <w:rsid w:val="009A375D"/>
    <w:rsid w:val="009B2634"/>
    <w:rsid w:val="009B3675"/>
    <w:rsid w:val="009D7A6C"/>
    <w:rsid w:val="009D7AE4"/>
    <w:rsid w:val="009E07AA"/>
    <w:rsid w:val="009E093A"/>
    <w:rsid w:val="009E097D"/>
    <w:rsid w:val="009E291B"/>
    <w:rsid w:val="009F1CEE"/>
    <w:rsid w:val="00A00B79"/>
    <w:rsid w:val="00A06D24"/>
    <w:rsid w:val="00A2744F"/>
    <w:rsid w:val="00A30BC4"/>
    <w:rsid w:val="00A338D0"/>
    <w:rsid w:val="00A42BD2"/>
    <w:rsid w:val="00A51AED"/>
    <w:rsid w:val="00A56BC5"/>
    <w:rsid w:val="00A608EE"/>
    <w:rsid w:val="00A73459"/>
    <w:rsid w:val="00A76B51"/>
    <w:rsid w:val="00A85717"/>
    <w:rsid w:val="00A927E0"/>
    <w:rsid w:val="00AA4EE8"/>
    <w:rsid w:val="00AC0B45"/>
    <w:rsid w:val="00AC35D7"/>
    <w:rsid w:val="00AC6688"/>
    <w:rsid w:val="00AD7C3F"/>
    <w:rsid w:val="00AE4B98"/>
    <w:rsid w:val="00AE53C7"/>
    <w:rsid w:val="00AE7201"/>
    <w:rsid w:val="00AF630A"/>
    <w:rsid w:val="00B11907"/>
    <w:rsid w:val="00B17F91"/>
    <w:rsid w:val="00B25CAC"/>
    <w:rsid w:val="00B34FF4"/>
    <w:rsid w:val="00B41353"/>
    <w:rsid w:val="00B41EA0"/>
    <w:rsid w:val="00B64DBC"/>
    <w:rsid w:val="00B656A1"/>
    <w:rsid w:val="00B65D50"/>
    <w:rsid w:val="00B66415"/>
    <w:rsid w:val="00B67267"/>
    <w:rsid w:val="00B75683"/>
    <w:rsid w:val="00B76FC7"/>
    <w:rsid w:val="00B921EB"/>
    <w:rsid w:val="00B95434"/>
    <w:rsid w:val="00B958BB"/>
    <w:rsid w:val="00B97282"/>
    <w:rsid w:val="00BB04FE"/>
    <w:rsid w:val="00BB54F0"/>
    <w:rsid w:val="00BC1282"/>
    <w:rsid w:val="00BC4AEA"/>
    <w:rsid w:val="00BD740D"/>
    <w:rsid w:val="00BE62B2"/>
    <w:rsid w:val="00BF2933"/>
    <w:rsid w:val="00BF30CB"/>
    <w:rsid w:val="00BF3E46"/>
    <w:rsid w:val="00BF76DF"/>
    <w:rsid w:val="00C0097E"/>
    <w:rsid w:val="00C0489D"/>
    <w:rsid w:val="00C04CC4"/>
    <w:rsid w:val="00C05074"/>
    <w:rsid w:val="00C06BB6"/>
    <w:rsid w:val="00C105C0"/>
    <w:rsid w:val="00C20727"/>
    <w:rsid w:val="00C23448"/>
    <w:rsid w:val="00C2466C"/>
    <w:rsid w:val="00C306B3"/>
    <w:rsid w:val="00C364C6"/>
    <w:rsid w:val="00C445E0"/>
    <w:rsid w:val="00C54F93"/>
    <w:rsid w:val="00C55349"/>
    <w:rsid w:val="00C646DB"/>
    <w:rsid w:val="00C70147"/>
    <w:rsid w:val="00C72ADD"/>
    <w:rsid w:val="00C72BDF"/>
    <w:rsid w:val="00C746E5"/>
    <w:rsid w:val="00C868AA"/>
    <w:rsid w:val="00C93A19"/>
    <w:rsid w:val="00C971D6"/>
    <w:rsid w:val="00CA25B9"/>
    <w:rsid w:val="00CA25DD"/>
    <w:rsid w:val="00CB506C"/>
    <w:rsid w:val="00CB59F2"/>
    <w:rsid w:val="00CB7443"/>
    <w:rsid w:val="00CC0AC2"/>
    <w:rsid w:val="00CC169F"/>
    <w:rsid w:val="00CD6F6C"/>
    <w:rsid w:val="00CD7998"/>
    <w:rsid w:val="00CD7C8F"/>
    <w:rsid w:val="00CE50B0"/>
    <w:rsid w:val="00CE6859"/>
    <w:rsid w:val="00CE7FD0"/>
    <w:rsid w:val="00CF3279"/>
    <w:rsid w:val="00CF40DD"/>
    <w:rsid w:val="00D07AF6"/>
    <w:rsid w:val="00D10164"/>
    <w:rsid w:val="00D33C52"/>
    <w:rsid w:val="00D36F4D"/>
    <w:rsid w:val="00D400B4"/>
    <w:rsid w:val="00D450A9"/>
    <w:rsid w:val="00D46E38"/>
    <w:rsid w:val="00D54D79"/>
    <w:rsid w:val="00D66F82"/>
    <w:rsid w:val="00D75329"/>
    <w:rsid w:val="00D77998"/>
    <w:rsid w:val="00D83BC1"/>
    <w:rsid w:val="00D905F2"/>
    <w:rsid w:val="00DA02ED"/>
    <w:rsid w:val="00DA09E1"/>
    <w:rsid w:val="00DA7015"/>
    <w:rsid w:val="00DB2939"/>
    <w:rsid w:val="00DB2C23"/>
    <w:rsid w:val="00DD3A6C"/>
    <w:rsid w:val="00DE2021"/>
    <w:rsid w:val="00E104AB"/>
    <w:rsid w:val="00E1059A"/>
    <w:rsid w:val="00E227DF"/>
    <w:rsid w:val="00E27A93"/>
    <w:rsid w:val="00E3046D"/>
    <w:rsid w:val="00E304DB"/>
    <w:rsid w:val="00E3239A"/>
    <w:rsid w:val="00E46361"/>
    <w:rsid w:val="00E47CDB"/>
    <w:rsid w:val="00E501A0"/>
    <w:rsid w:val="00E53603"/>
    <w:rsid w:val="00E61D3F"/>
    <w:rsid w:val="00E662B1"/>
    <w:rsid w:val="00E66D25"/>
    <w:rsid w:val="00E70E1E"/>
    <w:rsid w:val="00E7435A"/>
    <w:rsid w:val="00E77106"/>
    <w:rsid w:val="00E8150B"/>
    <w:rsid w:val="00E87DFC"/>
    <w:rsid w:val="00E946CD"/>
    <w:rsid w:val="00EA0424"/>
    <w:rsid w:val="00EA1A07"/>
    <w:rsid w:val="00EA3EBA"/>
    <w:rsid w:val="00EA5C52"/>
    <w:rsid w:val="00EA7DC1"/>
    <w:rsid w:val="00EB166E"/>
    <w:rsid w:val="00EB1E3E"/>
    <w:rsid w:val="00EC506A"/>
    <w:rsid w:val="00EC6777"/>
    <w:rsid w:val="00EC745B"/>
    <w:rsid w:val="00ED418B"/>
    <w:rsid w:val="00ED6D04"/>
    <w:rsid w:val="00EE5D67"/>
    <w:rsid w:val="00EE6494"/>
    <w:rsid w:val="00EF07C1"/>
    <w:rsid w:val="00EF7325"/>
    <w:rsid w:val="00F043A8"/>
    <w:rsid w:val="00F04A9A"/>
    <w:rsid w:val="00F11058"/>
    <w:rsid w:val="00F173C8"/>
    <w:rsid w:val="00F179C6"/>
    <w:rsid w:val="00F21142"/>
    <w:rsid w:val="00F21769"/>
    <w:rsid w:val="00F24049"/>
    <w:rsid w:val="00F2699A"/>
    <w:rsid w:val="00F34222"/>
    <w:rsid w:val="00F44081"/>
    <w:rsid w:val="00F46A5B"/>
    <w:rsid w:val="00F4737F"/>
    <w:rsid w:val="00F664B4"/>
    <w:rsid w:val="00F745F6"/>
    <w:rsid w:val="00F907CB"/>
    <w:rsid w:val="00FC11CC"/>
    <w:rsid w:val="00FC7A0C"/>
    <w:rsid w:val="00FD217D"/>
    <w:rsid w:val="00FE1861"/>
    <w:rsid w:val="00FE34F3"/>
    <w:rsid w:val="00FE4E48"/>
    <w:rsid w:val="00FF33FB"/>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006252E0-B772-458E-8135-620798DBE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5DD"/>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paragraph" w:styleId="Heading3">
    <w:name w:val="heading 3"/>
    <w:basedOn w:val="Normal"/>
    <w:next w:val="Normal"/>
    <w:link w:val="Heading3Char"/>
    <w:uiPriority w:val="9"/>
    <w:unhideWhenUsed/>
    <w:qFormat/>
    <w:rsid w:val="008E3F18"/>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73521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iPriority w:val="99"/>
    <w:unhideWhenUsed/>
    <w:qFormat/>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uiPriority w:val="99"/>
    <w:qFormat/>
    <w:rsid w:val="0050357A"/>
    <w:rPr>
      <w:sz w:val="24"/>
      <w:szCs w:val="24"/>
      <w:lang w:val="es-PR"/>
    </w:rPr>
  </w:style>
  <w:style w:type="character" w:styleId="FootnoteReference">
    <w:name w:val="footnote reference"/>
    <w:basedOn w:val="DefaultParagraphFont"/>
    <w:uiPriority w:val="99"/>
    <w:unhideWhenUsed/>
    <w:qFormat/>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 w:type="character" w:customStyle="1" w:styleId="Heading4Char">
    <w:name w:val="Heading 4 Char"/>
    <w:basedOn w:val="DefaultParagraphFont"/>
    <w:link w:val="Heading4"/>
    <w:uiPriority w:val="9"/>
    <w:semiHidden/>
    <w:rsid w:val="0073521E"/>
    <w:rPr>
      <w:rFonts w:asciiTheme="majorHAnsi" w:eastAsiaTheme="majorEastAsia" w:hAnsiTheme="majorHAnsi" w:cstheme="majorBidi"/>
      <w:i/>
      <w:iCs/>
      <w:color w:val="2E74B5" w:themeColor="accent1" w:themeShade="BF"/>
      <w:sz w:val="24"/>
      <w:szCs w:val="20"/>
    </w:rPr>
  </w:style>
  <w:style w:type="paragraph" w:customStyle="1" w:styleId="FootnoteText1">
    <w:name w:val="Footnote Text1"/>
    <w:basedOn w:val="Normal"/>
    <w:next w:val="FootnoteText"/>
    <w:uiPriority w:val="99"/>
    <w:semiHidden/>
    <w:unhideWhenUsed/>
    <w:rsid w:val="005616B3"/>
    <w:rPr>
      <w:rFonts w:asciiTheme="minorHAnsi" w:eastAsiaTheme="minorHAnsi" w:hAnsiTheme="minorHAnsi" w:cs="Times New Roman (Body CS)"/>
      <w:sz w:val="20"/>
    </w:rPr>
  </w:style>
  <w:style w:type="paragraph" w:styleId="NoSpacing">
    <w:name w:val="No Spacing"/>
    <w:uiPriority w:val="1"/>
    <w:qFormat/>
    <w:rsid w:val="000245A3"/>
    <w:pPr>
      <w:jc w:val="left"/>
    </w:pPr>
    <w:rPr>
      <w:rFonts w:ascii="Calibri" w:eastAsia="Calibri" w:hAnsi="Calibri" w:cs="Times New Roman"/>
      <w:lang w:val="es-PR"/>
    </w:rPr>
  </w:style>
  <w:style w:type="character" w:customStyle="1" w:styleId="Bodytext2">
    <w:name w:val="Body text (2)_"/>
    <w:basedOn w:val="DefaultParagraphFont"/>
    <w:link w:val="Bodytext20"/>
    <w:uiPriority w:val="99"/>
    <w:rsid w:val="00953576"/>
    <w:rPr>
      <w:shd w:val="clear" w:color="auto" w:fill="FFFFFF"/>
    </w:rPr>
  </w:style>
  <w:style w:type="paragraph" w:customStyle="1" w:styleId="Bodytext20">
    <w:name w:val="Body text (2)"/>
    <w:basedOn w:val="Normal"/>
    <w:link w:val="Bodytext2"/>
    <w:uiPriority w:val="99"/>
    <w:rsid w:val="00953576"/>
    <w:pPr>
      <w:widowControl w:val="0"/>
      <w:shd w:val="clear" w:color="auto" w:fill="FFFFFF"/>
      <w:spacing w:line="295" w:lineRule="exact"/>
      <w:ind w:hanging="500"/>
      <w:jc w:val="right"/>
    </w:pPr>
    <w:rPr>
      <w:rFonts w:asciiTheme="minorHAnsi" w:eastAsiaTheme="minorHAnsi" w:hAnsiTheme="minorHAnsi" w:cstheme="minorBidi"/>
      <w:sz w:val="22"/>
      <w:szCs w:val="22"/>
    </w:rPr>
  </w:style>
  <w:style w:type="character" w:customStyle="1" w:styleId="Heading3Char">
    <w:name w:val="Heading 3 Char"/>
    <w:basedOn w:val="DefaultParagraphFont"/>
    <w:link w:val="Heading3"/>
    <w:uiPriority w:val="9"/>
    <w:rsid w:val="008E3F18"/>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9260">
      <w:bodyDiv w:val="1"/>
      <w:marLeft w:val="0"/>
      <w:marRight w:val="0"/>
      <w:marTop w:val="0"/>
      <w:marBottom w:val="0"/>
      <w:divBdr>
        <w:top w:val="none" w:sz="0" w:space="0" w:color="auto"/>
        <w:left w:val="none" w:sz="0" w:space="0" w:color="auto"/>
        <w:bottom w:val="none" w:sz="0" w:space="0" w:color="auto"/>
        <w:right w:val="none" w:sz="0" w:space="0" w:color="auto"/>
      </w:divBdr>
    </w:div>
    <w:div w:id="16781907">
      <w:bodyDiv w:val="1"/>
      <w:marLeft w:val="0"/>
      <w:marRight w:val="0"/>
      <w:marTop w:val="0"/>
      <w:marBottom w:val="0"/>
      <w:divBdr>
        <w:top w:val="none" w:sz="0" w:space="0" w:color="auto"/>
        <w:left w:val="none" w:sz="0" w:space="0" w:color="auto"/>
        <w:bottom w:val="none" w:sz="0" w:space="0" w:color="auto"/>
        <w:right w:val="none" w:sz="0" w:space="0" w:color="auto"/>
      </w:divBdr>
    </w:div>
    <w:div w:id="93791814">
      <w:bodyDiv w:val="1"/>
      <w:marLeft w:val="0"/>
      <w:marRight w:val="0"/>
      <w:marTop w:val="0"/>
      <w:marBottom w:val="0"/>
      <w:divBdr>
        <w:top w:val="none" w:sz="0" w:space="0" w:color="auto"/>
        <w:left w:val="none" w:sz="0" w:space="0" w:color="auto"/>
        <w:bottom w:val="none" w:sz="0" w:space="0" w:color="auto"/>
        <w:right w:val="none" w:sz="0" w:space="0" w:color="auto"/>
      </w:divBdr>
    </w:div>
    <w:div w:id="97335297">
      <w:bodyDiv w:val="1"/>
      <w:marLeft w:val="0"/>
      <w:marRight w:val="0"/>
      <w:marTop w:val="0"/>
      <w:marBottom w:val="0"/>
      <w:divBdr>
        <w:top w:val="none" w:sz="0" w:space="0" w:color="auto"/>
        <w:left w:val="none" w:sz="0" w:space="0" w:color="auto"/>
        <w:bottom w:val="none" w:sz="0" w:space="0" w:color="auto"/>
        <w:right w:val="none" w:sz="0" w:space="0" w:color="auto"/>
      </w:divBdr>
    </w:div>
    <w:div w:id="100028018">
      <w:bodyDiv w:val="1"/>
      <w:marLeft w:val="0"/>
      <w:marRight w:val="0"/>
      <w:marTop w:val="0"/>
      <w:marBottom w:val="0"/>
      <w:divBdr>
        <w:top w:val="none" w:sz="0" w:space="0" w:color="auto"/>
        <w:left w:val="none" w:sz="0" w:space="0" w:color="auto"/>
        <w:bottom w:val="none" w:sz="0" w:space="0" w:color="auto"/>
        <w:right w:val="none" w:sz="0" w:space="0" w:color="auto"/>
      </w:divBdr>
    </w:div>
    <w:div w:id="168909140">
      <w:bodyDiv w:val="1"/>
      <w:marLeft w:val="0"/>
      <w:marRight w:val="0"/>
      <w:marTop w:val="0"/>
      <w:marBottom w:val="0"/>
      <w:divBdr>
        <w:top w:val="none" w:sz="0" w:space="0" w:color="auto"/>
        <w:left w:val="none" w:sz="0" w:space="0" w:color="auto"/>
        <w:bottom w:val="none" w:sz="0" w:space="0" w:color="auto"/>
        <w:right w:val="none" w:sz="0" w:space="0" w:color="auto"/>
      </w:divBdr>
    </w:div>
    <w:div w:id="175729554">
      <w:bodyDiv w:val="1"/>
      <w:marLeft w:val="0"/>
      <w:marRight w:val="0"/>
      <w:marTop w:val="0"/>
      <w:marBottom w:val="0"/>
      <w:divBdr>
        <w:top w:val="none" w:sz="0" w:space="0" w:color="auto"/>
        <w:left w:val="none" w:sz="0" w:space="0" w:color="auto"/>
        <w:bottom w:val="none" w:sz="0" w:space="0" w:color="auto"/>
        <w:right w:val="none" w:sz="0" w:space="0" w:color="auto"/>
      </w:divBdr>
    </w:div>
    <w:div w:id="208228448">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298613740">
      <w:bodyDiv w:val="1"/>
      <w:marLeft w:val="0"/>
      <w:marRight w:val="0"/>
      <w:marTop w:val="0"/>
      <w:marBottom w:val="0"/>
      <w:divBdr>
        <w:top w:val="none" w:sz="0" w:space="0" w:color="auto"/>
        <w:left w:val="none" w:sz="0" w:space="0" w:color="auto"/>
        <w:bottom w:val="none" w:sz="0" w:space="0" w:color="auto"/>
        <w:right w:val="none" w:sz="0" w:space="0" w:color="auto"/>
      </w:divBdr>
    </w:div>
    <w:div w:id="309336393">
      <w:bodyDiv w:val="1"/>
      <w:marLeft w:val="0"/>
      <w:marRight w:val="0"/>
      <w:marTop w:val="0"/>
      <w:marBottom w:val="0"/>
      <w:divBdr>
        <w:top w:val="none" w:sz="0" w:space="0" w:color="auto"/>
        <w:left w:val="none" w:sz="0" w:space="0" w:color="auto"/>
        <w:bottom w:val="none" w:sz="0" w:space="0" w:color="auto"/>
        <w:right w:val="none" w:sz="0" w:space="0" w:color="auto"/>
      </w:divBdr>
    </w:div>
    <w:div w:id="334768709">
      <w:bodyDiv w:val="1"/>
      <w:marLeft w:val="0"/>
      <w:marRight w:val="0"/>
      <w:marTop w:val="0"/>
      <w:marBottom w:val="0"/>
      <w:divBdr>
        <w:top w:val="none" w:sz="0" w:space="0" w:color="auto"/>
        <w:left w:val="none" w:sz="0" w:space="0" w:color="auto"/>
        <w:bottom w:val="none" w:sz="0" w:space="0" w:color="auto"/>
        <w:right w:val="none" w:sz="0" w:space="0" w:color="auto"/>
      </w:divBdr>
      <w:divsChild>
        <w:div w:id="447050994">
          <w:marLeft w:val="0"/>
          <w:marRight w:val="0"/>
          <w:marTop w:val="0"/>
          <w:marBottom w:val="0"/>
          <w:divBdr>
            <w:top w:val="none" w:sz="0" w:space="0" w:color="auto"/>
            <w:left w:val="none" w:sz="0" w:space="0" w:color="auto"/>
            <w:bottom w:val="none" w:sz="0" w:space="0" w:color="auto"/>
            <w:right w:val="none" w:sz="0" w:space="0" w:color="auto"/>
          </w:divBdr>
        </w:div>
      </w:divsChild>
    </w:div>
    <w:div w:id="356347602">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386686283">
      <w:bodyDiv w:val="1"/>
      <w:marLeft w:val="0"/>
      <w:marRight w:val="0"/>
      <w:marTop w:val="0"/>
      <w:marBottom w:val="0"/>
      <w:divBdr>
        <w:top w:val="none" w:sz="0" w:space="0" w:color="auto"/>
        <w:left w:val="none" w:sz="0" w:space="0" w:color="auto"/>
        <w:bottom w:val="none" w:sz="0" w:space="0" w:color="auto"/>
        <w:right w:val="none" w:sz="0" w:space="0" w:color="auto"/>
      </w:divBdr>
      <w:divsChild>
        <w:div w:id="414791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7360361">
      <w:bodyDiv w:val="1"/>
      <w:marLeft w:val="0"/>
      <w:marRight w:val="0"/>
      <w:marTop w:val="0"/>
      <w:marBottom w:val="0"/>
      <w:divBdr>
        <w:top w:val="none" w:sz="0" w:space="0" w:color="auto"/>
        <w:left w:val="none" w:sz="0" w:space="0" w:color="auto"/>
        <w:bottom w:val="none" w:sz="0" w:space="0" w:color="auto"/>
        <w:right w:val="none" w:sz="0" w:space="0" w:color="auto"/>
      </w:divBdr>
      <w:divsChild>
        <w:div w:id="19423005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476455667">
      <w:bodyDiv w:val="1"/>
      <w:marLeft w:val="0"/>
      <w:marRight w:val="0"/>
      <w:marTop w:val="0"/>
      <w:marBottom w:val="0"/>
      <w:divBdr>
        <w:top w:val="none" w:sz="0" w:space="0" w:color="auto"/>
        <w:left w:val="none" w:sz="0" w:space="0" w:color="auto"/>
        <w:bottom w:val="none" w:sz="0" w:space="0" w:color="auto"/>
        <w:right w:val="none" w:sz="0" w:space="0" w:color="auto"/>
      </w:divBdr>
    </w:div>
    <w:div w:id="477692347">
      <w:bodyDiv w:val="1"/>
      <w:marLeft w:val="0"/>
      <w:marRight w:val="0"/>
      <w:marTop w:val="0"/>
      <w:marBottom w:val="0"/>
      <w:divBdr>
        <w:top w:val="none" w:sz="0" w:space="0" w:color="auto"/>
        <w:left w:val="none" w:sz="0" w:space="0" w:color="auto"/>
        <w:bottom w:val="none" w:sz="0" w:space="0" w:color="auto"/>
        <w:right w:val="none" w:sz="0" w:space="0" w:color="auto"/>
      </w:divBdr>
    </w:div>
    <w:div w:id="480274607">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50057988">
      <w:bodyDiv w:val="1"/>
      <w:marLeft w:val="0"/>
      <w:marRight w:val="0"/>
      <w:marTop w:val="0"/>
      <w:marBottom w:val="0"/>
      <w:divBdr>
        <w:top w:val="none" w:sz="0" w:space="0" w:color="auto"/>
        <w:left w:val="none" w:sz="0" w:space="0" w:color="auto"/>
        <w:bottom w:val="none" w:sz="0" w:space="0" w:color="auto"/>
        <w:right w:val="none" w:sz="0" w:space="0" w:color="auto"/>
      </w:divBdr>
    </w:div>
    <w:div w:id="787891478">
      <w:bodyDiv w:val="1"/>
      <w:marLeft w:val="0"/>
      <w:marRight w:val="0"/>
      <w:marTop w:val="0"/>
      <w:marBottom w:val="0"/>
      <w:divBdr>
        <w:top w:val="none" w:sz="0" w:space="0" w:color="auto"/>
        <w:left w:val="none" w:sz="0" w:space="0" w:color="auto"/>
        <w:bottom w:val="none" w:sz="0" w:space="0" w:color="auto"/>
        <w:right w:val="none" w:sz="0" w:space="0" w:color="auto"/>
      </w:divBdr>
    </w:div>
    <w:div w:id="811023687">
      <w:bodyDiv w:val="1"/>
      <w:marLeft w:val="0"/>
      <w:marRight w:val="0"/>
      <w:marTop w:val="0"/>
      <w:marBottom w:val="0"/>
      <w:divBdr>
        <w:top w:val="none" w:sz="0" w:space="0" w:color="auto"/>
        <w:left w:val="none" w:sz="0" w:space="0" w:color="auto"/>
        <w:bottom w:val="none" w:sz="0" w:space="0" w:color="auto"/>
        <w:right w:val="none" w:sz="0" w:space="0" w:color="auto"/>
      </w:divBdr>
    </w:div>
    <w:div w:id="843666747">
      <w:bodyDiv w:val="1"/>
      <w:marLeft w:val="0"/>
      <w:marRight w:val="0"/>
      <w:marTop w:val="0"/>
      <w:marBottom w:val="0"/>
      <w:divBdr>
        <w:top w:val="none" w:sz="0" w:space="0" w:color="auto"/>
        <w:left w:val="none" w:sz="0" w:space="0" w:color="auto"/>
        <w:bottom w:val="none" w:sz="0" w:space="0" w:color="auto"/>
        <w:right w:val="none" w:sz="0" w:space="0" w:color="auto"/>
      </w:divBdr>
    </w:div>
    <w:div w:id="862013938">
      <w:bodyDiv w:val="1"/>
      <w:marLeft w:val="0"/>
      <w:marRight w:val="0"/>
      <w:marTop w:val="0"/>
      <w:marBottom w:val="0"/>
      <w:divBdr>
        <w:top w:val="none" w:sz="0" w:space="0" w:color="auto"/>
        <w:left w:val="none" w:sz="0" w:space="0" w:color="auto"/>
        <w:bottom w:val="none" w:sz="0" w:space="0" w:color="auto"/>
        <w:right w:val="none" w:sz="0" w:space="0" w:color="auto"/>
      </w:divBdr>
    </w:div>
    <w:div w:id="938610496">
      <w:bodyDiv w:val="1"/>
      <w:marLeft w:val="0"/>
      <w:marRight w:val="0"/>
      <w:marTop w:val="0"/>
      <w:marBottom w:val="0"/>
      <w:divBdr>
        <w:top w:val="none" w:sz="0" w:space="0" w:color="auto"/>
        <w:left w:val="none" w:sz="0" w:space="0" w:color="auto"/>
        <w:bottom w:val="none" w:sz="0" w:space="0" w:color="auto"/>
        <w:right w:val="none" w:sz="0" w:space="0" w:color="auto"/>
      </w:divBdr>
    </w:div>
    <w:div w:id="1006903400">
      <w:bodyDiv w:val="1"/>
      <w:marLeft w:val="0"/>
      <w:marRight w:val="0"/>
      <w:marTop w:val="0"/>
      <w:marBottom w:val="0"/>
      <w:divBdr>
        <w:top w:val="none" w:sz="0" w:space="0" w:color="auto"/>
        <w:left w:val="none" w:sz="0" w:space="0" w:color="auto"/>
        <w:bottom w:val="none" w:sz="0" w:space="0" w:color="auto"/>
        <w:right w:val="none" w:sz="0" w:space="0" w:color="auto"/>
      </w:divBdr>
    </w:div>
    <w:div w:id="1019742373">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773636">
      <w:bodyDiv w:val="1"/>
      <w:marLeft w:val="0"/>
      <w:marRight w:val="0"/>
      <w:marTop w:val="0"/>
      <w:marBottom w:val="0"/>
      <w:divBdr>
        <w:top w:val="none" w:sz="0" w:space="0" w:color="auto"/>
        <w:left w:val="none" w:sz="0" w:space="0" w:color="auto"/>
        <w:bottom w:val="none" w:sz="0" w:space="0" w:color="auto"/>
        <w:right w:val="none" w:sz="0" w:space="0" w:color="auto"/>
      </w:divBdr>
    </w:div>
    <w:div w:id="1109201949">
      <w:bodyDiv w:val="1"/>
      <w:marLeft w:val="0"/>
      <w:marRight w:val="0"/>
      <w:marTop w:val="0"/>
      <w:marBottom w:val="0"/>
      <w:divBdr>
        <w:top w:val="none" w:sz="0" w:space="0" w:color="auto"/>
        <w:left w:val="none" w:sz="0" w:space="0" w:color="auto"/>
        <w:bottom w:val="none" w:sz="0" w:space="0" w:color="auto"/>
        <w:right w:val="none" w:sz="0" w:space="0" w:color="auto"/>
      </w:divBdr>
    </w:div>
    <w:div w:id="1130317527">
      <w:bodyDiv w:val="1"/>
      <w:marLeft w:val="0"/>
      <w:marRight w:val="0"/>
      <w:marTop w:val="0"/>
      <w:marBottom w:val="0"/>
      <w:divBdr>
        <w:top w:val="none" w:sz="0" w:space="0" w:color="auto"/>
        <w:left w:val="none" w:sz="0" w:space="0" w:color="auto"/>
        <w:bottom w:val="none" w:sz="0" w:space="0" w:color="auto"/>
        <w:right w:val="none" w:sz="0" w:space="0" w:color="auto"/>
      </w:divBdr>
    </w:div>
    <w:div w:id="1135946686">
      <w:bodyDiv w:val="1"/>
      <w:marLeft w:val="0"/>
      <w:marRight w:val="0"/>
      <w:marTop w:val="0"/>
      <w:marBottom w:val="0"/>
      <w:divBdr>
        <w:top w:val="none" w:sz="0" w:space="0" w:color="auto"/>
        <w:left w:val="none" w:sz="0" w:space="0" w:color="auto"/>
        <w:bottom w:val="none" w:sz="0" w:space="0" w:color="auto"/>
        <w:right w:val="none" w:sz="0" w:space="0" w:color="auto"/>
      </w:divBdr>
      <w:divsChild>
        <w:div w:id="1977295335">
          <w:blockQuote w:val="1"/>
          <w:marLeft w:val="720"/>
          <w:marRight w:val="720"/>
          <w:marTop w:val="100"/>
          <w:marBottom w:val="100"/>
          <w:divBdr>
            <w:top w:val="none" w:sz="0" w:space="0" w:color="auto"/>
            <w:left w:val="none" w:sz="0" w:space="0" w:color="auto"/>
            <w:bottom w:val="none" w:sz="0" w:space="0" w:color="auto"/>
            <w:right w:val="none" w:sz="0" w:space="0" w:color="auto"/>
          </w:divBdr>
        </w:div>
        <w:div w:id="8002652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8549555">
      <w:bodyDiv w:val="1"/>
      <w:marLeft w:val="0"/>
      <w:marRight w:val="0"/>
      <w:marTop w:val="0"/>
      <w:marBottom w:val="0"/>
      <w:divBdr>
        <w:top w:val="none" w:sz="0" w:space="0" w:color="auto"/>
        <w:left w:val="none" w:sz="0" w:space="0" w:color="auto"/>
        <w:bottom w:val="none" w:sz="0" w:space="0" w:color="auto"/>
        <w:right w:val="none" w:sz="0" w:space="0" w:color="auto"/>
      </w:divBdr>
    </w:div>
    <w:div w:id="1229539304">
      <w:bodyDiv w:val="1"/>
      <w:marLeft w:val="0"/>
      <w:marRight w:val="0"/>
      <w:marTop w:val="0"/>
      <w:marBottom w:val="0"/>
      <w:divBdr>
        <w:top w:val="none" w:sz="0" w:space="0" w:color="auto"/>
        <w:left w:val="none" w:sz="0" w:space="0" w:color="auto"/>
        <w:bottom w:val="none" w:sz="0" w:space="0" w:color="auto"/>
        <w:right w:val="none" w:sz="0" w:space="0" w:color="auto"/>
      </w:divBdr>
      <w:divsChild>
        <w:div w:id="608586436">
          <w:blockQuote w:val="1"/>
          <w:marLeft w:val="720"/>
          <w:marRight w:val="720"/>
          <w:marTop w:val="100"/>
          <w:marBottom w:val="100"/>
          <w:divBdr>
            <w:top w:val="none" w:sz="0" w:space="0" w:color="auto"/>
            <w:left w:val="none" w:sz="0" w:space="0" w:color="auto"/>
            <w:bottom w:val="none" w:sz="0" w:space="0" w:color="auto"/>
            <w:right w:val="none" w:sz="0" w:space="0" w:color="auto"/>
          </w:divBdr>
        </w:div>
        <w:div w:id="20343798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6741989">
      <w:bodyDiv w:val="1"/>
      <w:marLeft w:val="0"/>
      <w:marRight w:val="0"/>
      <w:marTop w:val="0"/>
      <w:marBottom w:val="0"/>
      <w:divBdr>
        <w:top w:val="none" w:sz="0" w:space="0" w:color="auto"/>
        <w:left w:val="none" w:sz="0" w:space="0" w:color="auto"/>
        <w:bottom w:val="none" w:sz="0" w:space="0" w:color="auto"/>
        <w:right w:val="none" w:sz="0" w:space="0" w:color="auto"/>
      </w:divBdr>
    </w:div>
    <w:div w:id="1485390055">
      <w:bodyDiv w:val="1"/>
      <w:marLeft w:val="0"/>
      <w:marRight w:val="0"/>
      <w:marTop w:val="0"/>
      <w:marBottom w:val="0"/>
      <w:divBdr>
        <w:top w:val="none" w:sz="0" w:space="0" w:color="auto"/>
        <w:left w:val="none" w:sz="0" w:space="0" w:color="auto"/>
        <w:bottom w:val="none" w:sz="0" w:space="0" w:color="auto"/>
        <w:right w:val="none" w:sz="0" w:space="0" w:color="auto"/>
      </w:divBdr>
    </w:div>
    <w:div w:id="1520000904">
      <w:bodyDiv w:val="1"/>
      <w:marLeft w:val="0"/>
      <w:marRight w:val="0"/>
      <w:marTop w:val="0"/>
      <w:marBottom w:val="0"/>
      <w:divBdr>
        <w:top w:val="none" w:sz="0" w:space="0" w:color="auto"/>
        <w:left w:val="none" w:sz="0" w:space="0" w:color="auto"/>
        <w:bottom w:val="none" w:sz="0" w:space="0" w:color="auto"/>
        <w:right w:val="none" w:sz="0" w:space="0" w:color="auto"/>
      </w:divBdr>
    </w:div>
    <w:div w:id="1593657544">
      <w:bodyDiv w:val="1"/>
      <w:marLeft w:val="0"/>
      <w:marRight w:val="0"/>
      <w:marTop w:val="0"/>
      <w:marBottom w:val="0"/>
      <w:divBdr>
        <w:top w:val="none" w:sz="0" w:space="0" w:color="auto"/>
        <w:left w:val="none" w:sz="0" w:space="0" w:color="auto"/>
        <w:bottom w:val="none" w:sz="0" w:space="0" w:color="auto"/>
        <w:right w:val="none" w:sz="0" w:space="0" w:color="auto"/>
      </w:divBdr>
    </w:div>
    <w:div w:id="1600798551">
      <w:bodyDiv w:val="1"/>
      <w:marLeft w:val="0"/>
      <w:marRight w:val="0"/>
      <w:marTop w:val="0"/>
      <w:marBottom w:val="0"/>
      <w:divBdr>
        <w:top w:val="none" w:sz="0" w:space="0" w:color="auto"/>
        <w:left w:val="none" w:sz="0" w:space="0" w:color="auto"/>
        <w:bottom w:val="none" w:sz="0" w:space="0" w:color="auto"/>
        <w:right w:val="none" w:sz="0" w:space="0" w:color="auto"/>
      </w:divBdr>
    </w:div>
    <w:div w:id="1601837829">
      <w:bodyDiv w:val="1"/>
      <w:marLeft w:val="0"/>
      <w:marRight w:val="0"/>
      <w:marTop w:val="0"/>
      <w:marBottom w:val="0"/>
      <w:divBdr>
        <w:top w:val="none" w:sz="0" w:space="0" w:color="auto"/>
        <w:left w:val="none" w:sz="0" w:space="0" w:color="auto"/>
        <w:bottom w:val="none" w:sz="0" w:space="0" w:color="auto"/>
        <w:right w:val="none" w:sz="0" w:space="0" w:color="auto"/>
      </w:divBdr>
    </w:div>
    <w:div w:id="1659841006">
      <w:bodyDiv w:val="1"/>
      <w:marLeft w:val="0"/>
      <w:marRight w:val="0"/>
      <w:marTop w:val="0"/>
      <w:marBottom w:val="0"/>
      <w:divBdr>
        <w:top w:val="none" w:sz="0" w:space="0" w:color="auto"/>
        <w:left w:val="none" w:sz="0" w:space="0" w:color="auto"/>
        <w:bottom w:val="none" w:sz="0" w:space="0" w:color="auto"/>
        <w:right w:val="none" w:sz="0" w:space="0" w:color="auto"/>
      </w:divBdr>
    </w:div>
    <w:div w:id="1725790359">
      <w:bodyDiv w:val="1"/>
      <w:marLeft w:val="0"/>
      <w:marRight w:val="0"/>
      <w:marTop w:val="0"/>
      <w:marBottom w:val="0"/>
      <w:divBdr>
        <w:top w:val="none" w:sz="0" w:space="0" w:color="auto"/>
        <w:left w:val="none" w:sz="0" w:space="0" w:color="auto"/>
        <w:bottom w:val="none" w:sz="0" w:space="0" w:color="auto"/>
        <w:right w:val="none" w:sz="0" w:space="0" w:color="auto"/>
      </w:divBdr>
    </w:div>
    <w:div w:id="1756246689">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799644189">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65287591">
      <w:bodyDiv w:val="1"/>
      <w:marLeft w:val="0"/>
      <w:marRight w:val="0"/>
      <w:marTop w:val="0"/>
      <w:marBottom w:val="0"/>
      <w:divBdr>
        <w:top w:val="none" w:sz="0" w:space="0" w:color="auto"/>
        <w:left w:val="none" w:sz="0" w:space="0" w:color="auto"/>
        <w:bottom w:val="none" w:sz="0" w:space="0" w:color="auto"/>
        <w:right w:val="none" w:sz="0" w:space="0" w:color="auto"/>
      </w:divBdr>
    </w:div>
    <w:div w:id="1924024264">
      <w:bodyDiv w:val="1"/>
      <w:marLeft w:val="0"/>
      <w:marRight w:val="0"/>
      <w:marTop w:val="0"/>
      <w:marBottom w:val="0"/>
      <w:divBdr>
        <w:top w:val="none" w:sz="0" w:space="0" w:color="auto"/>
        <w:left w:val="none" w:sz="0" w:space="0" w:color="auto"/>
        <w:bottom w:val="none" w:sz="0" w:space="0" w:color="auto"/>
        <w:right w:val="none" w:sz="0" w:space="0" w:color="auto"/>
      </w:divBdr>
    </w:div>
    <w:div w:id="1936546581">
      <w:bodyDiv w:val="1"/>
      <w:marLeft w:val="0"/>
      <w:marRight w:val="0"/>
      <w:marTop w:val="0"/>
      <w:marBottom w:val="0"/>
      <w:divBdr>
        <w:top w:val="none" w:sz="0" w:space="0" w:color="auto"/>
        <w:left w:val="none" w:sz="0" w:space="0" w:color="auto"/>
        <w:bottom w:val="none" w:sz="0" w:space="0" w:color="auto"/>
        <w:right w:val="none" w:sz="0" w:space="0" w:color="auto"/>
      </w:divBdr>
    </w:div>
    <w:div w:id="1960524676">
      <w:bodyDiv w:val="1"/>
      <w:marLeft w:val="0"/>
      <w:marRight w:val="0"/>
      <w:marTop w:val="0"/>
      <w:marBottom w:val="0"/>
      <w:divBdr>
        <w:top w:val="none" w:sz="0" w:space="0" w:color="auto"/>
        <w:left w:val="none" w:sz="0" w:space="0" w:color="auto"/>
        <w:bottom w:val="none" w:sz="0" w:space="0" w:color="auto"/>
        <w:right w:val="none" w:sz="0" w:space="0" w:color="auto"/>
      </w:divBdr>
    </w:div>
    <w:div w:id="2006008042">
      <w:bodyDiv w:val="1"/>
      <w:marLeft w:val="0"/>
      <w:marRight w:val="0"/>
      <w:marTop w:val="0"/>
      <w:marBottom w:val="0"/>
      <w:divBdr>
        <w:top w:val="none" w:sz="0" w:space="0" w:color="auto"/>
        <w:left w:val="none" w:sz="0" w:space="0" w:color="auto"/>
        <w:bottom w:val="none" w:sz="0" w:space="0" w:color="auto"/>
        <w:right w:val="none" w:sz="0" w:space="0" w:color="auto"/>
      </w:divBdr>
    </w:div>
    <w:div w:id="2010208610">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05561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DB4CE1.97E5BD5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08A89-CDC5-456E-BABC-69BAD4B62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4183</Words>
  <Characters>24638</Characters>
  <Application>Microsoft Office Word</Application>
  <DocSecurity>4</DocSecurity>
  <Lines>417</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2026-03-19T17:14:00Z</cp:lastPrinted>
  <dcterms:created xsi:type="dcterms:W3CDTF">2026-03-23T17:37:00Z</dcterms:created>
  <dcterms:modified xsi:type="dcterms:W3CDTF">2026-03-23T17:37:00Z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