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48362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14:ligatures w14:val="none"/>
        </w:rPr>
      </w:pPr>
      <w:r w:rsidRPr="00CB1979"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14:ligatures w14:val="none"/>
        </w:rPr>
        <w:t>GOBIERNO DE PUERTO RICO</w:t>
      </w:r>
    </w:p>
    <w:p w14:paraId="55131F5B" w14:textId="77777777" w:rsidR="000C5343" w:rsidRPr="00CB1979" w:rsidRDefault="000C5343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22D13054" w14:textId="77777777" w:rsidR="00A54AF0" w:rsidRPr="00CB1979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</w:p>
    <w:p w14:paraId="4E37C54E" w14:textId="270037C8" w:rsidR="00A54AF0" w:rsidRPr="00CB1979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20</w:t>
      </w:r>
      <w:r w:rsidRPr="00CB1979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>ma</w:t>
      </w:r>
      <w:r w:rsidR="005E118E" w:rsidRPr="00CB1979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>.</w:t>
      </w:r>
      <w:r w:rsidRPr="00CB1979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 xml:space="preserve"> </w:t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Asamblea</w:t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  <w:t xml:space="preserve">                  </w:t>
      </w:r>
      <w:r w:rsidR="00947E8C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3</w:t>
      </w:r>
      <w:r w:rsidR="00947E8C">
        <w:rPr>
          <w:rFonts w:ascii="Book Antiqua" w:eastAsia="Times New Roman" w:hAnsi="Book Antiqua" w:cs="Times New Roman"/>
          <w:color w:val="000000"/>
          <w:kern w:val="0"/>
          <w:vertAlign w:val="superscript"/>
          <w:lang w:val="es-ES"/>
          <w14:ligatures w14:val="none"/>
        </w:rPr>
        <w:t>r</w:t>
      </w:r>
      <w:r w:rsidRPr="00CB1979">
        <w:rPr>
          <w:rFonts w:ascii="Book Antiqua" w:eastAsia="Times New Roman" w:hAnsi="Book Antiqua" w:cs="Times New Roman"/>
          <w:color w:val="000000"/>
          <w:kern w:val="0"/>
          <w:vertAlign w:val="superscript"/>
          <w:lang w:val="es-ES"/>
          <w14:ligatures w14:val="none"/>
        </w:rPr>
        <w:t>a.</w:t>
      </w:r>
      <w:r w:rsidRPr="00CB1979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 xml:space="preserve"> </w:t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Sesión </w:t>
      </w:r>
    </w:p>
    <w:p w14:paraId="4C99236B" w14:textId="15E116D3" w:rsidR="00A54AF0" w:rsidRPr="00CB1979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       </w:t>
      </w:r>
      <w:r w:rsidR="000C5343"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</w:t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Legislativa</w:t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  <w:t xml:space="preserve"> </w:t>
      </w:r>
      <w:r w:rsidR="000C5343"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          </w:t>
      </w:r>
      <w:r w:rsidRPr="00CB197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Ordinaria </w:t>
      </w:r>
    </w:p>
    <w:p w14:paraId="29F090CC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0CEF9C2F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5F4761C8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  <w:t>CÁMARA DE REPRESENTANTES</w:t>
      </w:r>
    </w:p>
    <w:p w14:paraId="507F2406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14:ligatures w14:val="none"/>
        </w:rPr>
      </w:pPr>
    </w:p>
    <w:p w14:paraId="3895E960" w14:textId="67D0A4D6" w:rsidR="00A54AF0" w:rsidRPr="00CB1979" w:rsidRDefault="00D12674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  <w:t>P. del S. 872</w:t>
      </w:r>
    </w:p>
    <w:p w14:paraId="6A26D0A1" w14:textId="7E61818B" w:rsidR="00A54AF0" w:rsidRPr="00CB1979" w:rsidRDefault="00A54AF0" w:rsidP="00A54AF0">
      <w:pPr>
        <w:keepNext/>
        <w:spacing w:before="240"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:lang w:eastAsia="x-none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:lang w:eastAsia="x-none"/>
          <w14:ligatures w14:val="none"/>
        </w:rPr>
        <w:t>INFORME POSITIVO</w:t>
      </w:r>
    </w:p>
    <w:p w14:paraId="6E1E98A3" w14:textId="77777777" w:rsidR="00A54AF0" w:rsidRPr="00CB1979" w:rsidRDefault="00A54AF0" w:rsidP="00A54AF0">
      <w:pPr>
        <w:spacing w:after="0" w:line="240" w:lineRule="auto"/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</w:pPr>
    </w:p>
    <w:p w14:paraId="26D2917D" w14:textId="54061EEE" w:rsidR="00A54AF0" w:rsidRPr="00CB1979" w:rsidRDefault="00A62E95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  <w:r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16</w:t>
      </w:r>
      <w:r w:rsidR="00A54AF0" w:rsidRPr="00CB1979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 xml:space="preserve"> DE </w:t>
      </w:r>
      <w:r w:rsidR="00B36527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JUNIO</w:t>
      </w:r>
      <w:r w:rsidR="00663D4E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 xml:space="preserve"> </w:t>
      </w:r>
      <w:r w:rsidR="00A54AF0" w:rsidRPr="00CB1979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DE 202</w:t>
      </w:r>
      <w:r w:rsidR="0078577E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6</w:t>
      </w:r>
    </w:p>
    <w:p w14:paraId="77242E04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420645D7" w14:textId="77777777" w:rsidR="00A54AF0" w:rsidRPr="00CB1979" w:rsidRDefault="00A54AF0" w:rsidP="00A54AF0">
      <w:pPr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05B222A6" w14:textId="77777777" w:rsidR="00A54AF0" w:rsidRPr="00CB1979" w:rsidRDefault="00A54AF0" w:rsidP="00A54AF0">
      <w:pPr>
        <w:spacing w:after="0" w:line="240" w:lineRule="auto"/>
        <w:ind w:firstLine="720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kern w:val="0"/>
          <w14:ligatures w14:val="none"/>
        </w:rPr>
        <w:t>A LA CÁMARA DE REPRESENTANTES DE PUERTO RICO:</w:t>
      </w:r>
    </w:p>
    <w:p w14:paraId="1DE7F01B" w14:textId="77777777" w:rsidR="00A54AF0" w:rsidRPr="00CB1979" w:rsidRDefault="00A54AF0" w:rsidP="00A54AF0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</w:p>
    <w:p w14:paraId="65F2FF51" w14:textId="646F66DE" w:rsidR="00A54AF0" w:rsidRPr="00CB1979" w:rsidRDefault="00A54AF0" w:rsidP="00AB7D4B">
      <w:pPr>
        <w:spacing w:after="0" w:line="360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La </w:t>
      </w:r>
      <w:r w:rsidRPr="00CB1979">
        <w:rPr>
          <w:rFonts w:ascii="Book Antiqua" w:eastAsia="Times New Roman" w:hAnsi="Book Antiqua" w:cs="Times New Roman"/>
          <w:i/>
          <w:iCs/>
          <w:kern w:val="0"/>
          <w:lang w:val="es-ES"/>
          <w14:ligatures w14:val="none"/>
        </w:rPr>
        <w:t>Comisión de Reorganización, Eficiencia y Diligencia</w:t>
      </w: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, recomienda la </w:t>
      </w:r>
      <w:r w:rsidR="00D278EB" w:rsidRPr="00D278EB">
        <w:rPr>
          <w:rFonts w:ascii="Book Antiqua" w:eastAsia="Times New Roman" w:hAnsi="Book Antiqua" w:cs="Times New Roman"/>
          <w:b/>
          <w:bCs/>
          <w:kern w:val="0"/>
          <w:u w:val="single"/>
          <w14:ligatures w14:val="none"/>
        </w:rPr>
        <w:t xml:space="preserve">aprobación </w:t>
      </w: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del </w:t>
      </w:r>
      <w:r w:rsidR="00433876" w:rsidRPr="00CB1979">
        <w:rPr>
          <w:rFonts w:ascii="Book Antiqua" w:eastAsia="Times New Roman" w:hAnsi="Book Antiqua" w:cs="Times New Roman"/>
          <w:b/>
          <w:bCs/>
          <w:kern w:val="0"/>
          <w14:ligatures w14:val="none"/>
        </w:rPr>
        <w:t xml:space="preserve">Proyecto </w:t>
      </w:r>
      <w:r w:rsidR="00F72648">
        <w:rPr>
          <w:rFonts w:ascii="Book Antiqua" w:eastAsia="Times New Roman" w:hAnsi="Book Antiqua" w:cs="Times New Roman"/>
          <w:b/>
          <w:bCs/>
          <w:kern w:val="0"/>
          <w14:ligatures w14:val="none"/>
        </w:rPr>
        <w:t>del Senado 872</w:t>
      </w:r>
      <w:r w:rsidR="00C64058">
        <w:rPr>
          <w:rFonts w:ascii="Book Antiqua" w:eastAsia="Times New Roman" w:hAnsi="Book Antiqua" w:cs="Times New Roman"/>
          <w:b/>
          <w:bCs/>
          <w:kern w:val="0"/>
          <w14:ligatures w14:val="none"/>
        </w:rPr>
        <w:t xml:space="preserve"> </w:t>
      </w:r>
      <w:r w:rsidR="00792C46">
        <w:rPr>
          <w:rFonts w:ascii="Book Antiqua" w:eastAsia="Times New Roman" w:hAnsi="Book Antiqua" w:cs="Times New Roman"/>
          <w:kern w:val="0"/>
          <w14:ligatures w14:val="none"/>
        </w:rPr>
        <w:t>(P. d</w:t>
      </w:r>
      <w:r w:rsidR="00F72648">
        <w:rPr>
          <w:rFonts w:ascii="Book Antiqua" w:eastAsia="Times New Roman" w:hAnsi="Book Antiqua" w:cs="Times New Roman"/>
          <w:kern w:val="0"/>
          <w14:ligatures w14:val="none"/>
        </w:rPr>
        <w:t>el S. 872</w:t>
      </w:r>
      <w:r w:rsidR="00792C46">
        <w:rPr>
          <w:rFonts w:ascii="Book Antiqua" w:eastAsia="Times New Roman" w:hAnsi="Book Antiqua" w:cs="Times New Roman"/>
          <w:kern w:val="0"/>
          <w14:ligatures w14:val="none"/>
        </w:rPr>
        <w:t>)</w:t>
      </w:r>
      <w:r w:rsidR="00D278EB">
        <w:rPr>
          <w:rFonts w:ascii="Book Antiqua" w:eastAsia="Times New Roman" w:hAnsi="Book Antiqua" w:cs="Times New Roman"/>
          <w:kern w:val="0"/>
          <w14:ligatures w14:val="none"/>
        </w:rPr>
        <w:t xml:space="preserve">, </w:t>
      </w:r>
      <w:r w:rsidR="000A10C2">
        <w:rPr>
          <w:rFonts w:ascii="Book Antiqua" w:eastAsia="Times New Roman" w:hAnsi="Book Antiqua" w:cs="Times New Roman"/>
          <w:kern w:val="0"/>
          <w14:ligatures w14:val="none"/>
        </w:rPr>
        <w:t>según fue presentado a la Cámara de Representantes por el Senado de Puerto Rico</w:t>
      </w:r>
      <w:r w:rsidR="00CD2E1E">
        <w:rPr>
          <w:rFonts w:ascii="Book Antiqua" w:eastAsia="Times New Roman" w:hAnsi="Book Antiqua" w:cs="Times New Roman"/>
          <w:kern w:val="0"/>
          <w14:ligatures w14:val="none"/>
        </w:rPr>
        <w:t xml:space="preserve">, sin enmiendas. </w:t>
      </w:r>
    </w:p>
    <w:p w14:paraId="3639B984" w14:textId="77777777" w:rsidR="00A54AF0" w:rsidRPr="00CB1979" w:rsidRDefault="00A54AF0" w:rsidP="00A54AF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5F8ED6CA" w14:textId="77777777" w:rsidR="00A54AF0" w:rsidRDefault="00A54AF0" w:rsidP="00A54AF0">
      <w:pPr>
        <w:keepNext/>
        <w:spacing w:after="0" w:line="240" w:lineRule="auto"/>
        <w:ind w:left="2160" w:firstLine="720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  <w:t>ALCANCE DE LA MEDIDA</w:t>
      </w:r>
    </w:p>
    <w:p w14:paraId="698C0E17" w14:textId="77777777" w:rsidR="00F72648" w:rsidRDefault="00F72648" w:rsidP="00A54AF0">
      <w:pPr>
        <w:keepNext/>
        <w:spacing w:after="0" w:line="240" w:lineRule="auto"/>
        <w:ind w:left="2160" w:firstLine="720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</w:pPr>
    </w:p>
    <w:p w14:paraId="1432D737" w14:textId="45DF718F" w:rsidR="00F72648" w:rsidRPr="00A16E6B" w:rsidRDefault="00A16E6B" w:rsidP="00A16E6B">
      <w:pPr>
        <w:keepNext/>
        <w:spacing w:after="0" w:line="240" w:lineRule="auto"/>
        <w:ind w:firstLine="720"/>
        <w:jc w:val="both"/>
        <w:outlineLvl w:val="1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  <w:r w:rsidRPr="00A16E6B">
        <w:rPr>
          <w:rFonts w:ascii="Book Antiqua" w:eastAsia="Times New Roman" w:hAnsi="Book Antiqua" w:cs="Times New Roman"/>
          <w:kern w:val="0"/>
          <w:lang w:eastAsia="x-none"/>
          <w14:ligatures w14:val="none"/>
        </w:rPr>
        <w:t>Para enmendar los Artículos 3, 4, 6 y 8 de la Ley 209-2003, según enmendada, conocida como “Ley del Instituto de Estadísticas de Puerto Rico”, a los fines de actualizar las referencias a leyes que han sido derogadas y sustituidas por legislación vigente; aumentar el umbral para la aprobación de contratos por parte de la Junta de Directores; y para otros fines relacionados.</w:t>
      </w:r>
    </w:p>
    <w:p w14:paraId="05D2FB6C" w14:textId="77777777" w:rsidR="00A54AF0" w:rsidRPr="00CB1979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633D576D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kern w:val="0"/>
          <w14:ligatures w14:val="none"/>
        </w:rPr>
        <w:t>INTRODUCCIÓN</w:t>
      </w:r>
    </w:p>
    <w:p w14:paraId="577851B1" w14:textId="77777777" w:rsidR="005E118E" w:rsidRPr="00CB1979" w:rsidRDefault="005E118E" w:rsidP="005E118E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</w:p>
    <w:p w14:paraId="292BEEFB" w14:textId="41E65883" w:rsidR="008C497E" w:rsidRDefault="005E118E" w:rsidP="00A16E6B">
      <w:pPr>
        <w:spacing w:after="0" w:line="360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kern w:val="0"/>
          <w14:ligatures w14:val="none"/>
        </w:rPr>
        <w:tab/>
      </w:r>
      <w:r w:rsidR="00A16E6B">
        <w:rPr>
          <w:rFonts w:ascii="Book Antiqua" w:eastAsia="Times New Roman" w:hAnsi="Book Antiqua" w:cs="Times New Roman"/>
          <w:kern w:val="0"/>
          <w14:ligatures w14:val="none"/>
        </w:rPr>
        <w:t xml:space="preserve">El </w:t>
      </w:r>
      <w:r w:rsidR="00A16E6B" w:rsidRPr="005F5CEA">
        <w:rPr>
          <w:rFonts w:ascii="Book Antiqua" w:eastAsia="Times New Roman" w:hAnsi="Book Antiqua" w:cs="Times New Roman"/>
          <w:b/>
          <w:bCs/>
          <w:kern w:val="0"/>
          <w14:ligatures w14:val="none"/>
        </w:rPr>
        <w:t xml:space="preserve">P. del S. 872 </w:t>
      </w:r>
      <w:r w:rsidR="00A16E6B">
        <w:rPr>
          <w:rFonts w:ascii="Book Antiqua" w:eastAsia="Times New Roman" w:hAnsi="Book Antiqua" w:cs="Times New Roman"/>
          <w:kern w:val="0"/>
          <w14:ligatures w14:val="none"/>
        </w:rPr>
        <w:t xml:space="preserve">propone efectuar enmiendas a los Artículos 3, 4, 6 y 8 de la Ley Núm. 209-2003, según enmendada, conocida como </w:t>
      </w:r>
      <w:r w:rsidR="00A16E6B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del Instituto de Estadísticas de Puerto Rico</w:t>
      </w:r>
      <w:r w:rsidR="00A16E6B">
        <w:rPr>
          <w:rFonts w:ascii="Book Antiqua" w:eastAsia="Times New Roman" w:hAnsi="Book Antiqua" w:cs="Times New Roman"/>
          <w:kern w:val="0"/>
          <w14:ligatures w14:val="none"/>
        </w:rPr>
        <w:t>.</w:t>
      </w:r>
      <w:r w:rsidR="00D12674">
        <w:rPr>
          <w:rStyle w:val="FootnoteReference"/>
          <w:rFonts w:ascii="Book Antiqua" w:eastAsia="Times New Roman" w:hAnsi="Book Antiqua"/>
          <w:kern w:val="0"/>
          <w14:ligatures w14:val="none"/>
        </w:rPr>
        <w:footnoteReference w:id="1"/>
      </w:r>
      <w:r w:rsidR="00A16E6B">
        <w:rPr>
          <w:rFonts w:ascii="Book Antiqua" w:eastAsia="Times New Roman" w:hAnsi="Book Antiqua" w:cs="Times New Roman"/>
          <w:kern w:val="0"/>
          <w14:ligatures w14:val="none"/>
        </w:rPr>
        <w:t xml:space="preserve"> En el Artículo 3, propone sustituir las referencias a la derogada Ley Núm. 184-2004, </w:t>
      </w:r>
      <w:r w:rsidR="00A16E6B">
        <w:rPr>
          <w:rFonts w:ascii="Book Antiqua" w:eastAsia="Times New Roman" w:hAnsi="Book Antiqua" w:cs="Times New Roman"/>
          <w:kern w:val="0"/>
          <w14:ligatures w14:val="none"/>
        </w:rPr>
        <w:lastRenderedPageBreak/>
        <w:t xml:space="preserve">según enmendada, conocida como </w:t>
      </w:r>
      <w:r w:rsidR="00A16E6B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para la Administración de los Recursos Hu</w:t>
      </w:r>
      <w:r w:rsidR="00D52BF9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ma</w:t>
      </w:r>
      <w:r w:rsidR="00A16E6B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 xml:space="preserve">nos en el Servicio </w:t>
      </w:r>
      <w:r w:rsidR="00C56DBA">
        <w:rPr>
          <w:rFonts w:ascii="Book Antiqua" w:eastAsia="Times New Roman" w:hAnsi="Book Antiqua" w:cs="Times New Roman"/>
          <w:i/>
          <w:iCs/>
          <w:kern w:val="0"/>
          <w14:ligatures w14:val="none"/>
        </w:rPr>
        <w:t>P</w:t>
      </w:r>
      <w:r w:rsidR="00A16E6B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 xml:space="preserve">úblico del Estado Libre Asociado de </w:t>
      </w:r>
      <w:r w:rsidR="00D52BF9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P</w:t>
      </w:r>
      <w:r w:rsidR="00A16E6B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uerto Rico</w:t>
      </w:r>
      <w:r w:rsidR="00A16E6B">
        <w:rPr>
          <w:rFonts w:ascii="Book Antiqua" w:eastAsia="Times New Roman" w:hAnsi="Book Antiqua" w:cs="Times New Roman"/>
          <w:kern w:val="0"/>
          <w14:ligatures w14:val="none"/>
        </w:rPr>
        <w:t xml:space="preserve">, por la Ley </w:t>
      </w:r>
      <w:r w:rsidR="00D52BF9">
        <w:rPr>
          <w:rFonts w:ascii="Book Antiqua" w:eastAsia="Times New Roman" w:hAnsi="Book Antiqua" w:cs="Times New Roman"/>
          <w:kern w:val="0"/>
          <w14:ligatures w14:val="none"/>
        </w:rPr>
        <w:t>N</w:t>
      </w:r>
      <w:r w:rsidR="00A16E6B">
        <w:rPr>
          <w:rFonts w:ascii="Book Antiqua" w:eastAsia="Times New Roman" w:hAnsi="Book Antiqua" w:cs="Times New Roman"/>
          <w:kern w:val="0"/>
          <w14:ligatures w14:val="none"/>
        </w:rPr>
        <w:t xml:space="preserve">úm. 8-2017, según enmendada, conocida como </w:t>
      </w:r>
      <w:r w:rsidR="00A16E6B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pa</w:t>
      </w:r>
      <w:r w:rsidR="007C7AE8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ra la Administración y Transformación de los Recursos Humanos en el Gobierno de Puerto Rico</w:t>
      </w:r>
      <w:r w:rsidR="007C7AE8">
        <w:rPr>
          <w:rFonts w:ascii="Book Antiqua" w:eastAsia="Times New Roman" w:hAnsi="Book Antiqua" w:cs="Times New Roman"/>
          <w:kern w:val="0"/>
          <w14:ligatures w14:val="none"/>
        </w:rPr>
        <w:t>.</w:t>
      </w:r>
      <w:r w:rsidR="00D12674">
        <w:rPr>
          <w:rStyle w:val="FootnoteReference"/>
          <w:rFonts w:ascii="Book Antiqua" w:eastAsia="Times New Roman" w:hAnsi="Book Antiqua"/>
          <w:kern w:val="0"/>
          <w14:ligatures w14:val="none"/>
        </w:rPr>
        <w:footnoteReference w:id="2"/>
      </w:r>
      <w:r w:rsidR="007C7AE8">
        <w:rPr>
          <w:rFonts w:ascii="Book Antiqua" w:eastAsia="Times New Roman" w:hAnsi="Book Antiqua" w:cs="Times New Roman"/>
          <w:kern w:val="0"/>
          <w14:ligatures w14:val="none"/>
        </w:rPr>
        <w:t xml:space="preserve"> De igual manera, propone la sustitución de las referencias a la Ley Núm. 164 de 23 de junio de 1974, según enmendada, conocida como </w:t>
      </w:r>
      <w:r w:rsidR="007C7AE8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 la Administración de Servicios Generales</w:t>
      </w:r>
      <w:r w:rsidR="00D52BF9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 xml:space="preserve"> </w:t>
      </w:r>
      <w:r w:rsidR="00D52BF9" w:rsidRPr="000A10C2">
        <w:rPr>
          <w:rFonts w:ascii="Book Antiqua" w:eastAsia="Times New Roman" w:hAnsi="Book Antiqua" w:cs="Times New Roman"/>
          <w:kern w:val="0"/>
          <w14:ligatures w14:val="none"/>
        </w:rPr>
        <w:t>por la Ley 73-2019,</w:t>
      </w:r>
      <w:r w:rsidR="00D52BF9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 xml:space="preserve"> según enmendada, </w:t>
      </w:r>
      <w:r w:rsidR="00D52BF9" w:rsidRPr="000A10C2">
        <w:rPr>
          <w:rFonts w:ascii="Book Antiqua" w:eastAsia="Times New Roman" w:hAnsi="Book Antiqua" w:cs="Times New Roman"/>
          <w:kern w:val="0"/>
          <w14:ligatures w14:val="none"/>
        </w:rPr>
        <w:t xml:space="preserve">conocida como </w:t>
      </w:r>
      <w:r w:rsidR="00D52BF9" w:rsidRPr="00D52BF9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 la Administración de Servicios Generales para la centralización de las compras del Gobierno de Puerto Rico de 2019</w:t>
      </w:r>
      <w:r w:rsidR="00D52BF9">
        <w:rPr>
          <w:rFonts w:ascii="Book Antiqua" w:eastAsia="Times New Roman" w:hAnsi="Book Antiqua" w:cs="Times New Roman"/>
          <w:kern w:val="0"/>
          <w14:ligatures w14:val="none"/>
        </w:rPr>
        <w:t>.</w:t>
      </w:r>
      <w:r w:rsidR="00D12674">
        <w:rPr>
          <w:rStyle w:val="FootnoteReference"/>
          <w:rFonts w:ascii="Book Antiqua" w:eastAsia="Times New Roman" w:hAnsi="Book Antiqua"/>
          <w:kern w:val="0"/>
          <w14:ligatures w14:val="none"/>
        </w:rPr>
        <w:footnoteReference w:id="3"/>
      </w:r>
      <w:r w:rsidR="00D52BF9">
        <w:rPr>
          <w:rFonts w:ascii="Book Antiqua" w:eastAsia="Times New Roman" w:hAnsi="Book Antiqua" w:cs="Times New Roman"/>
          <w:kern w:val="0"/>
          <w14:ligatures w14:val="none"/>
        </w:rPr>
        <w:t xml:space="preserve"> </w:t>
      </w:r>
    </w:p>
    <w:p w14:paraId="2841EF18" w14:textId="3BDBE7FF" w:rsidR="004A4E99" w:rsidRDefault="00D52BF9" w:rsidP="00C56DBA">
      <w:pPr>
        <w:spacing w:after="0" w:line="360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t xml:space="preserve">Con relación al Artículo 4 de la Ley Núm. 209-2003, </w:t>
      </w:r>
      <w:r w:rsidRPr="00B36527">
        <w:rPr>
          <w:rFonts w:ascii="Book Antiqua" w:eastAsia="Times New Roman" w:hAnsi="Book Antiqua" w:cs="Times New Roman"/>
          <w:i/>
          <w:iCs/>
          <w:kern w:val="0"/>
          <w14:ligatures w14:val="none"/>
        </w:rPr>
        <w:t>supra</w:t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, </w:t>
      </w:r>
      <w:r w:rsidR="009E6DB8">
        <w:rPr>
          <w:rFonts w:ascii="Book Antiqua" w:eastAsia="Times New Roman" w:hAnsi="Book Antiqua" w:cs="Times New Roman"/>
          <w:kern w:val="0"/>
          <w14:ligatures w14:val="none"/>
        </w:rPr>
        <w:t xml:space="preserve">propone sustituir la referencia de la derogada Ley Núm. 170 de 12 de agosto de 1988, según enmendada, conocida como </w:t>
      </w:r>
      <w:r w:rsidR="009E6DB8" w:rsidRPr="009E6DB8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 Procedimiento Administrativo Uniforme</w:t>
      </w:r>
      <w:r w:rsidR="009E6DB8">
        <w:rPr>
          <w:rFonts w:ascii="Book Antiqua" w:eastAsia="Times New Roman" w:hAnsi="Book Antiqua" w:cs="Times New Roman"/>
          <w:kern w:val="0"/>
          <w14:ligatures w14:val="none"/>
        </w:rPr>
        <w:t xml:space="preserve"> por la Ley Núm. 38-2017, según enmendada, conocida como </w:t>
      </w:r>
      <w:r w:rsidR="009E6DB8" w:rsidRPr="009E6DB8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 Procedimiento Administrativo Uniforme del Gobierno de Puerto Rico</w:t>
      </w:r>
      <w:r w:rsidR="009E6DB8">
        <w:rPr>
          <w:rFonts w:ascii="Book Antiqua" w:eastAsia="Times New Roman" w:hAnsi="Book Antiqua" w:cs="Times New Roman"/>
          <w:kern w:val="0"/>
          <w14:ligatures w14:val="none"/>
        </w:rPr>
        <w:t>.</w:t>
      </w:r>
      <w:r w:rsidR="00D12674">
        <w:rPr>
          <w:rStyle w:val="FootnoteReference"/>
          <w:rFonts w:ascii="Book Antiqua" w:eastAsia="Times New Roman" w:hAnsi="Book Antiqua"/>
          <w:kern w:val="0"/>
          <w14:ligatures w14:val="none"/>
        </w:rPr>
        <w:footnoteReference w:id="4"/>
      </w:r>
      <w:r w:rsidR="009E6DB8">
        <w:rPr>
          <w:rFonts w:ascii="Book Antiqua" w:eastAsia="Times New Roman" w:hAnsi="Book Antiqua" w:cs="Times New Roman"/>
          <w:kern w:val="0"/>
          <w14:ligatures w14:val="none"/>
        </w:rPr>
        <w:t xml:space="preserve"> </w:t>
      </w:r>
      <w:r w:rsidR="00C56DBA">
        <w:rPr>
          <w:rFonts w:ascii="Book Antiqua" w:eastAsia="Times New Roman" w:hAnsi="Book Antiqua" w:cs="Times New Roman"/>
          <w:kern w:val="0"/>
          <w14:ligatures w14:val="none"/>
        </w:rPr>
        <w:t xml:space="preserve">Además, </w:t>
      </w:r>
      <w:r w:rsidR="009E6DB8">
        <w:rPr>
          <w:rFonts w:ascii="Book Antiqua" w:eastAsia="Times New Roman" w:hAnsi="Book Antiqua" w:cs="Times New Roman"/>
          <w:kern w:val="0"/>
          <w14:ligatures w14:val="none"/>
        </w:rPr>
        <w:t xml:space="preserve">propone eliminar del Artículo 6 de la Ley Núm. 209-2003, </w:t>
      </w:r>
      <w:r w:rsidR="009E6DB8" w:rsidRPr="009E6DB8">
        <w:rPr>
          <w:rFonts w:ascii="Book Antiqua" w:eastAsia="Times New Roman" w:hAnsi="Book Antiqua" w:cs="Times New Roman"/>
          <w:i/>
          <w:iCs/>
          <w:kern w:val="0"/>
          <w14:ligatures w14:val="none"/>
        </w:rPr>
        <w:t>supra</w:t>
      </w:r>
      <w:r w:rsidR="009E6DB8">
        <w:rPr>
          <w:rFonts w:ascii="Book Antiqua" w:eastAsia="Times New Roman" w:hAnsi="Book Antiqua" w:cs="Times New Roman"/>
          <w:kern w:val="0"/>
          <w14:ligatures w14:val="none"/>
        </w:rPr>
        <w:t xml:space="preserve">, la referencia a la Ley Núm. 5 de 14 de octubre de 1975, según enmendada, conocida como </w:t>
      </w:r>
      <w:r w:rsidR="009E6DB8" w:rsidRPr="009E6DB8">
        <w:rPr>
          <w:rFonts w:ascii="Book Antiqua" w:eastAsia="Times New Roman" w:hAnsi="Book Antiqua" w:cs="Times New Roman"/>
          <w:i/>
          <w:iCs/>
          <w:kern w:val="0"/>
          <w14:ligatures w14:val="none"/>
        </w:rPr>
        <w:t>Ley de personal del servicio público de Puerto Rico</w:t>
      </w:r>
      <w:r w:rsidR="00C56DBA">
        <w:rPr>
          <w:rFonts w:ascii="Book Antiqua" w:eastAsia="Times New Roman" w:hAnsi="Book Antiqua" w:cs="Times New Roman"/>
          <w:kern w:val="0"/>
          <w14:ligatures w14:val="none"/>
        </w:rPr>
        <w:t xml:space="preserve">. </w:t>
      </w:r>
    </w:p>
    <w:p w14:paraId="29B18492" w14:textId="3CDE6EC9" w:rsidR="008C497E" w:rsidRPr="009E6DB8" w:rsidRDefault="008C497E" w:rsidP="008C497E">
      <w:pPr>
        <w:spacing w:after="0" w:line="360" w:lineRule="auto"/>
        <w:ind w:firstLine="720"/>
        <w:jc w:val="both"/>
        <w:rPr>
          <w:rFonts w:ascii="Book Antiqua" w:hAnsi="Book Antiqua" w:cs="Times New Roman"/>
          <w:lang w:val="es-ES_tradnl"/>
        </w:rPr>
      </w:pPr>
      <w:r>
        <w:rPr>
          <w:rFonts w:ascii="Book Antiqua" w:eastAsia="Times New Roman" w:hAnsi="Book Antiqua" w:cs="Times New Roman"/>
          <w:kern w:val="0"/>
          <w14:ligatures w14:val="none"/>
        </w:rPr>
        <w:t xml:space="preserve">Con relación al Artículo 8 de la Ley núm. 209-2003, </w:t>
      </w:r>
      <w:r w:rsidRPr="00C56DBA">
        <w:rPr>
          <w:rFonts w:ascii="Book Antiqua" w:eastAsia="Times New Roman" w:hAnsi="Book Antiqua" w:cs="Times New Roman"/>
          <w:i/>
          <w:iCs/>
          <w:kern w:val="0"/>
          <w14:ligatures w14:val="none"/>
        </w:rPr>
        <w:t>supra</w:t>
      </w:r>
      <w:r>
        <w:rPr>
          <w:rFonts w:ascii="Book Antiqua" w:eastAsia="Times New Roman" w:hAnsi="Book Antiqua" w:cs="Times New Roman"/>
          <w:kern w:val="0"/>
          <w14:ligatures w14:val="none"/>
        </w:rPr>
        <w:t>, el P. de la C. 872 propone enmendar el inciso (i) para que la Junta pueda aprobar la adquisición de equipo, materiales y servicios cuyo valor exceda de $100,000.00 en lugar de los $36,000.00 que puede aprobar actualmente.</w:t>
      </w:r>
    </w:p>
    <w:p w14:paraId="6D3F4264" w14:textId="7B51B0DB" w:rsidR="00A54AF0" w:rsidRPr="00CB1979" w:rsidRDefault="00647DED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/>
          <w:kern w:val="0"/>
          <w14:ligatures w14:val="none"/>
        </w:rPr>
        <w:t xml:space="preserve">PONENCIAS O </w:t>
      </w:r>
      <w:r w:rsidR="00A54AF0" w:rsidRPr="00CB1979">
        <w:rPr>
          <w:rFonts w:ascii="Book Antiqua" w:eastAsia="Times New Roman" w:hAnsi="Book Antiqua" w:cs="Times New Roman"/>
          <w:b/>
          <w:kern w:val="0"/>
          <w14:ligatures w14:val="none"/>
        </w:rPr>
        <w:t>MEMORIALES RECIBID</w:t>
      </w:r>
      <w:r w:rsidRPr="00CB1979">
        <w:rPr>
          <w:rFonts w:ascii="Book Antiqua" w:eastAsia="Times New Roman" w:hAnsi="Book Antiqua" w:cs="Times New Roman"/>
          <w:b/>
          <w:kern w:val="0"/>
          <w14:ligatures w14:val="none"/>
        </w:rPr>
        <w:t>O</w:t>
      </w:r>
      <w:r w:rsidR="00A54AF0" w:rsidRPr="00CB1979">
        <w:rPr>
          <w:rFonts w:ascii="Book Antiqua" w:eastAsia="Times New Roman" w:hAnsi="Book Antiqua" w:cs="Times New Roman"/>
          <w:b/>
          <w:kern w:val="0"/>
          <w14:ligatures w14:val="none"/>
        </w:rPr>
        <w:t>S</w:t>
      </w:r>
    </w:p>
    <w:p w14:paraId="2EE2EDEA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52254905" w14:textId="383E7081" w:rsidR="004761F7" w:rsidRDefault="00A54AF0" w:rsidP="004761F7">
      <w:pPr>
        <w:numPr>
          <w:ilvl w:val="0"/>
          <w:numId w:val="2"/>
        </w:numPr>
        <w:spacing w:after="0" w:line="240" w:lineRule="auto"/>
        <w:ind w:left="360"/>
        <w:contextualSpacing/>
        <w:jc w:val="center"/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Memoriales Explicativos</w:t>
      </w:r>
    </w:p>
    <w:p w14:paraId="7F1BBDD2" w14:textId="77777777" w:rsidR="004761F7" w:rsidRPr="004761F7" w:rsidRDefault="004761F7" w:rsidP="004761F7">
      <w:pPr>
        <w:spacing w:after="0" w:line="240" w:lineRule="auto"/>
        <w:contextualSpacing/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</w:pPr>
    </w:p>
    <w:p w14:paraId="4E9E0BCA" w14:textId="5BFEE0E5" w:rsidR="00B36527" w:rsidRPr="004761F7" w:rsidRDefault="008C497E" w:rsidP="004761F7">
      <w:pPr>
        <w:numPr>
          <w:ilvl w:val="0"/>
          <w:numId w:val="1"/>
        </w:numPr>
        <w:spacing w:line="480" w:lineRule="auto"/>
        <w:ind w:left="360"/>
        <w:contextualSpacing/>
        <w:jc w:val="center"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  <w:r>
        <w:rPr>
          <w:rFonts w:ascii="Book Antiqua" w:eastAsia="Times New Roman" w:hAnsi="Book Antiqua" w:cs="Times New Roman"/>
          <w:kern w:val="0"/>
          <w:u w:val="single"/>
          <w14:ligatures w14:val="none"/>
        </w:rPr>
        <w:t>Instituto de Estadísticas de Puerto Rico</w:t>
      </w:r>
    </w:p>
    <w:p w14:paraId="3DDB9F96" w14:textId="309759D8" w:rsidR="00B36527" w:rsidRDefault="00B36527" w:rsidP="00B36527">
      <w:pPr>
        <w:spacing w:after="200" w:line="36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  <w:r w:rsidRPr="00B36527">
        <w:rPr>
          <w:rFonts w:ascii="Book Antiqua" w:eastAsia="Times New Roman" w:hAnsi="Book Antiqua" w:cs="Times New Roman"/>
          <w:kern w:val="0"/>
          <w14:ligatures w14:val="none"/>
        </w:rPr>
        <w:t>El Instituto de Estadísticas</w:t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 respaldó la aprobación del proyecto de ley, indicando que constituye un esfuerzo de modernización legislativa que permitirá una operación </w:t>
      </w:r>
      <w:r>
        <w:rPr>
          <w:rFonts w:ascii="Book Antiqua" w:eastAsia="Times New Roman" w:hAnsi="Book Antiqua" w:cs="Times New Roman"/>
          <w:kern w:val="0"/>
          <w14:ligatures w14:val="none"/>
        </w:rPr>
        <w:lastRenderedPageBreak/>
        <w:t>administrativa más eficiente y ajustada al marco jurídico vigente.</w:t>
      </w:r>
      <w:r>
        <w:rPr>
          <w:rStyle w:val="FootnoteReference"/>
          <w:rFonts w:ascii="Book Antiqua" w:eastAsia="Times New Roman" w:hAnsi="Book Antiqua"/>
          <w:kern w:val="0"/>
          <w14:ligatures w14:val="none"/>
        </w:rPr>
        <w:footnoteReference w:id="5"/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 Añadió que la actualización de referencias legales obsoletas es necesaria </w:t>
      </w:r>
      <w:r w:rsidR="00B816FC">
        <w:rPr>
          <w:rFonts w:ascii="Book Antiqua" w:eastAsia="Times New Roman" w:hAnsi="Book Antiqua" w:cs="Times New Roman"/>
          <w:kern w:val="0"/>
          <w14:ligatures w14:val="none"/>
        </w:rPr>
        <w:t xml:space="preserve">e impostergable </w:t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para evitar la incertidumbre jurídica, y además, armoniza la Ley Núm. 209-2003, </w:t>
      </w:r>
      <w:r w:rsidRPr="00B816FC">
        <w:rPr>
          <w:rFonts w:ascii="Book Antiqua" w:eastAsia="Times New Roman" w:hAnsi="Book Antiqua" w:cs="Times New Roman"/>
          <w:i/>
          <w:iCs/>
          <w:kern w:val="0"/>
          <w14:ligatures w14:val="none"/>
        </w:rPr>
        <w:t>supra</w:t>
      </w:r>
      <w:r>
        <w:rPr>
          <w:rFonts w:ascii="Book Antiqua" w:eastAsia="Times New Roman" w:hAnsi="Book Antiqua" w:cs="Times New Roman"/>
          <w:kern w:val="0"/>
          <w14:ligatures w14:val="none"/>
        </w:rPr>
        <w:t>, con el ordenamiento jurídico vigente.</w:t>
      </w:r>
      <w:r>
        <w:rPr>
          <w:rStyle w:val="FootnoteReference"/>
          <w:rFonts w:ascii="Book Antiqua" w:eastAsia="Times New Roman" w:hAnsi="Book Antiqua"/>
          <w:kern w:val="0"/>
          <w14:ligatures w14:val="none"/>
        </w:rPr>
        <w:footnoteReference w:id="6"/>
      </w:r>
      <w:r>
        <w:rPr>
          <w:rFonts w:ascii="Book Antiqua" w:eastAsia="Times New Roman" w:hAnsi="Book Antiqua" w:cs="Times New Roman"/>
          <w:kern w:val="0"/>
          <w14:ligatures w14:val="none"/>
        </w:rPr>
        <w:t xml:space="preserve"> De igual modo, el Instituto de Estadísticas expresó que las enmiendas integradas a la Ley 209-2003, </w:t>
      </w:r>
      <w:r w:rsidRPr="00B36527">
        <w:rPr>
          <w:rFonts w:ascii="Book Antiqua" w:eastAsia="Times New Roman" w:hAnsi="Book Antiqua" w:cs="Times New Roman"/>
          <w:i/>
          <w:iCs/>
          <w:kern w:val="0"/>
          <w14:ligatures w14:val="none"/>
        </w:rPr>
        <w:t>supra</w:t>
      </w:r>
      <w:r>
        <w:rPr>
          <w:rFonts w:ascii="Book Antiqua" w:eastAsia="Times New Roman" w:hAnsi="Book Antiqua" w:cs="Times New Roman"/>
          <w:kern w:val="0"/>
          <w14:ligatures w14:val="none"/>
        </w:rPr>
        <w:t>, son de carácter técnico y no alteran la misión o las funciones esenciales del Instituto, sino que fortalecen sus mecanismos operacionales y de gobernanza.</w:t>
      </w:r>
      <w:r>
        <w:rPr>
          <w:rStyle w:val="FootnoteReference"/>
          <w:rFonts w:ascii="Book Antiqua" w:eastAsia="Times New Roman" w:hAnsi="Book Antiqua"/>
          <w:kern w:val="0"/>
          <w14:ligatures w14:val="none"/>
        </w:rPr>
        <w:footnoteReference w:id="7"/>
      </w:r>
      <w:r w:rsidRPr="00B36527"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  <w:t xml:space="preserve"> </w:t>
      </w:r>
    </w:p>
    <w:p w14:paraId="75791F15" w14:textId="01B6C008" w:rsidR="00B36527" w:rsidRDefault="00B36527" w:rsidP="00B36527">
      <w:pPr>
        <w:spacing w:after="200" w:line="36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 w:rsidRPr="00B816FC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Con relación al aumento del umbral para aprobación de contratos por la Junta de Directores de $36,000.00 a $100,000.00, justificó ese </w:t>
      </w:r>
      <w:r w:rsidR="00B816FC">
        <w:rPr>
          <w:rFonts w:ascii="Book Antiqua" w:eastAsia="Times New Roman" w:hAnsi="Book Antiqua" w:cs="Times New Roman"/>
          <w:bCs/>
          <w:kern w:val="0"/>
          <w14:ligatures w14:val="none"/>
        </w:rPr>
        <w:t>c</w:t>
      </w:r>
      <w:r w:rsidRPr="00B816FC">
        <w:rPr>
          <w:rFonts w:ascii="Book Antiqua" w:eastAsia="Times New Roman" w:hAnsi="Book Antiqua" w:cs="Times New Roman"/>
          <w:bCs/>
          <w:kern w:val="0"/>
          <w14:ligatures w14:val="none"/>
        </w:rPr>
        <w:t>ambio señalando la inflación acumulada y el aumento</w:t>
      </w:r>
      <w:r w:rsidR="00B816FC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sostenido</w:t>
      </w:r>
      <w:r w:rsidRPr="00B816FC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en costos operacionales</w:t>
      </w:r>
      <w:r w:rsidR="00B816FC" w:rsidRPr="00B816FC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de funciones sustantivas del Instituto</w:t>
      </w:r>
      <w:r w:rsidR="00B816FC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- basado en la obsolecencia de un umbral fijado hace más de veinte (20) años- y </w:t>
      </w:r>
      <w:r w:rsidR="00B816FC" w:rsidRPr="00B816FC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el fortalecimeitno de sistemas de información.</w:t>
      </w:r>
      <w:r w:rsidR="00B816FC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8"/>
      </w:r>
    </w:p>
    <w:p w14:paraId="315D2500" w14:textId="613AE696" w:rsidR="00A34AB8" w:rsidRPr="00B816FC" w:rsidRDefault="00A34AB8" w:rsidP="00B36527">
      <w:pPr>
        <w:spacing w:after="200" w:line="360" w:lineRule="auto"/>
        <w:ind w:firstLine="720"/>
        <w:contextualSpacing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14:ligatures w14:val="none"/>
        </w:rPr>
        <w:t>De igual modo, señaló que las enmiendas contenidas en el p. del S. 872 “no alteran las salvaguardas fundamentales establecidas en la Ley [Núm.] 209-2003, según enmendada, para proteger la independencia profesional del Instituto, la confidencialidad de los datos individuales no la transparencia en el uso de recursos públicos.”</w:t>
      </w:r>
      <w:r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9"/>
      </w:r>
    </w:p>
    <w:p w14:paraId="11FC275C" w14:textId="77777777" w:rsidR="00D15048" w:rsidRPr="00C37CBA" w:rsidRDefault="00D15048" w:rsidP="00D15048">
      <w:pPr>
        <w:spacing w:after="200" w:line="276" w:lineRule="auto"/>
        <w:ind w:left="360"/>
        <w:contextualSpacing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</w:p>
    <w:p w14:paraId="59087E29" w14:textId="42E1B045" w:rsidR="00D52E9E" w:rsidRDefault="008C497E" w:rsidP="004761F7">
      <w:pPr>
        <w:numPr>
          <w:ilvl w:val="0"/>
          <w:numId w:val="1"/>
        </w:numPr>
        <w:spacing w:after="0" w:line="360" w:lineRule="auto"/>
        <w:ind w:left="360"/>
        <w:contextualSpacing/>
        <w:jc w:val="center"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  <w:t>Oficina de Administración y Transformación de los Recursos Humanos (OATRH)</w:t>
      </w:r>
    </w:p>
    <w:p w14:paraId="4CD49CDF" w14:textId="77777777" w:rsidR="00E50565" w:rsidRDefault="00F5564A" w:rsidP="004761F7">
      <w:pPr>
        <w:spacing w:after="200" w:line="36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La OATRH favoreció la medida y expresó que actualizar las furntes legales en la Ley Núm. 209-2003, </w:t>
      </w:r>
      <w:r w:rsidRPr="00F5564A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>
        <w:rPr>
          <w:rFonts w:ascii="Book Antiqua" w:eastAsia="Times New Roman" w:hAnsi="Book Antiqua" w:cs="Times New Roman"/>
          <w:bCs/>
          <w:kern w:val="0"/>
          <w14:ligatures w14:val="none"/>
        </w:rPr>
        <w:t>, ayuda a evitar la confusión normativa, y garantiza la claridad jurídica en la aplicación de dicha ley.</w:t>
      </w:r>
      <w:r w:rsidR="00E50565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10"/>
      </w:r>
      <w:r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</w:t>
      </w:r>
    </w:p>
    <w:p w14:paraId="3C921CDC" w14:textId="12406E50" w:rsidR="001C06A7" w:rsidRPr="001C06A7" w:rsidRDefault="00F5564A" w:rsidP="004761F7">
      <w:pPr>
        <w:spacing w:after="200" w:line="48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Con relación al aumento en el umbral de $36,000.00 a $100,000.00 para la aprobación de contratos por parte de la Junta de Directores del instituto de Estadísticas, </w:t>
      </w:r>
      <w:r>
        <w:rPr>
          <w:rFonts w:ascii="Book Antiqua" w:eastAsia="Times New Roman" w:hAnsi="Book Antiqua" w:cs="Times New Roman"/>
          <w:bCs/>
          <w:kern w:val="0"/>
          <w14:ligatures w14:val="none"/>
        </w:rPr>
        <w:lastRenderedPageBreak/>
        <w:t xml:space="preserve">expresó que la Ley Núm. 8-2017, </w:t>
      </w:r>
      <w:r w:rsidRPr="00E5056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>
        <w:rPr>
          <w:rFonts w:ascii="Book Antiqua" w:eastAsia="Times New Roman" w:hAnsi="Book Antiqua" w:cs="Times New Roman"/>
          <w:bCs/>
          <w:kern w:val="0"/>
          <w14:ligatures w14:val="none"/>
        </w:rPr>
        <w:t>, no le otorga jurisdicción sobre ese asunto, por lo que recomendó solicitar la opinión de la Oficina de Gerencia y Presupuesto (OGP) y de la Autoridad de Asesoría Financiera y Agencia Fiscal de Puerto Rico (AAFAF).</w:t>
      </w:r>
      <w:r w:rsidR="00E50565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11"/>
      </w:r>
      <w:r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</w:t>
      </w:r>
    </w:p>
    <w:p w14:paraId="2B9E4C04" w14:textId="690E9978" w:rsidR="006B79E0" w:rsidRPr="00CB1979" w:rsidRDefault="006B79E0" w:rsidP="006B79E0">
      <w:pPr>
        <w:pStyle w:val="ListParagraph"/>
        <w:numPr>
          <w:ilvl w:val="0"/>
          <w:numId w:val="2"/>
        </w:numPr>
        <w:spacing w:after="200" w:line="360" w:lineRule="auto"/>
        <w:jc w:val="center"/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</w:pPr>
      <w:bookmarkStart w:id="0" w:name="_Hlk191473974"/>
      <w:r w:rsidRPr="00CB1979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Informes</w:t>
      </w:r>
    </w:p>
    <w:p w14:paraId="55FC863C" w14:textId="77777777" w:rsidR="00F5564A" w:rsidRDefault="006B79E0" w:rsidP="00F5564A">
      <w:pPr>
        <w:pStyle w:val="ListParagraph"/>
        <w:numPr>
          <w:ilvl w:val="0"/>
          <w:numId w:val="5"/>
        </w:numPr>
        <w:spacing w:after="200" w:line="360" w:lineRule="auto"/>
        <w:ind w:left="360"/>
        <w:jc w:val="center"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  <w:r w:rsidRPr="00CB1979"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  <w:t>Oficina de Presupuesto de la Asamblea Legislativa (OPAL)</w:t>
      </w:r>
    </w:p>
    <w:p w14:paraId="53DC0811" w14:textId="5E288D4A" w:rsidR="00F5564A" w:rsidRPr="00F5564A" w:rsidRDefault="00F5564A" w:rsidP="00F5564A">
      <w:pPr>
        <w:spacing w:after="200" w:line="360" w:lineRule="auto"/>
        <w:ind w:firstLine="720"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  <w:r w:rsidRPr="00F5564A">
        <w:rPr>
          <w:rFonts w:ascii="Book Antiqua" w:eastAsia="Times New Roman" w:hAnsi="Book Antiqua" w:cs="Times New Roman"/>
          <w:bCs/>
          <w:kern w:val="0"/>
          <w14:ligatures w14:val="none"/>
        </w:rPr>
        <w:t>Según el informe rendido por la OPAL, el P. del S. 872 no tiene un impacto fiscal, “dado que los cambios son de naturaleza técnica y administrativa, por lo que no conlleva la creación de programas, obligaciones financieras nuevas ni el desembolso de fondos adicionales para el erario.”</w:t>
      </w:r>
      <w:r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12"/>
      </w:r>
    </w:p>
    <w:bookmarkEnd w:id="0"/>
    <w:p w14:paraId="1FB3A56A" w14:textId="068DD491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/>
          <w:kern w:val="0"/>
          <w14:ligatures w14:val="none"/>
        </w:rPr>
        <w:t>VISTA PÚBLICA</w:t>
      </w:r>
    </w:p>
    <w:p w14:paraId="523D9D94" w14:textId="77777777" w:rsidR="00A54AF0" w:rsidRPr="00CB197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4C745D19" w14:textId="734D8CC5" w:rsidR="00A54AF0" w:rsidRPr="00CB1979" w:rsidRDefault="00A54AF0" w:rsidP="003B4DD4">
      <w:pPr>
        <w:spacing w:after="0" w:line="360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Esta Comisión decidió no realizar Vistas Públicas, toda vez que la información proporcionada por las entidades </w:t>
      </w:r>
      <w:r w:rsidR="00433876"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que remitieron </w:t>
      </w:r>
      <w:r w:rsidR="00433876" w:rsidRPr="00D278EB">
        <w:rPr>
          <w:rFonts w:ascii="Book Antiqua" w:eastAsia="Times New Roman" w:hAnsi="Book Antiqua" w:cs="Times New Roman"/>
          <w:i/>
          <w:iCs/>
          <w:kern w:val="0"/>
          <w14:ligatures w14:val="none"/>
        </w:rPr>
        <w:t>Memoriales Explicativos</w:t>
      </w: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 resultó suficiente para ponderar el alcance del proyecto de ley, aprovechando y utilizando así los recursos del Gobierno de Puerto Rico, y en particular la Asamblea Legislativa, de la manera más eficiente y costo-efectiva posible. </w:t>
      </w:r>
    </w:p>
    <w:p w14:paraId="69BBB4F1" w14:textId="6FC7FE81" w:rsidR="00433876" w:rsidRPr="00CB1979" w:rsidRDefault="00433876" w:rsidP="00433876">
      <w:pPr>
        <w:spacing w:after="0" w:line="276" w:lineRule="auto"/>
        <w:jc w:val="center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kern w:val="0"/>
          <w14:ligatures w14:val="none"/>
        </w:rPr>
        <w:t>IMPACTO ECONÓMICO</w:t>
      </w:r>
    </w:p>
    <w:p w14:paraId="2DED5907" w14:textId="77777777" w:rsidR="00433876" w:rsidRPr="00CB1979" w:rsidRDefault="00433876" w:rsidP="00433876">
      <w:pPr>
        <w:spacing w:after="0" w:line="276" w:lineRule="auto"/>
        <w:jc w:val="center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</w:p>
    <w:p w14:paraId="30C09981" w14:textId="4248E34F" w:rsidR="00D03212" w:rsidRDefault="0062757D" w:rsidP="00D03212">
      <w:pPr>
        <w:spacing w:after="0" w:line="360" w:lineRule="auto"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14:ligatures w14:val="none"/>
        </w:rPr>
        <w:tab/>
        <w:t>Según el informe rendido por la OPAL, el P. de</w:t>
      </w:r>
      <w:r w:rsidR="00D12674">
        <w:rPr>
          <w:rFonts w:ascii="Book Antiqua" w:eastAsia="Times New Roman" w:hAnsi="Book Antiqua" w:cs="Times New Roman"/>
          <w:bCs/>
          <w:kern w:val="0"/>
          <w14:ligatures w14:val="none"/>
        </w:rPr>
        <w:t>l S. 872</w:t>
      </w:r>
      <w:r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no tiene un impacto fiscal</w:t>
      </w:r>
      <w:r w:rsidR="00F5564A">
        <w:rPr>
          <w:rFonts w:ascii="Book Antiqua" w:eastAsia="Times New Roman" w:hAnsi="Book Antiqua" w:cs="Times New Roman"/>
          <w:bCs/>
          <w:kern w:val="0"/>
          <w14:ligatures w14:val="none"/>
        </w:rPr>
        <w:t>.</w:t>
      </w:r>
      <w:r w:rsidR="00F5564A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13"/>
      </w:r>
    </w:p>
    <w:p w14:paraId="6121AB59" w14:textId="77777777" w:rsidR="00D12674" w:rsidRPr="00CB1979" w:rsidRDefault="00D12674" w:rsidP="00D03212">
      <w:pPr>
        <w:spacing w:after="0" w:line="360" w:lineRule="auto"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</w:p>
    <w:p w14:paraId="27245D47" w14:textId="498F04A5" w:rsidR="00A54AF0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b/>
          <w:kern w:val="0"/>
          <w14:ligatures w14:val="none"/>
        </w:rPr>
        <w:t>ANÁLISIS DE LA MEDIDA</w:t>
      </w:r>
    </w:p>
    <w:p w14:paraId="286419E7" w14:textId="77777777" w:rsidR="003B4DD4" w:rsidRDefault="003B4DD4" w:rsidP="003B4DD4">
      <w:pPr>
        <w:spacing w:after="0" w:line="240" w:lineRule="auto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3A0AB469" w14:textId="4213F718" w:rsidR="003B4DD4" w:rsidRPr="003B4DD4" w:rsidRDefault="003B4DD4" w:rsidP="00D12674">
      <w:pPr>
        <w:spacing w:after="0" w:line="360" w:lineRule="auto"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 w:rsidRPr="003B4DD4">
        <w:rPr>
          <w:rFonts w:ascii="Book Antiqua" w:eastAsia="Times New Roman" w:hAnsi="Book Antiqua" w:cs="Times New Roman"/>
          <w:bCs/>
          <w:kern w:val="0"/>
          <w14:ligatures w14:val="none"/>
        </w:rPr>
        <w:tab/>
      </w:r>
      <w:r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</w:t>
      </w:r>
      <w:r w:rsidR="00E5056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Tras analizar los documentos generados por el trámite efectuado en el Senado de Puerto Rico, los Memoriales Explicativos presentados por el Instituto de Estadísticas y la OATRH, y el </w:t>
      </w:r>
      <w:r w:rsidR="00E50565" w:rsidRPr="00E5056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Informe de Impacto Económico</w:t>
      </w:r>
      <w:r w:rsidR="00E5056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de la OPAL, la CRED entiende que el fin de la </w:t>
      </w:r>
      <w:r w:rsidR="00E50565">
        <w:rPr>
          <w:rFonts w:ascii="Book Antiqua" w:eastAsia="Times New Roman" w:hAnsi="Book Antiqua" w:cs="Times New Roman"/>
          <w:bCs/>
          <w:kern w:val="0"/>
          <w14:ligatures w14:val="none"/>
        </w:rPr>
        <w:lastRenderedPageBreak/>
        <w:t xml:space="preserve">legislación propuesta es actualizar el contenido de la ley y ajustarlo a la realidad jurídica y fáctica actual. De igual modo, la medida busca proveerle a la junta de Directores del Instituto de Estadísticas herrmaientas que le permitan cumplir cabal y efectivamente con la misión que le impone la Ley Núm. 209-2003, </w:t>
      </w:r>
      <w:r w:rsidR="00E50565" w:rsidRPr="00E50565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="00E50565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. </w:t>
      </w:r>
    </w:p>
    <w:p w14:paraId="115914DA" w14:textId="77777777" w:rsidR="006736F9" w:rsidRPr="00CB1979" w:rsidRDefault="006736F9" w:rsidP="006736F9">
      <w:pPr>
        <w:spacing w:after="0" w:line="240" w:lineRule="auto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6AA413CC" w14:textId="67047936" w:rsidR="00A54AF0" w:rsidRPr="00CB1979" w:rsidRDefault="00A54AF0" w:rsidP="00A54AF0">
      <w:pPr>
        <w:keepNext/>
        <w:spacing w:after="0" w:line="240" w:lineRule="auto"/>
        <w:jc w:val="center"/>
        <w:outlineLvl w:val="2"/>
        <w:rPr>
          <w:rFonts w:ascii="Book Antiqua" w:eastAsia="Times New Roman" w:hAnsi="Book Antiqua" w:cs="Times New Roman"/>
          <w:b/>
          <w:bCs/>
          <w:spacing w:val="-3"/>
          <w:kern w:val="0"/>
          <w:lang w:val="es-ES" w:eastAsia="x-none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spacing w:val="-3"/>
          <w:kern w:val="0"/>
          <w:lang w:val="es-ES" w:eastAsia="x-none"/>
          <w14:ligatures w14:val="none"/>
        </w:rPr>
        <w:t>CONCLUSIÓN</w:t>
      </w:r>
    </w:p>
    <w:p w14:paraId="339877AA" w14:textId="77777777" w:rsidR="00A54AF0" w:rsidRPr="00CB1979" w:rsidRDefault="00A54AF0" w:rsidP="00A54AF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7B338694" w14:textId="578D0B67" w:rsidR="00A54AF0" w:rsidRPr="00CB1979" w:rsidRDefault="00A54AF0" w:rsidP="00D03212">
      <w:pPr>
        <w:spacing w:after="0" w:line="360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Por los fundamentos antes expuestos, la </w:t>
      </w:r>
      <w:r w:rsidRPr="00CB1979">
        <w:rPr>
          <w:rFonts w:ascii="Book Antiqua" w:eastAsia="Times New Roman" w:hAnsi="Book Antiqua" w:cs="Times New Roman"/>
          <w:i/>
          <w:iCs/>
          <w:kern w:val="0"/>
          <w:lang w:val="es-ES"/>
          <w14:ligatures w14:val="none"/>
        </w:rPr>
        <w:t>Comisión de Reorganización, Eficiencia y Diligencia</w:t>
      </w: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 somete </w:t>
      </w:r>
      <w:r w:rsidR="00D12674">
        <w:rPr>
          <w:rFonts w:ascii="Book Antiqua" w:eastAsia="Times New Roman" w:hAnsi="Book Antiqua" w:cs="Times New Roman"/>
          <w:kern w:val="0"/>
          <w14:ligatures w14:val="none"/>
        </w:rPr>
        <w:t>este Informe Positivo</w:t>
      </w: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 en el que </w:t>
      </w:r>
      <w:r w:rsidR="0043234D" w:rsidRPr="0043234D">
        <w:rPr>
          <w:rFonts w:ascii="Book Antiqua" w:eastAsia="Times New Roman" w:hAnsi="Book Antiqua" w:cs="Times New Roman"/>
          <w:kern w:val="0"/>
          <w14:ligatures w14:val="none"/>
        </w:rPr>
        <w:t xml:space="preserve">se recomienda </w:t>
      </w: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a esta Cámara de Representantes que </w:t>
      </w:r>
      <w:r w:rsidR="0043234D">
        <w:rPr>
          <w:rFonts w:ascii="Book Antiqua" w:eastAsia="Times New Roman" w:hAnsi="Book Antiqua" w:cs="Times New Roman"/>
          <w:kern w:val="0"/>
          <w:u w:val="single"/>
          <w14:ligatures w14:val="none"/>
        </w:rPr>
        <w:t>apruebe</w:t>
      </w:r>
      <w:r w:rsidRPr="00CB1979">
        <w:rPr>
          <w:rFonts w:ascii="Book Antiqua" w:eastAsia="Times New Roman" w:hAnsi="Book Antiqua" w:cs="Times New Roman"/>
          <w:kern w:val="0"/>
          <w14:ligatures w14:val="none"/>
        </w:rPr>
        <w:t xml:space="preserve"> el </w:t>
      </w:r>
      <w:r w:rsidR="00D12674">
        <w:rPr>
          <w:rFonts w:ascii="Book Antiqua" w:eastAsia="Times New Roman" w:hAnsi="Book Antiqua" w:cs="Times New Roman"/>
          <w:b/>
          <w:bCs/>
          <w:kern w:val="0"/>
          <w14:ligatures w14:val="none"/>
        </w:rPr>
        <w:t>Proyecto del Senado 872</w:t>
      </w:r>
      <w:r w:rsidR="00D12674" w:rsidRPr="00D12674">
        <w:rPr>
          <w:rFonts w:ascii="Book Antiqua" w:eastAsia="Times New Roman" w:hAnsi="Book Antiqua" w:cs="Times New Roman"/>
          <w:kern w:val="0"/>
          <w14:ligatures w14:val="none"/>
        </w:rPr>
        <w:t xml:space="preserve">, </w:t>
      </w:r>
      <w:r w:rsidR="004761F7">
        <w:rPr>
          <w:rFonts w:ascii="Book Antiqua" w:eastAsia="Times New Roman" w:hAnsi="Book Antiqua" w:cs="Times New Roman"/>
          <w:kern w:val="0"/>
          <w14:ligatures w14:val="none"/>
        </w:rPr>
        <w:t>sin enmiendas.</w:t>
      </w:r>
    </w:p>
    <w:p w14:paraId="02BEC319" w14:textId="77777777" w:rsidR="00A54AF0" w:rsidRPr="00CB1979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6B4F35C6" w14:textId="77777777" w:rsidR="00A54AF0" w:rsidRPr="00CB1979" w:rsidRDefault="00A54AF0" w:rsidP="00AC29DB">
      <w:pPr>
        <w:spacing w:after="0" w:line="240" w:lineRule="auto"/>
        <w:ind w:firstLine="720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  <w:r w:rsidRPr="00CB1979">
        <w:rPr>
          <w:rFonts w:ascii="Book Antiqua" w:eastAsia="Times New Roman" w:hAnsi="Book Antiqua" w:cs="Times New Roman"/>
          <w:kern w:val="0"/>
          <w:lang w:eastAsia="x-none"/>
          <w14:ligatures w14:val="none"/>
        </w:rPr>
        <w:t>Respetuosamente sometido,</w:t>
      </w:r>
    </w:p>
    <w:p w14:paraId="58CEE6C4" w14:textId="77777777" w:rsidR="00A54AF0" w:rsidRPr="00CB1979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</w:p>
    <w:p w14:paraId="615F6C7E" w14:textId="77777777" w:rsidR="00AB7D4B" w:rsidRPr="00CB1979" w:rsidRDefault="00AB7D4B" w:rsidP="00AC29DB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</w:p>
    <w:p w14:paraId="2B509771" w14:textId="77777777" w:rsidR="00AB7D4B" w:rsidRPr="00CB1979" w:rsidRDefault="00AB7D4B" w:rsidP="00AC29DB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</w:p>
    <w:p w14:paraId="5AE1325A" w14:textId="24D21A88" w:rsidR="00A54AF0" w:rsidRPr="00CB1979" w:rsidRDefault="00A54AF0" w:rsidP="00AC29DB">
      <w:pPr>
        <w:spacing w:after="0" w:line="240" w:lineRule="auto"/>
        <w:jc w:val="both"/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</w:pPr>
      <w:r w:rsidRPr="00CB1979"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  <w:t>Hon. Ángel A. Morey Noble</w:t>
      </w:r>
      <w:r w:rsidRPr="00CB1979"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  <w:tab/>
        <w:t xml:space="preserve"> </w:t>
      </w:r>
    </w:p>
    <w:p w14:paraId="0C55918C" w14:textId="77777777" w:rsidR="00A54AF0" w:rsidRPr="00CB1979" w:rsidRDefault="00A54AF0" w:rsidP="00AC29DB">
      <w:pPr>
        <w:spacing w:after="0" w:line="240" w:lineRule="auto"/>
        <w:jc w:val="both"/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</w:pP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>Presidente</w:t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Pr="00CB197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</w:p>
    <w:p w14:paraId="60E9B1BB" w14:textId="047D4680" w:rsidR="00A54AF0" w:rsidRPr="00CB1979" w:rsidRDefault="00A54AF0" w:rsidP="00AC29DB">
      <w:pPr>
        <w:spacing w:after="0" w:line="240" w:lineRule="auto"/>
        <w:ind w:left="5760" w:hanging="5760"/>
        <w:jc w:val="both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  <w:r w:rsidRPr="00CB1979">
        <w:rPr>
          <w:rFonts w:ascii="Book Antiqua" w:eastAsia="Times New Roman" w:hAnsi="Book Antiqua" w:cs="Times New Roman"/>
          <w:kern w:val="0"/>
          <w:sz w:val="22"/>
          <w:szCs w:val="22"/>
          <w:lang w:val="es-ES" w:eastAsia="x-none"/>
          <w14:ligatures w14:val="none"/>
        </w:rPr>
        <w:t>Comisión de Reorganización Eficiencia y Diligencia</w:t>
      </w:r>
    </w:p>
    <w:sectPr w:rsidR="00A54AF0" w:rsidRPr="00CB197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7D95C" w14:textId="77777777" w:rsidR="00B54EDF" w:rsidRDefault="00B54EDF" w:rsidP="00A54AF0">
      <w:pPr>
        <w:spacing w:after="0" w:line="240" w:lineRule="auto"/>
      </w:pPr>
      <w:r>
        <w:separator/>
      </w:r>
    </w:p>
  </w:endnote>
  <w:endnote w:type="continuationSeparator" w:id="0">
    <w:p w14:paraId="474957DA" w14:textId="77777777" w:rsidR="00B54EDF" w:rsidRDefault="00B54EDF" w:rsidP="00A5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51451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9CC3E1" w14:textId="26FDF672" w:rsidR="00E97F9B" w:rsidRDefault="00E97F9B">
        <w:pPr>
          <w:pStyle w:val="Footer"/>
          <w:jc w:val="center"/>
        </w:pPr>
        <w:r w:rsidRPr="009D7122">
          <w:rPr>
            <w:rFonts w:ascii="Book Antiqua" w:hAnsi="Book Antiqua"/>
          </w:rPr>
          <w:fldChar w:fldCharType="begin"/>
        </w:r>
        <w:r w:rsidRPr="009D7122">
          <w:rPr>
            <w:rFonts w:ascii="Book Antiqua" w:hAnsi="Book Antiqua"/>
          </w:rPr>
          <w:instrText xml:space="preserve"> PAGE   \* MERGEFORMAT </w:instrText>
        </w:r>
        <w:r w:rsidRPr="009D7122">
          <w:rPr>
            <w:rFonts w:ascii="Book Antiqua" w:hAnsi="Book Antiqua"/>
          </w:rPr>
          <w:fldChar w:fldCharType="separate"/>
        </w:r>
        <w:r w:rsidRPr="009D7122">
          <w:rPr>
            <w:rFonts w:ascii="Book Antiqua" w:hAnsi="Book Antiqua"/>
            <w:noProof/>
          </w:rPr>
          <w:t>2</w:t>
        </w:r>
        <w:r w:rsidRPr="009D7122">
          <w:rPr>
            <w:rFonts w:ascii="Book Antiqua" w:hAnsi="Book Antiqua"/>
            <w:noProof/>
          </w:rPr>
          <w:fldChar w:fldCharType="end"/>
        </w:r>
      </w:p>
    </w:sdtContent>
  </w:sdt>
  <w:p w14:paraId="1A90F815" w14:textId="77777777" w:rsidR="00E97F9B" w:rsidRDefault="00E97F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B6048" w14:textId="77777777" w:rsidR="00B54EDF" w:rsidRDefault="00B54EDF" w:rsidP="00A54AF0">
      <w:pPr>
        <w:spacing w:after="0" w:line="240" w:lineRule="auto"/>
      </w:pPr>
      <w:r>
        <w:separator/>
      </w:r>
    </w:p>
  </w:footnote>
  <w:footnote w:type="continuationSeparator" w:id="0">
    <w:p w14:paraId="7C52154F" w14:textId="77777777" w:rsidR="00B54EDF" w:rsidRDefault="00B54EDF" w:rsidP="00A54AF0">
      <w:pPr>
        <w:spacing w:after="0" w:line="240" w:lineRule="auto"/>
      </w:pPr>
      <w:r>
        <w:continuationSeparator/>
      </w:r>
    </w:p>
  </w:footnote>
  <w:footnote w:id="1">
    <w:p w14:paraId="07814062" w14:textId="7D01930D" w:rsidR="00D12674" w:rsidRPr="00CD2E1E" w:rsidRDefault="00D12674" w:rsidP="000A10C2">
      <w:pPr>
        <w:pStyle w:val="FootnoteText"/>
        <w:ind w:left="720" w:hanging="720"/>
        <w:rPr>
          <w:rFonts w:ascii="Book Antiqua" w:hAnsi="Book Antiqua"/>
        </w:rPr>
      </w:pPr>
      <w:r w:rsidRPr="000A10C2">
        <w:rPr>
          <w:rStyle w:val="FootnoteReference"/>
          <w:rFonts w:ascii="Book Antiqua" w:hAnsi="Book Antiqua"/>
        </w:rPr>
        <w:footnoteRef/>
      </w:r>
      <w:r w:rsidRPr="000A10C2">
        <w:rPr>
          <w:rFonts w:ascii="Book Antiqua" w:hAnsi="Book Antiqua"/>
        </w:rPr>
        <w:t xml:space="preserve"> </w:t>
      </w:r>
      <w:r w:rsidR="000A10C2" w:rsidRPr="000A10C2">
        <w:rPr>
          <w:rFonts w:ascii="Book Antiqua" w:hAnsi="Book Antiqua"/>
        </w:rPr>
        <w:tab/>
        <w:t xml:space="preserve">Arts. 3, 4, 46 y 8 de la Ley Núm. 209-2003, según enmendada, conocida como </w:t>
      </w:r>
      <w:r w:rsidR="000A10C2" w:rsidRPr="000A10C2">
        <w:rPr>
          <w:rFonts w:ascii="Book Antiqua" w:hAnsi="Book Antiqua"/>
          <w:i/>
          <w:iCs/>
        </w:rPr>
        <w:t>Ley del Instituto de Estadísticas de Puerto Rico</w:t>
      </w:r>
      <w:r w:rsidR="000A10C2" w:rsidRPr="000A10C2">
        <w:rPr>
          <w:rFonts w:ascii="Book Antiqua" w:hAnsi="Book Antiqua"/>
        </w:rPr>
        <w:t xml:space="preserve">, 3 LPRA secs. 972, 973, 975 y 977. </w:t>
      </w:r>
    </w:p>
  </w:footnote>
  <w:footnote w:id="2">
    <w:p w14:paraId="2B966E96" w14:textId="14FEAF4C" w:rsidR="00D12674" w:rsidRPr="00CD2E1E" w:rsidRDefault="00D12674" w:rsidP="00C56DBA">
      <w:pPr>
        <w:pStyle w:val="FootnoteText"/>
        <w:ind w:left="720" w:hanging="720"/>
        <w:rPr>
          <w:rFonts w:ascii="Book Antiqua" w:hAnsi="Book Antiqua"/>
        </w:rPr>
      </w:pPr>
      <w:r w:rsidRPr="00C56DBA">
        <w:rPr>
          <w:rStyle w:val="FootnoteReference"/>
          <w:rFonts w:ascii="Book Antiqua" w:hAnsi="Book Antiqua"/>
        </w:rPr>
        <w:footnoteRef/>
      </w:r>
      <w:r w:rsidRPr="00C56DBA">
        <w:rPr>
          <w:rFonts w:ascii="Book Antiqua" w:hAnsi="Book Antiqua"/>
        </w:rPr>
        <w:t xml:space="preserve"> </w:t>
      </w:r>
      <w:r w:rsidR="000A10C2" w:rsidRPr="00C56DBA">
        <w:rPr>
          <w:rFonts w:ascii="Book Antiqua" w:hAnsi="Book Antiqua"/>
        </w:rPr>
        <w:tab/>
        <w:t xml:space="preserve">Ley Núm. 8-2017, </w:t>
      </w:r>
      <w:r w:rsidR="000A10C2" w:rsidRPr="00C56DBA">
        <w:rPr>
          <w:rFonts w:ascii="Book Antiqua" w:hAnsi="Book Antiqua"/>
          <w:i/>
          <w:iCs/>
        </w:rPr>
        <w:t>según enmendada</w:t>
      </w:r>
      <w:r w:rsidR="000A10C2" w:rsidRPr="00C56DBA">
        <w:rPr>
          <w:rFonts w:ascii="Book Antiqua" w:hAnsi="Book Antiqua"/>
        </w:rPr>
        <w:t xml:space="preserve">, conocida como </w:t>
      </w:r>
      <w:r w:rsidR="000A10C2" w:rsidRPr="00C56DBA">
        <w:rPr>
          <w:rFonts w:ascii="Book Antiqua" w:hAnsi="Book Antiqua"/>
          <w:i/>
          <w:iCs/>
        </w:rPr>
        <w:t>Ley para la administración y transformación de los recursos humanos en el Gobierno de Puerto Rico</w:t>
      </w:r>
      <w:r w:rsidR="000A10C2" w:rsidRPr="00C56DBA">
        <w:rPr>
          <w:rFonts w:ascii="Book Antiqua" w:hAnsi="Book Antiqua"/>
        </w:rPr>
        <w:t>, 3 LPRA sec. 1469</w:t>
      </w:r>
      <w:r w:rsidR="00C56DBA">
        <w:rPr>
          <w:rFonts w:ascii="Book Antiqua" w:hAnsi="Book Antiqua"/>
        </w:rPr>
        <w:t xml:space="preserve"> </w:t>
      </w:r>
      <w:r w:rsidR="00C56DBA" w:rsidRPr="00C56DBA">
        <w:rPr>
          <w:rFonts w:ascii="Book Antiqua" w:hAnsi="Book Antiqua"/>
          <w:i/>
          <w:iCs/>
        </w:rPr>
        <w:t>et seq</w:t>
      </w:r>
      <w:r w:rsidR="00C56DBA">
        <w:rPr>
          <w:rFonts w:ascii="Book Antiqua" w:hAnsi="Book Antiqua"/>
        </w:rPr>
        <w:t xml:space="preserve">. </w:t>
      </w:r>
    </w:p>
  </w:footnote>
  <w:footnote w:id="3">
    <w:p w14:paraId="141CF708" w14:textId="32C09BD7" w:rsidR="00D12674" w:rsidRPr="00CD2E1E" w:rsidRDefault="00D12674" w:rsidP="00C56DBA">
      <w:pPr>
        <w:pStyle w:val="FootnoteText"/>
        <w:ind w:left="720" w:hanging="720"/>
        <w:rPr>
          <w:rFonts w:ascii="Book Antiqua" w:hAnsi="Book Antiqua"/>
        </w:rPr>
      </w:pPr>
      <w:r w:rsidRPr="00C56DBA">
        <w:rPr>
          <w:rStyle w:val="FootnoteReference"/>
          <w:rFonts w:ascii="Book Antiqua" w:hAnsi="Book Antiqua"/>
        </w:rPr>
        <w:footnoteRef/>
      </w:r>
      <w:r w:rsidRPr="00C56DBA">
        <w:rPr>
          <w:rFonts w:ascii="Book Antiqua" w:hAnsi="Book Antiqua"/>
        </w:rPr>
        <w:t xml:space="preserve"> </w:t>
      </w:r>
      <w:r w:rsidR="000A10C2" w:rsidRPr="00C56DBA">
        <w:rPr>
          <w:rFonts w:ascii="Book Antiqua" w:hAnsi="Book Antiqua"/>
        </w:rPr>
        <w:tab/>
        <w:t xml:space="preserve">Ley Núm. 73-2019, </w:t>
      </w:r>
      <w:r w:rsidR="000A10C2" w:rsidRPr="00C56DBA">
        <w:rPr>
          <w:rFonts w:ascii="Book Antiqua" w:hAnsi="Book Antiqua"/>
          <w:i/>
          <w:iCs/>
        </w:rPr>
        <w:t>según enmendada</w:t>
      </w:r>
      <w:r w:rsidR="000A10C2" w:rsidRPr="00C56DBA">
        <w:rPr>
          <w:rFonts w:ascii="Book Antiqua" w:hAnsi="Book Antiqua"/>
        </w:rPr>
        <w:t xml:space="preserve">, conocida como </w:t>
      </w:r>
      <w:r w:rsidR="000A10C2" w:rsidRPr="00C56DBA">
        <w:rPr>
          <w:rFonts w:ascii="Book Antiqua" w:hAnsi="Book Antiqua"/>
          <w:i/>
          <w:iCs/>
        </w:rPr>
        <w:t>Ley de la Administración de Servicios Generales para la centralización de compras del Gobierno de Puerto Rico</w:t>
      </w:r>
      <w:r w:rsidR="000A10C2" w:rsidRPr="00C56DBA">
        <w:rPr>
          <w:rFonts w:ascii="Book Antiqua" w:hAnsi="Book Antiqua"/>
        </w:rPr>
        <w:t xml:space="preserve">, </w:t>
      </w:r>
      <w:r w:rsidR="00C56DBA" w:rsidRPr="00C56DBA">
        <w:rPr>
          <w:rFonts w:ascii="Book Antiqua" w:hAnsi="Book Antiqua"/>
        </w:rPr>
        <w:t>3 LPRA sec. 9831a</w:t>
      </w:r>
      <w:r w:rsidR="00C56DBA">
        <w:rPr>
          <w:rFonts w:ascii="Book Antiqua" w:hAnsi="Book Antiqua"/>
        </w:rPr>
        <w:t xml:space="preserve"> </w:t>
      </w:r>
      <w:r w:rsidR="00C56DBA" w:rsidRPr="00C56DBA">
        <w:rPr>
          <w:rFonts w:ascii="Book Antiqua" w:hAnsi="Book Antiqua"/>
          <w:i/>
          <w:iCs/>
        </w:rPr>
        <w:t>et seq</w:t>
      </w:r>
      <w:r w:rsidR="00C56DBA">
        <w:rPr>
          <w:rFonts w:ascii="Book Antiqua" w:hAnsi="Book Antiqua"/>
        </w:rPr>
        <w:t>.</w:t>
      </w:r>
      <w:r w:rsidR="00C56DBA" w:rsidRPr="00C56DBA">
        <w:rPr>
          <w:rFonts w:ascii="Book Antiqua" w:hAnsi="Book Antiqua"/>
        </w:rPr>
        <w:t xml:space="preserve"> </w:t>
      </w:r>
    </w:p>
  </w:footnote>
  <w:footnote w:id="4">
    <w:p w14:paraId="2EA6EFB3" w14:textId="67C1AE36" w:rsidR="00D12674" w:rsidRPr="00CD2E1E" w:rsidRDefault="00D12674" w:rsidP="00C56DBA">
      <w:pPr>
        <w:pStyle w:val="FootnoteText"/>
        <w:ind w:left="720" w:hanging="720"/>
        <w:rPr>
          <w:rFonts w:ascii="Book Antiqua" w:hAnsi="Book Antiqua"/>
        </w:rPr>
      </w:pPr>
      <w:r w:rsidRPr="00C56DBA">
        <w:rPr>
          <w:rStyle w:val="FootnoteReference"/>
          <w:rFonts w:ascii="Book Antiqua" w:hAnsi="Book Antiqua"/>
        </w:rPr>
        <w:footnoteRef/>
      </w:r>
      <w:r w:rsidRPr="00C56DBA">
        <w:rPr>
          <w:rFonts w:ascii="Book Antiqua" w:hAnsi="Book Antiqua"/>
        </w:rPr>
        <w:t xml:space="preserve"> </w:t>
      </w:r>
      <w:r w:rsidR="00C56DBA">
        <w:rPr>
          <w:rFonts w:ascii="Book Antiqua" w:hAnsi="Book Antiqua"/>
        </w:rPr>
        <w:tab/>
      </w:r>
      <w:r w:rsidR="00C56DBA" w:rsidRPr="00C56DBA">
        <w:rPr>
          <w:rFonts w:ascii="Book Antiqua" w:hAnsi="Book Antiqua"/>
        </w:rPr>
        <w:t>Ley Núm. 38-2017,</w:t>
      </w:r>
      <w:r w:rsidR="00C56DBA" w:rsidRPr="00FC2098">
        <w:rPr>
          <w:rFonts w:ascii="Book Antiqua" w:hAnsi="Book Antiqua"/>
          <w:i/>
          <w:iCs/>
        </w:rPr>
        <w:t xml:space="preserve"> según enmendada</w:t>
      </w:r>
      <w:r w:rsidR="00C56DBA" w:rsidRPr="00C56DBA">
        <w:rPr>
          <w:rFonts w:ascii="Book Antiqua" w:hAnsi="Book Antiqua"/>
        </w:rPr>
        <w:t xml:space="preserve">, conocida como </w:t>
      </w:r>
      <w:r w:rsidR="00C56DBA" w:rsidRPr="00FC2098">
        <w:rPr>
          <w:rFonts w:ascii="Book Antiqua" w:hAnsi="Book Antiqua"/>
          <w:i/>
          <w:iCs/>
        </w:rPr>
        <w:t>Ley de Procedimiento Administrativo uniforme del Gobierno de Puerto Rico</w:t>
      </w:r>
      <w:r w:rsidR="00C56DBA">
        <w:rPr>
          <w:rFonts w:ascii="Book Antiqua" w:hAnsi="Book Antiqua"/>
        </w:rPr>
        <w:t xml:space="preserve">, 3 LPRA sec. 9601 </w:t>
      </w:r>
      <w:r w:rsidR="00C56DBA" w:rsidRPr="00C56DBA">
        <w:rPr>
          <w:rFonts w:ascii="Book Antiqua" w:hAnsi="Book Antiqua"/>
          <w:i/>
          <w:iCs/>
        </w:rPr>
        <w:t>et seq</w:t>
      </w:r>
      <w:r w:rsidR="00C56DBA">
        <w:rPr>
          <w:rFonts w:ascii="Book Antiqua" w:hAnsi="Book Antiqua"/>
        </w:rPr>
        <w:t xml:space="preserve">. </w:t>
      </w:r>
    </w:p>
  </w:footnote>
  <w:footnote w:id="5">
    <w:p w14:paraId="6EE21F0C" w14:textId="4B3E5032" w:rsidR="00B36527" w:rsidRPr="00CD2E1E" w:rsidRDefault="00B36527" w:rsidP="00E50565">
      <w:pPr>
        <w:pStyle w:val="FootnoteText"/>
        <w:ind w:left="720" w:hanging="720"/>
        <w:jc w:val="both"/>
        <w:rPr>
          <w:rFonts w:ascii="Book Antiqua" w:hAnsi="Book Antiqua"/>
        </w:rPr>
      </w:pPr>
      <w:r w:rsidRPr="00E50565">
        <w:rPr>
          <w:rStyle w:val="FootnoteReference"/>
          <w:rFonts w:ascii="Book Antiqua" w:hAnsi="Book Antiqua"/>
        </w:rPr>
        <w:footnoteRef/>
      </w:r>
      <w:r w:rsidRPr="00E50565">
        <w:rPr>
          <w:rFonts w:ascii="Book Antiqua" w:hAnsi="Book Antiqua"/>
        </w:rPr>
        <w:t xml:space="preserve"> </w:t>
      </w:r>
      <w:r w:rsidR="00B816FC" w:rsidRPr="00E50565">
        <w:rPr>
          <w:rFonts w:ascii="Book Antiqua" w:hAnsi="Book Antiqua"/>
        </w:rPr>
        <w:tab/>
        <w:t xml:space="preserve">Instituto de Estadísticas, Memorial Explicativo, pág. 1 (21 de enero de 2026). (Véase, además, la pág. 4). </w:t>
      </w:r>
    </w:p>
  </w:footnote>
  <w:footnote w:id="6">
    <w:p w14:paraId="3A60AD25" w14:textId="0DDDD82D" w:rsidR="00B36527" w:rsidRPr="00CD2E1E" w:rsidRDefault="00B36527" w:rsidP="00E50565">
      <w:pPr>
        <w:pStyle w:val="FootnoteText"/>
        <w:ind w:left="720" w:hanging="720"/>
        <w:jc w:val="both"/>
        <w:rPr>
          <w:rFonts w:ascii="Book Antiqua" w:hAnsi="Book Antiqua"/>
        </w:rPr>
      </w:pPr>
      <w:r w:rsidRPr="00E50565">
        <w:rPr>
          <w:rStyle w:val="FootnoteReference"/>
          <w:rFonts w:ascii="Book Antiqua" w:hAnsi="Book Antiqua"/>
        </w:rPr>
        <w:footnoteRef/>
      </w:r>
      <w:r w:rsidRPr="00E50565">
        <w:rPr>
          <w:rFonts w:ascii="Book Antiqua" w:hAnsi="Book Antiqua"/>
        </w:rPr>
        <w:t xml:space="preserve"> </w:t>
      </w:r>
      <w:r w:rsidR="00B816FC" w:rsidRPr="00E50565">
        <w:rPr>
          <w:rFonts w:ascii="Book Antiqua" w:hAnsi="Book Antiqua"/>
        </w:rPr>
        <w:tab/>
      </w:r>
      <w:r w:rsidR="00B816FC" w:rsidRPr="00E50565">
        <w:rPr>
          <w:rFonts w:ascii="Book Antiqua" w:hAnsi="Book Antiqua"/>
          <w:i/>
          <w:iCs/>
        </w:rPr>
        <w:t>Íd</w:t>
      </w:r>
      <w:r w:rsidR="00B816FC" w:rsidRPr="00E50565">
        <w:rPr>
          <w:rFonts w:ascii="Book Antiqua" w:hAnsi="Book Antiqua"/>
        </w:rPr>
        <w:t xml:space="preserve">., pág. 2. </w:t>
      </w:r>
    </w:p>
  </w:footnote>
  <w:footnote w:id="7">
    <w:p w14:paraId="673590FC" w14:textId="2754EAE3" w:rsidR="00B36527" w:rsidRPr="00CD2E1E" w:rsidRDefault="00B36527" w:rsidP="00E50565">
      <w:pPr>
        <w:pStyle w:val="FootnoteText"/>
        <w:ind w:left="720" w:hanging="720"/>
        <w:jc w:val="both"/>
        <w:rPr>
          <w:rFonts w:ascii="Book Antiqua" w:hAnsi="Book Antiqua"/>
        </w:rPr>
      </w:pPr>
      <w:r w:rsidRPr="00E50565">
        <w:rPr>
          <w:rStyle w:val="FootnoteReference"/>
          <w:rFonts w:ascii="Book Antiqua" w:hAnsi="Book Antiqua"/>
        </w:rPr>
        <w:footnoteRef/>
      </w:r>
      <w:r w:rsidRPr="00E50565">
        <w:rPr>
          <w:rFonts w:ascii="Book Antiqua" w:hAnsi="Book Antiqua"/>
        </w:rPr>
        <w:t xml:space="preserve"> </w:t>
      </w:r>
      <w:r w:rsidR="00B816FC" w:rsidRPr="00E50565">
        <w:rPr>
          <w:rFonts w:ascii="Book Antiqua" w:hAnsi="Book Antiqua"/>
        </w:rPr>
        <w:tab/>
      </w:r>
      <w:r w:rsidR="00B816FC" w:rsidRPr="00E50565">
        <w:rPr>
          <w:rFonts w:ascii="Book Antiqua" w:hAnsi="Book Antiqua"/>
          <w:i/>
          <w:iCs/>
        </w:rPr>
        <w:t>Íd</w:t>
      </w:r>
      <w:r w:rsidR="00B816FC" w:rsidRPr="00E50565">
        <w:rPr>
          <w:rFonts w:ascii="Book Antiqua" w:hAnsi="Book Antiqua"/>
        </w:rPr>
        <w:t xml:space="preserve">., págs. 1-2. </w:t>
      </w:r>
    </w:p>
  </w:footnote>
  <w:footnote w:id="8">
    <w:p w14:paraId="635D4F4C" w14:textId="4C6606A1" w:rsidR="00B816FC" w:rsidRPr="00CD2E1E" w:rsidRDefault="00B816FC" w:rsidP="00E50565">
      <w:pPr>
        <w:pStyle w:val="FootnoteText"/>
        <w:ind w:left="720" w:hanging="720"/>
        <w:jc w:val="both"/>
        <w:rPr>
          <w:rFonts w:ascii="Book Antiqua" w:hAnsi="Book Antiqua"/>
        </w:rPr>
      </w:pPr>
      <w:r w:rsidRPr="00E50565">
        <w:rPr>
          <w:rStyle w:val="FootnoteReference"/>
          <w:rFonts w:ascii="Book Antiqua" w:hAnsi="Book Antiqua"/>
        </w:rPr>
        <w:footnoteRef/>
      </w:r>
      <w:r w:rsidRPr="00E50565">
        <w:rPr>
          <w:rFonts w:ascii="Book Antiqua" w:hAnsi="Book Antiqua"/>
        </w:rPr>
        <w:t xml:space="preserve"> </w:t>
      </w:r>
      <w:r w:rsidRPr="00E50565">
        <w:rPr>
          <w:rFonts w:ascii="Book Antiqua" w:hAnsi="Book Antiqua"/>
        </w:rPr>
        <w:tab/>
      </w:r>
      <w:r w:rsidRPr="00E50565">
        <w:rPr>
          <w:rFonts w:ascii="Book Antiqua" w:hAnsi="Book Antiqua"/>
          <w:i/>
          <w:iCs/>
        </w:rPr>
        <w:t>Íd</w:t>
      </w:r>
      <w:r w:rsidRPr="00E50565">
        <w:rPr>
          <w:rFonts w:ascii="Book Antiqua" w:hAnsi="Book Antiqua"/>
        </w:rPr>
        <w:t xml:space="preserve">, pág. 3. </w:t>
      </w:r>
    </w:p>
  </w:footnote>
  <w:footnote w:id="9">
    <w:p w14:paraId="2BACF4FD" w14:textId="07F5B1A2" w:rsidR="00A34AB8" w:rsidRPr="00CD2E1E" w:rsidRDefault="00A34AB8" w:rsidP="00E50565">
      <w:pPr>
        <w:pStyle w:val="FootnoteText"/>
        <w:ind w:left="720" w:hanging="720"/>
        <w:jc w:val="both"/>
        <w:rPr>
          <w:rFonts w:ascii="Book Antiqua" w:hAnsi="Book Antiqua"/>
        </w:rPr>
      </w:pPr>
      <w:r w:rsidRPr="00E50565">
        <w:rPr>
          <w:rStyle w:val="FootnoteReference"/>
          <w:rFonts w:ascii="Book Antiqua" w:hAnsi="Book Antiqua"/>
        </w:rPr>
        <w:footnoteRef/>
      </w:r>
      <w:r w:rsidRPr="00E50565">
        <w:rPr>
          <w:rFonts w:ascii="Book Antiqua" w:hAnsi="Book Antiqua"/>
        </w:rPr>
        <w:t xml:space="preserve"> </w:t>
      </w:r>
      <w:r w:rsidRPr="00CD2E1E">
        <w:rPr>
          <w:rFonts w:ascii="Book Antiqua" w:hAnsi="Book Antiqua"/>
        </w:rPr>
        <w:tab/>
      </w:r>
      <w:r w:rsidRPr="00CD2E1E">
        <w:rPr>
          <w:rFonts w:ascii="Book Antiqua" w:hAnsi="Book Antiqua"/>
          <w:i/>
          <w:iCs/>
        </w:rPr>
        <w:t>Íd</w:t>
      </w:r>
      <w:r w:rsidRPr="00CD2E1E">
        <w:rPr>
          <w:rFonts w:ascii="Book Antiqua" w:hAnsi="Book Antiqua"/>
        </w:rPr>
        <w:t xml:space="preserve">., pág. 4. </w:t>
      </w:r>
    </w:p>
  </w:footnote>
  <w:footnote w:id="10">
    <w:p w14:paraId="4008C31E" w14:textId="38C48AB3" w:rsidR="00E50565" w:rsidRPr="00CD2E1E" w:rsidRDefault="00E50565" w:rsidP="00E50565">
      <w:pPr>
        <w:pStyle w:val="FootnoteText"/>
        <w:ind w:left="720" w:hanging="720"/>
        <w:jc w:val="both"/>
      </w:pPr>
      <w:r w:rsidRPr="00E50565">
        <w:rPr>
          <w:rStyle w:val="FootnoteReference"/>
          <w:rFonts w:ascii="Book Antiqua" w:hAnsi="Book Antiqua"/>
        </w:rPr>
        <w:footnoteRef/>
      </w:r>
      <w:r w:rsidRPr="00E50565">
        <w:rPr>
          <w:rFonts w:ascii="Book Antiqua" w:hAnsi="Book Antiqua"/>
        </w:rPr>
        <w:t xml:space="preserve"> </w:t>
      </w:r>
      <w:r w:rsidRPr="00E50565">
        <w:rPr>
          <w:rFonts w:ascii="Book Antiqua" w:hAnsi="Book Antiqua"/>
        </w:rPr>
        <w:tab/>
        <w:t>Oficina de Administración y Transformación de los Recursos Humanos (OATRH), Memorial Explicativo, págs. 1-2.</w:t>
      </w:r>
      <w:r>
        <w:t xml:space="preserve"> </w:t>
      </w:r>
    </w:p>
  </w:footnote>
  <w:footnote w:id="11">
    <w:p w14:paraId="2B501039" w14:textId="34ECBF0F" w:rsidR="00E50565" w:rsidRPr="004A7369" w:rsidRDefault="00E50565">
      <w:pPr>
        <w:pStyle w:val="FootnoteText"/>
        <w:rPr>
          <w:rFonts w:ascii="Book Antiqua" w:hAnsi="Book Antiqua"/>
          <w:lang w:val="es-ES"/>
        </w:rPr>
      </w:pPr>
      <w:r w:rsidRPr="004A7369">
        <w:rPr>
          <w:rStyle w:val="FootnoteReference"/>
          <w:rFonts w:ascii="Book Antiqua" w:hAnsi="Book Antiqua"/>
          <w:lang w:val="es-ES"/>
        </w:rPr>
        <w:footnoteRef/>
      </w:r>
      <w:r w:rsidRPr="004A7369">
        <w:rPr>
          <w:rFonts w:ascii="Book Antiqua" w:hAnsi="Book Antiqua"/>
          <w:lang w:val="es-ES"/>
        </w:rPr>
        <w:t xml:space="preserve"> </w:t>
      </w:r>
      <w:r w:rsidRPr="004A7369">
        <w:rPr>
          <w:rFonts w:ascii="Book Antiqua" w:hAnsi="Book Antiqua"/>
          <w:lang w:val="es-ES"/>
        </w:rPr>
        <w:tab/>
      </w:r>
      <w:r w:rsidRPr="004A7369">
        <w:rPr>
          <w:rFonts w:ascii="Book Antiqua" w:hAnsi="Book Antiqua"/>
          <w:i/>
          <w:iCs/>
          <w:lang w:val="es-ES"/>
        </w:rPr>
        <w:t>Íd</w:t>
      </w:r>
      <w:r w:rsidRPr="004A7369">
        <w:rPr>
          <w:rFonts w:ascii="Book Antiqua" w:hAnsi="Book Antiqua"/>
          <w:lang w:val="es-ES"/>
        </w:rPr>
        <w:t xml:space="preserve">., pág. 2. </w:t>
      </w:r>
    </w:p>
  </w:footnote>
  <w:footnote w:id="12">
    <w:p w14:paraId="01A7BB1E" w14:textId="3379DDAC" w:rsidR="00F5564A" w:rsidRPr="004A7369" w:rsidRDefault="00F5564A" w:rsidP="00F5564A">
      <w:pPr>
        <w:pStyle w:val="FootnoteText"/>
        <w:ind w:left="720" w:hanging="720"/>
        <w:jc w:val="both"/>
        <w:rPr>
          <w:rFonts w:ascii="Book Antiqua" w:hAnsi="Book Antiqua"/>
          <w:lang w:val="es-ES"/>
        </w:rPr>
      </w:pPr>
      <w:r w:rsidRPr="004A7369">
        <w:rPr>
          <w:rStyle w:val="FootnoteReference"/>
          <w:rFonts w:ascii="Book Antiqua" w:hAnsi="Book Antiqua"/>
          <w:lang w:val="es-ES"/>
        </w:rPr>
        <w:footnoteRef/>
      </w:r>
      <w:r w:rsidRPr="004A7369">
        <w:rPr>
          <w:rFonts w:ascii="Book Antiqua" w:hAnsi="Book Antiqua"/>
          <w:lang w:val="es-ES"/>
        </w:rPr>
        <w:t xml:space="preserve"> </w:t>
      </w:r>
      <w:r w:rsidRPr="004A7369">
        <w:rPr>
          <w:rFonts w:ascii="Book Antiqua" w:hAnsi="Book Antiqua"/>
          <w:lang w:val="es-ES"/>
        </w:rPr>
        <w:tab/>
        <w:t xml:space="preserve">Oficina de Presupuesto de la Asamblea Legislativa, </w:t>
      </w:r>
      <w:r w:rsidRPr="004A7369">
        <w:rPr>
          <w:rFonts w:ascii="Book Antiqua" w:hAnsi="Book Antiqua"/>
          <w:i/>
          <w:iCs/>
          <w:lang w:val="es-ES"/>
        </w:rPr>
        <w:t>Informe sobre el costo fiscal del Proyecto del Senado 872</w:t>
      </w:r>
      <w:r w:rsidRPr="004A7369">
        <w:rPr>
          <w:rFonts w:ascii="Book Antiqua" w:hAnsi="Book Antiqua"/>
          <w:lang w:val="es-ES"/>
        </w:rPr>
        <w:t>, Informe 2026-485, pág. 2 (</w:t>
      </w:r>
      <w:r w:rsidR="004A7369">
        <w:rPr>
          <w:rFonts w:ascii="Book Antiqua" w:hAnsi="Book Antiqua"/>
          <w:lang w:val="es-ES"/>
        </w:rPr>
        <w:t>m</w:t>
      </w:r>
      <w:r w:rsidRPr="004A7369">
        <w:rPr>
          <w:rFonts w:ascii="Book Antiqua" w:hAnsi="Book Antiqua"/>
          <w:lang w:val="es-ES"/>
        </w:rPr>
        <w:t xml:space="preserve">ayo 2026). </w:t>
      </w:r>
    </w:p>
  </w:footnote>
  <w:footnote w:id="13">
    <w:p w14:paraId="3EFD5AE3" w14:textId="4D9778C4" w:rsidR="00F5564A" w:rsidRPr="00E50565" w:rsidRDefault="00F5564A" w:rsidP="00F5564A">
      <w:pPr>
        <w:pStyle w:val="FootnoteText"/>
        <w:ind w:left="720" w:hanging="720"/>
        <w:jc w:val="both"/>
        <w:rPr>
          <w:rFonts w:ascii="Book Antiqua" w:hAnsi="Book Antiqua"/>
          <w:lang w:val="en-US"/>
        </w:rPr>
      </w:pPr>
      <w:r w:rsidRPr="004A7369">
        <w:rPr>
          <w:rStyle w:val="FootnoteReference"/>
          <w:rFonts w:ascii="Book Antiqua" w:hAnsi="Book Antiqua"/>
          <w:lang w:val="es-ES"/>
        </w:rPr>
        <w:footnoteRef/>
      </w:r>
      <w:r w:rsidRPr="004A7369">
        <w:rPr>
          <w:rFonts w:ascii="Book Antiqua" w:hAnsi="Book Antiqua"/>
          <w:lang w:val="es-ES"/>
        </w:rPr>
        <w:t xml:space="preserve"> </w:t>
      </w:r>
      <w:r w:rsidRPr="004A7369">
        <w:rPr>
          <w:rFonts w:ascii="Book Antiqua" w:hAnsi="Book Antiqua"/>
          <w:lang w:val="es-ES"/>
        </w:rPr>
        <w:tab/>
        <w:t xml:space="preserve">OPAL, </w:t>
      </w:r>
      <w:r w:rsidRPr="004A7369">
        <w:rPr>
          <w:rFonts w:ascii="Book Antiqua" w:hAnsi="Book Antiqua"/>
          <w:i/>
          <w:iCs/>
          <w:lang w:val="es-ES"/>
        </w:rPr>
        <w:t>supra</w:t>
      </w:r>
      <w:r w:rsidRPr="004A7369">
        <w:rPr>
          <w:rFonts w:ascii="Book Antiqua" w:hAnsi="Book Antiqua"/>
          <w:lang w:val="es-ES"/>
        </w:rPr>
        <w:t>, págs. 1, 2 y 6.</w:t>
      </w:r>
      <w:r w:rsidRPr="00E50565">
        <w:rPr>
          <w:rFonts w:ascii="Book Antiqua" w:hAnsi="Book Antiqua"/>
          <w:lang w:val="en-US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BCD"/>
    <w:multiLevelType w:val="hybridMultilevel"/>
    <w:tmpl w:val="4530C6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020810"/>
    <w:multiLevelType w:val="hybridMultilevel"/>
    <w:tmpl w:val="116260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F017D"/>
    <w:multiLevelType w:val="hybridMultilevel"/>
    <w:tmpl w:val="8CD8A0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0347B6"/>
    <w:multiLevelType w:val="hybridMultilevel"/>
    <w:tmpl w:val="CDEC69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2411CB"/>
    <w:multiLevelType w:val="hybridMultilevel"/>
    <w:tmpl w:val="F2C058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B54F6D"/>
    <w:multiLevelType w:val="hybridMultilevel"/>
    <w:tmpl w:val="CBFAC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35935"/>
    <w:multiLevelType w:val="hybridMultilevel"/>
    <w:tmpl w:val="411071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AD4EC9"/>
    <w:multiLevelType w:val="hybridMultilevel"/>
    <w:tmpl w:val="78EA1184"/>
    <w:lvl w:ilvl="0" w:tplc="597205F8">
      <w:start w:val="1"/>
      <w:numFmt w:val="decimal"/>
      <w:lvlText w:val="%1."/>
      <w:lvlJc w:val="left"/>
      <w:pPr>
        <w:ind w:left="144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34961873">
    <w:abstractNumId w:val="5"/>
  </w:num>
  <w:num w:numId="2" w16cid:durableId="1796752155">
    <w:abstractNumId w:val="4"/>
  </w:num>
  <w:num w:numId="3" w16cid:durableId="1833058163">
    <w:abstractNumId w:val="7"/>
  </w:num>
  <w:num w:numId="4" w16cid:durableId="151996382">
    <w:abstractNumId w:val="6"/>
  </w:num>
  <w:num w:numId="5" w16cid:durableId="1383552919">
    <w:abstractNumId w:val="3"/>
  </w:num>
  <w:num w:numId="6" w16cid:durableId="760948948">
    <w:abstractNumId w:val="2"/>
  </w:num>
  <w:num w:numId="7" w16cid:durableId="372921983">
    <w:abstractNumId w:val="1"/>
  </w:num>
  <w:num w:numId="8" w16cid:durableId="962463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F0"/>
    <w:rsid w:val="00040D99"/>
    <w:rsid w:val="00047647"/>
    <w:rsid w:val="00053B4D"/>
    <w:rsid w:val="00055081"/>
    <w:rsid w:val="0006062E"/>
    <w:rsid w:val="00083DB6"/>
    <w:rsid w:val="000871EF"/>
    <w:rsid w:val="00087E69"/>
    <w:rsid w:val="000925BB"/>
    <w:rsid w:val="000A10C2"/>
    <w:rsid w:val="000A235C"/>
    <w:rsid w:val="000B275E"/>
    <w:rsid w:val="000C0ECB"/>
    <w:rsid w:val="000C5343"/>
    <w:rsid w:val="000D56FC"/>
    <w:rsid w:val="000E1BF6"/>
    <w:rsid w:val="000E3027"/>
    <w:rsid w:val="000E68A9"/>
    <w:rsid w:val="0010071A"/>
    <w:rsid w:val="00121035"/>
    <w:rsid w:val="00130008"/>
    <w:rsid w:val="0013170B"/>
    <w:rsid w:val="0014295A"/>
    <w:rsid w:val="00155FF4"/>
    <w:rsid w:val="001578CC"/>
    <w:rsid w:val="0016410A"/>
    <w:rsid w:val="00181516"/>
    <w:rsid w:val="00184D12"/>
    <w:rsid w:val="001A1C71"/>
    <w:rsid w:val="001B0795"/>
    <w:rsid w:val="001B1548"/>
    <w:rsid w:val="001B4EAF"/>
    <w:rsid w:val="001C06A7"/>
    <w:rsid w:val="001D0744"/>
    <w:rsid w:val="001E493E"/>
    <w:rsid w:val="001E4C3D"/>
    <w:rsid w:val="001E5D6C"/>
    <w:rsid w:val="001F12B4"/>
    <w:rsid w:val="001F42A7"/>
    <w:rsid w:val="001F5CAD"/>
    <w:rsid w:val="0020165B"/>
    <w:rsid w:val="00217603"/>
    <w:rsid w:val="00241A75"/>
    <w:rsid w:val="00247570"/>
    <w:rsid w:val="002554B3"/>
    <w:rsid w:val="002753B7"/>
    <w:rsid w:val="002928F0"/>
    <w:rsid w:val="002A078F"/>
    <w:rsid w:val="002B444B"/>
    <w:rsid w:val="002B5A25"/>
    <w:rsid w:val="002C132D"/>
    <w:rsid w:val="002D3140"/>
    <w:rsid w:val="002D578F"/>
    <w:rsid w:val="002E5A32"/>
    <w:rsid w:val="002F2A50"/>
    <w:rsid w:val="00304481"/>
    <w:rsid w:val="00312586"/>
    <w:rsid w:val="00312DC8"/>
    <w:rsid w:val="00316553"/>
    <w:rsid w:val="003266A4"/>
    <w:rsid w:val="0034567B"/>
    <w:rsid w:val="00352764"/>
    <w:rsid w:val="00370DA1"/>
    <w:rsid w:val="00391C21"/>
    <w:rsid w:val="00392771"/>
    <w:rsid w:val="00394C77"/>
    <w:rsid w:val="003A4282"/>
    <w:rsid w:val="003A73E0"/>
    <w:rsid w:val="003B4DD4"/>
    <w:rsid w:val="003B622A"/>
    <w:rsid w:val="003C54BF"/>
    <w:rsid w:val="003D0453"/>
    <w:rsid w:val="003E380A"/>
    <w:rsid w:val="00406F4D"/>
    <w:rsid w:val="00413AC3"/>
    <w:rsid w:val="00417087"/>
    <w:rsid w:val="004267E1"/>
    <w:rsid w:val="004316C7"/>
    <w:rsid w:val="00431CEA"/>
    <w:rsid w:val="0043234D"/>
    <w:rsid w:val="00433876"/>
    <w:rsid w:val="00440A59"/>
    <w:rsid w:val="00445064"/>
    <w:rsid w:val="00451A36"/>
    <w:rsid w:val="0047364B"/>
    <w:rsid w:val="004761F7"/>
    <w:rsid w:val="004845E5"/>
    <w:rsid w:val="00485951"/>
    <w:rsid w:val="004860CB"/>
    <w:rsid w:val="00496C12"/>
    <w:rsid w:val="004A4E99"/>
    <w:rsid w:val="004A5647"/>
    <w:rsid w:val="004A7369"/>
    <w:rsid w:val="004B2A29"/>
    <w:rsid w:val="004D0894"/>
    <w:rsid w:val="004D44C6"/>
    <w:rsid w:val="004E0F19"/>
    <w:rsid w:val="004E117A"/>
    <w:rsid w:val="004E197E"/>
    <w:rsid w:val="004F1E7A"/>
    <w:rsid w:val="00560742"/>
    <w:rsid w:val="00576978"/>
    <w:rsid w:val="00596031"/>
    <w:rsid w:val="005A4F61"/>
    <w:rsid w:val="005B7DE9"/>
    <w:rsid w:val="005C2470"/>
    <w:rsid w:val="005C6849"/>
    <w:rsid w:val="005E118E"/>
    <w:rsid w:val="005F5CEA"/>
    <w:rsid w:val="00600BB3"/>
    <w:rsid w:val="0060366D"/>
    <w:rsid w:val="0061551C"/>
    <w:rsid w:val="00625CE0"/>
    <w:rsid w:val="0062757D"/>
    <w:rsid w:val="00647DED"/>
    <w:rsid w:val="006548AD"/>
    <w:rsid w:val="00663D4E"/>
    <w:rsid w:val="00667221"/>
    <w:rsid w:val="006736F9"/>
    <w:rsid w:val="00675DC7"/>
    <w:rsid w:val="00683501"/>
    <w:rsid w:val="006B79E0"/>
    <w:rsid w:val="006C6ADE"/>
    <w:rsid w:val="006F61CA"/>
    <w:rsid w:val="006F6EBC"/>
    <w:rsid w:val="00702959"/>
    <w:rsid w:val="007119D0"/>
    <w:rsid w:val="00725BF8"/>
    <w:rsid w:val="00737B6A"/>
    <w:rsid w:val="0076518E"/>
    <w:rsid w:val="007703AC"/>
    <w:rsid w:val="0077572B"/>
    <w:rsid w:val="0078577E"/>
    <w:rsid w:val="00787C4C"/>
    <w:rsid w:val="007908EA"/>
    <w:rsid w:val="00792C46"/>
    <w:rsid w:val="007A354B"/>
    <w:rsid w:val="007B1F6C"/>
    <w:rsid w:val="007B6971"/>
    <w:rsid w:val="007C0836"/>
    <w:rsid w:val="007C7AE8"/>
    <w:rsid w:val="007D7A61"/>
    <w:rsid w:val="007E23F0"/>
    <w:rsid w:val="007F1076"/>
    <w:rsid w:val="008000D0"/>
    <w:rsid w:val="00804BB9"/>
    <w:rsid w:val="0083649F"/>
    <w:rsid w:val="00845457"/>
    <w:rsid w:val="00852ADC"/>
    <w:rsid w:val="00860EC4"/>
    <w:rsid w:val="00862A5F"/>
    <w:rsid w:val="00864F41"/>
    <w:rsid w:val="00874C4B"/>
    <w:rsid w:val="00884D33"/>
    <w:rsid w:val="00887245"/>
    <w:rsid w:val="008A26CD"/>
    <w:rsid w:val="008A4272"/>
    <w:rsid w:val="008A7707"/>
    <w:rsid w:val="008B2205"/>
    <w:rsid w:val="008C3B2E"/>
    <w:rsid w:val="008C497E"/>
    <w:rsid w:val="008C735E"/>
    <w:rsid w:val="008D7B18"/>
    <w:rsid w:val="008D7B2F"/>
    <w:rsid w:val="008E59D2"/>
    <w:rsid w:val="008F2431"/>
    <w:rsid w:val="008F5773"/>
    <w:rsid w:val="008F59AF"/>
    <w:rsid w:val="008F6046"/>
    <w:rsid w:val="0091317D"/>
    <w:rsid w:val="009471DA"/>
    <w:rsid w:val="00947E8C"/>
    <w:rsid w:val="00950C35"/>
    <w:rsid w:val="00951750"/>
    <w:rsid w:val="009722AA"/>
    <w:rsid w:val="009735EC"/>
    <w:rsid w:val="0098281E"/>
    <w:rsid w:val="009A0011"/>
    <w:rsid w:val="009A0D1F"/>
    <w:rsid w:val="009B4196"/>
    <w:rsid w:val="009B7BD9"/>
    <w:rsid w:val="009C5642"/>
    <w:rsid w:val="009D7122"/>
    <w:rsid w:val="009D76F2"/>
    <w:rsid w:val="009D7DC8"/>
    <w:rsid w:val="009E6DB8"/>
    <w:rsid w:val="00A043AB"/>
    <w:rsid w:val="00A16E6B"/>
    <w:rsid w:val="00A23460"/>
    <w:rsid w:val="00A34AB8"/>
    <w:rsid w:val="00A350FB"/>
    <w:rsid w:val="00A54AF0"/>
    <w:rsid w:val="00A5783E"/>
    <w:rsid w:val="00A602A8"/>
    <w:rsid w:val="00A62E95"/>
    <w:rsid w:val="00A7082D"/>
    <w:rsid w:val="00A70C64"/>
    <w:rsid w:val="00A776CF"/>
    <w:rsid w:val="00A82641"/>
    <w:rsid w:val="00A92D7C"/>
    <w:rsid w:val="00A931F0"/>
    <w:rsid w:val="00A96E54"/>
    <w:rsid w:val="00AB0792"/>
    <w:rsid w:val="00AB7D4B"/>
    <w:rsid w:val="00AC04B8"/>
    <w:rsid w:val="00AC29DB"/>
    <w:rsid w:val="00AC6B4B"/>
    <w:rsid w:val="00AD79E9"/>
    <w:rsid w:val="00AF35EC"/>
    <w:rsid w:val="00B01D60"/>
    <w:rsid w:val="00B04A14"/>
    <w:rsid w:val="00B07592"/>
    <w:rsid w:val="00B33B22"/>
    <w:rsid w:val="00B33F20"/>
    <w:rsid w:val="00B36527"/>
    <w:rsid w:val="00B44FB9"/>
    <w:rsid w:val="00B54EDF"/>
    <w:rsid w:val="00B638D1"/>
    <w:rsid w:val="00B67C4D"/>
    <w:rsid w:val="00B71591"/>
    <w:rsid w:val="00B816FC"/>
    <w:rsid w:val="00B87248"/>
    <w:rsid w:val="00B92A14"/>
    <w:rsid w:val="00BC15C0"/>
    <w:rsid w:val="00BC3D58"/>
    <w:rsid w:val="00BD214E"/>
    <w:rsid w:val="00C1455B"/>
    <w:rsid w:val="00C36EC1"/>
    <w:rsid w:val="00C37CBA"/>
    <w:rsid w:val="00C545C2"/>
    <w:rsid w:val="00C56DBA"/>
    <w:rsid w:val="00C64058"/>
    <w:rsid w:val="00C75809"/>
    <w:rsid w:val="00C97130"/>
    <w:rsid w:val="00CA0E1C"/>
    <w:rsid w:val="00CA12CB"/>
    <w:rsid w:val="00CA7509"/>
    <w:rsid w:val="00CB1979"/>
    <w:rsid w:val="00CC52D1"/>
    <w:rsid w:val="00CD2E1E"/>
    <w:rsid w:val="00CE4CF6"/>
    <w:rsid w:val="00CF6184"/>
    <w:rsid w:val="00D02CDF"/>
    <w:rsid w:val="00D03212"/>
    <w:rsid w:val="00D06CB4"/>
    <w:rsid w:val="00D10EEB"/>
    <w:rsid w:val="00D11501"/>
    <w:rsid w:val="00D12674"/>
    <w:rsid w:val="00D15048"/>
    <w:rsid w:val="00D21B1F"/>
    <w:rsid w:val="00D278EB"/>
    <w:rsid w:val="00D3195C"/>
    <w:rsid w:val="00D36E37"/>
    <w:rsid w:val="00D52BF9"/>
    <w:rsid w:val="00D52E9E"/>
    <w:rsid w:val="00D6171B"/>
    <w:rsid w:val="00D6465F"/>
    <w:rsid w:val="00D71F9A"/>
    <w:rsid w:val="00D73EA8"/>
    <w:rsid w:val="00D92DD5"/>
    <w:rsid w:val="00D97AD8"/>
    <w:rsid w:val="00DA0A06"/>
    <w:rsid w:val="00DA35FB"/>
    <w:rsid w:val="00DD08D2"/>
    <w:rsid w:val="00DD1888"/>
    <w:rsid w:val="00DD76F7"/>
    <w:rsid w:val="00DE18D0"/>
    <w:rsid w:val="00DF38E4"/>
    <w:rsid w:val="00E31E91"/>
    <w:rsid w:val="00E50565"/>
    <w:rsid w:val="00E53500"/>
    <w:rsid w:val="00E74C8C"/>
    <w:rsid w:val="00E771EE"/>
    <w:rsid w:val="00E92C53"/>
    <w:rsid w:val="00E93DA3"/>
    <w:rsid w:val="00E97F9B"/>
    <w:rsid w:val="00EB5922"/>
    <w:rsid w:val="00EB613E"/>
    <w:rsid w:val="00EC3642"/>
    <w:rsid w:val="00EE614E"/>
    <w:rsid w:val="00EE647C"/>
    <w:rsid w:val="00EE7EF2"/>
    <w:rsid w:val="00EF2D95"/>
    <w:rsid w:val="00F06CD1"/>
    <w:rsid w:val="00F0725D"/>
    <w:rsid w:val="00F178FD"/>
    <w:rsid w:val="00F36C67"/>
    <w:rsid w:val="00F523E4"/>
    <w:rsid w:val="00F551CD"/>
    <w:rsid w:val="00F5564A"/>
    <w:rsid w:val="00F71091"/>
    <w:rsid w:val="00F72648"/>
    <w:rsid w:val="00F751C1"/>
    <w:rsid w:val="00F84EA1"/>
    <w:rsid w:val="00F95E98"/>
    <w:rsid w:val="00F96831"/>
    <w:rsid w:val="00FA0580"/>
    <w:rsid w:val="00FA73BD"/>
    <w:rsid w:val="00FC0773"/>
    <w:rsid w:val="00FE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EEC3"/>
  <w15:chartTrackingRefBased/>
  <w15:docId w15:val="{B1F25BE9-FB9C-4A2C-ACF4-6EB953A5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AF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4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AF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AF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AF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AF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AF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AF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AF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AF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AF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A54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AF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AF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A54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AF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A54A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A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AF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A54AF0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A54AF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54AF0"/>
    <w:rPr>
      <w:sz w:val="20"/>
      <w:szCs w:val="20"/>
      <w:lang w:val="es-PR"/>
    </w:rPr>
  </w:style>
  <w:style w:type="character" w:styleId="FootnoteReference">
    <w:name w:val="footnote reference"/>
    <w:uiPriority w:val="99"/>
    <w:unhideWhenUsed/>
    <w:rsid w:val="00A54AF0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97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F9B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E97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F9B"/>
    <w:rPr>
      <w:lang w:val="es-PR"/>
    </w:rPr>
  </w:style>
  <w:style w:type="character" w:customStyle="1" w:styleId="hps">
    <w:name w:val="hps"/>
    <w:basedOn w:val="DefaultParagraphFont"/>
    <w:rsid w:val="00392771"/>
  </w:style>
  <w:style w:type="character" w:styleId="Hyperlink">
    <w:name w:val="Hyperlink"/>
    <w:basedOn w:val="DefaultParagraphFont"/>
    <w:uiPriority w:val="99"/>
    <w:unhideWhenUsed/>
    <w:rsid w:val="009471D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71DA"/>
    <w:rPr>
      <w:color w:val="605E5C"/>
      <w:shd w:val="clear" w:color="auto" w:fill="E1DFDD"/>
    </w:rPr>
  </w:style>
  <w:style w:type="paragraph" w:styleId="NormalWeb">
    <w:name w:val="Normal (Web)"/>
    <w:basedOn w:val="Normal"/>
    <w:unhideWhenUsed/>
    <w:rsid w:val="0060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1549E-9BAA-451C-803C-DF0700CF5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1005</Words>
  <Characters>5734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E. González Ramos</dc:creator>
  <cp:keywords/>
  <dc:description/>
  <cp:lastModifiedBy>Camyl Moreno Pantojas</cp:lastModifiedBy>
  <cp:revision>2</cp:revision>
  <cp:lastPrinted>2026-06-16T14:54:00Z</cp:lastPrinted>
  <dcterms:created xsi:type="dcterms:W3CDTF">2026-06-16T16:58:00Z</dcterms:created>
  <dcterms:modified xsi:type="dcterms:W3CDTF">2026-06-16T16:58:00Z</dcterms:modified>
</cp:coreProperties>
</file>