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D4D332" w14:textId="77777777" w:rsidR="008D4334" w:rsidRDefault="008D4334" w:rsidP="00561C91">
      <w:pPr>
        <w:jc w:val="center"/>
        <w:rPr>
          <w:rFonts w:ascii="Book Antiqua" w:hAnsi="Book Antiqua"/>
          <w:sz w:val="28"/>
          <w:lang w:val="es-ES_tradnl"/>
        </w:rPr>
      </w:pPr>
      <w:r>
        <w:rPr>
          <w:rFonts w:ascii="Book Antiqua" w:hAnsi="Book Antiqua"/>
          <w:sz w:val="28"/>
          <w:lang w:val="es-ES_tradnl"/>
        </w:rPr>
        <w:t>GOBIERNO DE PUERTO RICO</w:t>
      </w:r>
    </w:p>
    <w:p w14:paraId="3BB71542" w14:textId="77777777" w:rsidR="008D4334" w:rsidRPr="00561C91" w:rsidRDefault="008D4334" w:rsidP="00561C91">
      <w:pPr>
        <w:jc w:val="center"/>
        <w:rPr>
          <w:rFonts w:ascii="Book Antiqua" w:hAnsi="Book Antiqua"/>
          <w:szCs w:val="18"/>
          <w:lang w:val="es-ES_tradnl"/>
        </w:rPr>
      </w:pPr>
    </w:p>
    <w:p w14:paraId="79B7549F" w14:textId="40BD2D79" w:rsidR="008D4334" w:rsidRDefault="008D4334" w:rsidP="00561C91">
      <w:pPr>
        <w:pStyle w:val="Title2"/>
        <w:rPr>
          <w:rFonts w:ascii="Book Antiqua" w:hAnsi="Book Antiqua"/>
          <w:lang w:val="es-ES_tradnl"/>
        </w:rPr>
      </w:pPr>
      <w:r>
        <w:rPr>
          <w:rFonts w:ascii="Book Antiqua" w:hAnsi="Book Antiqua"/>
          <w:lang w:val="es-ES_tradnl"/>
        </w:rPr>
        <w:t xml:space="preserve">20 </w:t>
      </w:r>
      <w:proofErr w:type="spellStart"/>
      <w:r>
        <w:rPr>
          <w:rFonts w:ascii="Book Antiqua" w:hAnsi="Book Antiqua"/>
          <w:vertAlign w:val="superscript"/>
          <w:lang w:val="es-ES_tradnl"/>
        </w:rPr>
        <w:t>ma</w:t>
      </w:r>
      <w:proofErr w:type="spellEnd"/>
      <w:r>
        <w:rPr>
          <w:rFonts w:ascii="Book Antiqua" w:hAnsi="Book Antiqua"/>
          <w:lang w:val="es-ES_tradnl"/>
        </w:rPr>
        <w:tab/>
        <w:t>Asamblea</w:t>
      </w:r>
      <w:r>
        <w:rPr>
          <w:rFonts w:ascii="Book Antiqua" w:hAnsi="Book Antiqua"/>
          <w:lang w:val="es-ES_tradnl"/>
        </w:rPr>
        <w:tab/>
      </w:r>
      <w:r w:rsidR="004A5BEC">
        <w:rPr>
          <w:rFonts w:ascii="Book Antiqua" w:hAnsi="Book Antiqua"/>
          <w:lang w:val="es-ES_tradnl"/>
        </w:rPr>
        <w:t>3</w:t>
      </w:r>
      <w:r>
        <w:rPr>
          <w:rFonts w:ascii="Book Antiqua" w:hAnsi="Book Antiqua"/>
          <w:lang w:val="es-ES_tradnl"/>
        </w:rPr>
        <w:t xml:space="preserve"> </w:t>
      </w:r>
      <w:proofErr w:type="spellStart"/>
      <w:r w:rsidR="004A5BEC">
        <w:rPr>
          <w:rFonts w:ascii="Book Antiqua" w:hAnsi="Book Antiqua"/>
          <w:vertAlign w:val="superscript"/>
          <w:lang w:val="es-ES_tradnl"/>
        </w:rPr>
        <w:t>r</w:t>
      </w:r>
      <w:r>
        <w:rPr>
          <w:rFonts w:ascii="Book Antiqua" w:hAnsi="Book Antiqua"/>
          <w:vertAlign w:val="superscript"/>
          <w:lang w:val="es-ES_tradnl"/>
        </w:rPr>
        <w:t>a</w:t>
      </w:r>
      <w:proofErr w:type="spellEnd"/>
      <w:r>
        <w:rPr>
          <w:rFonts w:ascii="Book Antiqua" w:hAnsi="Book Antiqua"/>
          <w:lang w:val="es-ES_tradnl"/>
        </w:rPr>
        <w:tab/>
        <w:t>Sesión</w:t>
      </w:r>
    </w:p>
    <w:p w14:paraId="09365B31" w14:textId="77777777" w:rsidR="008D4334" w:rsidRDefault="008D4334" w:rsidP="00561C91">
      <w:pPr>
        <w:pStyle w:val="Title2"/>
        <w:rPr>
          <w:rFonts w:ascii="Book Antiqua" w:hAnsi="Book Antiqua"/>
          <w:lang w:val="es-ES_tradnl"/>
        </w:rPr>
      </w:pPr>
      <w:r>
        <w:rPr>
          <w:rFonts w:ascii="Book Antiqua" w:hAnsi="Book Antiqua"/>
          <w:lang w:val="es-ES_tradnl"/>
        </w:rPr>
        <w:tab/>
        <w:t>Legislativa</w:t>
      </w:r>
      <w:r>
        <w:rPr>
          <w:rFonts w:ascii="Book Antiqua" w:hAnsi="Book Antiqua"/>
          <w:lang w:val="es-ES_tradnl"/>
        </w:rPr>
        <w:tab/>
      </w:r>
      <w:r>
        <w:rPr>
          <w:rFonts w:ascii="Book Antiqua" w:hAnsi="Book Antiqua"/>
          <w:lang w:val="es-ES_tradnl"/>
        </w:rPr>
        <w:tab/>
        <w:t>Ordinaria</w:t>
      </w:r>
    </w:p>
    <w:p w14:paraId="05550AFF" w14:textId="77777777" w:rsidR="008D4334" w:rsidRDefault="008D4334" w:rsidP="00561C91">
      <w:pPr>
        <w:rPr>
          <w:lang w:val="es-ES_tradnl"/>
        </w:rPr>
      </w:pPr>
    </w:p>
    <w:p w14:paraId="2A9381D9" w14:textId="77777777" w:rsidR="008D4334" w:rsidRDefault="008D4334" w:rsidP="00561C91">
      <w:pPr>
        <w:jc w:val="center"/>
        <w:rPr>
          <w:rFonts w:ascii="Book Antiqua" w:hAnsi="Book Antiqua"/>
          <w:b/>
          <w:sz w:val="36"/>
          <w:lang w:val="es-ES_tradnl"/>
        </w:rPr>
      </w:pPr>
      <w:r>
        <w:rPr>
          <w:rFonts w:ascii="Book Antiqua" w:hAnsi="Book Antiqua"/>
          <w:b/>
          <w:sz w:val="36"/>
          <w:lang w:val="es-ES_tradnl"/>
        </w:rPr>
        <w:t>CÁMARA DE REPRESENTANTES</w:t>
      </w:r>
    </w:p>
    <w:p w14:paraId="48674206" w14:textId="77777777" w:rsidR="00561C91" w:rsidRPr="00561C91" w:rsidRDefault="00561C91" w:rsidP="00561C91">
      <w:pPr>
        <w:jc w:val="center"/>
        <w:rPr>
          <w:rFonts w:ascii="Book Antiqua" w:hAnsi="Book Antiqua"/>
          <w:b/>
          <w:szCs w:val="24"/>
          <w:lang w:val="es-ES_tradnl"/>
        </w:rPr>
      </w:pPr>
    </w:p>
    <w:p w14:paraId="591FBC00" w14:textId="3E52BD9D" w:rsidR="00EC54BA" w:rsidRDefault="008D4334" w:rsidP="00561C91">
      <w:pPr>
        <w:jc w:val="center"/>
        <w:rPr>
          <w:rFonts w:ascii="Book Antiqua" w:hAnsi="Book Antiqua"/>
          <w:b/>
          <w:sz w:val="52"/>
          <w:lang w:val="es-ES_tradnl"/>
        </w:rPr>
      </w:pPr>
      <w:r>
        <w:rPr>
          <w:rFonts w:ascii="Book Antiqua" w:hAnsi="Book Antiqua"/>
          <w:b/>
          <w:sz w:val="52"/>
          <w:lang w:val="es-ES_tradnl"/>
        </w:rPr>
        <w:t>R. de la C.</w:t>
      </w:r>
      <w:r w:rsidR="004806E0">
        <w:rPr>
          <w:rFonts w:ascii="Book Antiqua" w:hAnsi="Book Antiqua"/>
          <w:b/>
          <w:sz w:val="52"/>
          <w:lang w:val="es-ES_tradnl"/>
        </w:rPr>
        <w:t xml:space="preserve"> </w:t>
      </w:r>
      <w:r w:rsidR="00930A1C">
        <w:rPr>
          <w:rFonts w:ascii="Book Antiqua" w:hAnsi="Book Antiqua"/>
          <w:b/>
          <w:sz w:val="52"/>
          <w:lang w:val="es-ES_tradnl"/>
        </w:rPr>
        <w:t>532</w:t>
      </w:r>
    </w:p>
    <w:p w14:paraId="2CA38D37" w14:textId="77777777" w:rsidR="00561C91" w:rsidRPr="00561C91" w:rsidRDefault="00561C91" w:rsidP="00561C91">
      <w:pPr>
        <w:jc w:val="center"/>
        <w:rPr>
          <w:rFonts w:ascii="Book Antiqua" w:hAnsi="Book Antiqua"/>
          <w:b/>
          <w:szCs w:val="24"/>
          <w:lang w:val="es-ES_tradnl"/>
        </w:rPr>
      </w:pPr>
    </w:p>
    <w:p w14:paraId="0495B464" w14:textId="63BD5836" w:rsidR="008D4334" w:rsidRDefault="003C2DE9" w:rsidP="00561C91">
      <w:pPr>
        <w:jc w:val="center"/>
        <w:rPr>
          <w:rFonts w:ascii="Book Antiqua" w:hAnsi="Book Antiqua"/>
          <w:lang w:val="es-ES_tradnl"/>
        </w:rPr>
      </w:pPr>
      <w:r>
        <w:rPr>
          <w:rFonts w:ascii="Book Antiqua" w:hAnsi="Book Antiqua"/>
          <w:lang w:val="es-ES_tradnl"/>
        </w:rPr>
        <w:t xml:space="preserve"> </w:t>
      </w:r>
      <w:r w:rsidR="00930A1C">
        <w:rPr>
          <w:rFonts w:ascii="Book Antiqua" w:hAnsi="Book Antiqua"/>
          <w:lang w:val="es-ES_tradnl"/>
        </w:rPr>
        <w:t>19</w:t>
      </w:r>
      <w:r w:rsidR="004806E0">
        <w:rPr>
          <w:rFonts w:ascii="Book Antiqua" w:hAnsi="Book Antiqua"/>
          <w:lang w:val="es-ES_tradnl"/>
        </w:rPr>
        <w:t xml:space="preserve"> </w:t>
      </w:r>
      <w:r>
        <w:rPr>
          <w:rFonts w:ascii="Book Antiqua" w:hAnsi="Book Antiqua"/>
          <w:lang w:val="es-ES_tradnl"/>
        </w:rPr>
        <w:t xml:space="preserve">DE </w:t>
      </w:r>
      <w:r w:rsidR="00EF75A2">
        <w:rPr>
          <w:rFonts w:ascii="Book Antiqua" w:hAnsi="Book Antiqua"/>
          <w:lang w:val="es-ES_tradnl"/>
        </w:rPr>
        <w:t>DICIEMBRE</w:t>
      </w:r>
      <w:r w:rsidR="004A5BEC">
        <w:rPr>
          <w:rFonts w:ascii="Book Antiqua" w:hAnsi="Book Antiqua"/>
          <w:lang w:val="es-ES_tradnl"/>
        </w:rPr>
        <w:t xml:space="preserve"> D</w:t>
      </w:r>
      <w:r w:rsidR="008D4334">
        <w:rPr>
          <w:rFonts w:ascii="Book Antiqua" w:hAnsi="Book Antiqua"/>
          <w:lang w:val="es-ES_tradnl"/>
        </w:rPr>
        <w:t xml:space="preserve">E 2025 </w:t>
      </w:r>
    </w:p>
    <w:p w14:paraId="50A6D7EB" w14:textId="77777777" w:rsidR="003B5A06" w:rsidRPr="00561C91" w:rsidRDefault="003B5A06" w:rsidP="00561C91">
      <w:pPr>
        <w:jc w:val="center"/>
        <w:rPr>
          <w:rFonts w:ascii="Book Antiqua" w:hAnsi="Book Antiqua"/>
          <w:szCs w:val="24"/>
          <w:lang w:val="es-ES_tradnl"/>
        </w:rPr>
      </w:pPr>
    </w:p>
    <w:p w14:paraId="48E02B2F" w14:textId="55BE457A" w:rsidR="00BA1EBE" w:rsidRPr="00BA1EBE" w:rsidRDefault="003B5A06" w:rsidP="0015389A">
      <w:pPr>
        <w:widowControl w:val="0"/>
        <w:ind w:left="450" w:hanging="450"/>
        <w:jc w:val="center"/>
        <w:rPr>
          <w:rFonts w:ascii="Book Antiqua" w:hAnsi="Book Antiqua"/>
          <w:i/>
          <w:iCs/>
          <w:lang w:val="es-ES"/>
        </w:rPr>
      </w:pPr>
      <w:r w:rsidRPr="00F71E5E">
        <w:rPr>
          <w:rFonts w:ascii="Book Antiqua" w:hAnsi="Book Antiqua"/>
          <w:lang w:val="es-ES_tradnl"/>
        </w:rPr>
        <w:t>Presentad</w:t>
      </w:r>
      <w:r w:rsidR="0022652F">
        <w:rPr>
          <w:rFonts w:ascii="Book Antiqua" w:hAnsi="Book Antiqua"/>
          <w:lang w:val="es-ES_tradnl"/>
        </w:rPr>
        <w:t>a</w:t>
      </w:r>
      <w:r w:rsidRPr="00F71E5E">
        <w:rPr>
          <w:rFonts w:ascii="Book Antiqua" w:hAnsi="Book Antiqua"/>
          <w:lang w:val="es-ES_tradnl"/>
        </w:rPr>
        <w:t xml:space="preserve"> </w:t>
      </w:r>
      <w:r w:rsidR="00BA1EBE">
        <w:rPr>
          <w:rFonts w:ascii="Book Antiqua" w:hAnsi="Book Antiqua"/>
          <w:lang w:val="es-ES_tradnl"/>
        </w:rPr>
        <w:t>p</w:t>
      </w:r>
      <w:proofErr w:type="spellStart"/>
      <w:r w:rsidR="00BA1EBE" w:rsidRPr="00BA1EBE">
        <w:rPr>
          <w:rFonts w:ascii="Book Antiqua" w:hAnsi="Book Antiqua"/>
          <w:lang w:val="es-ES"/>
        </w:rPr>
        <w:t>or</w:t>
      </w:r>
      <w:proofErr w:type="spellEnd"/>
      <w:r w:rsidR="00BA1EBE" w:rsidRPr="00BA1EBE">
        <w:rPr>
          <w:rFonts w:ascii="Book Antiqua" w:hAnsi="Book Antiqua"/>
          <w:lang w:val="es-ES"/>
        </w:rPr>
        <w:t xml:space="preserve"> l</w:t>
      </w:r>
      <w:r w:rsidR="0015389A">
        <w:rPr>
          <w:rFonts w:ascii="Book Antiqua" w:hAnsi="Book Antiqua"/>
          <w:lang w:val="es-ES"/>
        </w:rPr>
        <w:t>a</w:t>
      </w:r>
      <w:r w:rsidR="00BA1EBE" w:rsidRPr="00BA1EBE">
        <w:rPr>
          <w:rFonts w:ascii="Book Antiqua" w:hAnsi="Book Antiqua"/>
          <w:lang w:val="es-ES"/>
        </w:rPr>
        <w:t xml:space="preserve"> representante </w:t>
      </w:r>
      <w:r w:rsidR="00BA1EBE" w:rsidRPr="00BA1EBE">
        <w:rPr>
          <w:rFonts w:ascii="Book Antiqua" w:hAnsi="Book Antiqua"/>
          <w:i/>
          <w:iCs/>
          <w:lang w:val="es-ES"/>
        </w:rPr>
        <w:t>Vargas Laureano</w:t>
      </w:r>
    </w:p>
    <w:p w14:paraId="1F27EDDD" w14:textId="5AE595E5" w:rsidR="00561C91" w:rsidRPr="00BA1EBE" w:rsidRDefault="00561C91" w:rsidP="00561C91">
      <w:pPr>
        <w:widowControl w:val="0"/>
        <w:ind w:left="450" w:hanging="450"/>
        <w:jc w:val="both"/>
        <w:rPr>
          <w:rFonts w:ascii="Book Antiqua" w:hAnsi="Book Antiqua"/>
          <w:i/>
          <w:lang w:val="es-ES"/>
        </w:rPr>
      </w:pPr>
    </w:p>
    <w:p w14:paraId="7CD629AB" w14:textId="6C790736" w:rsidR="008D4334" w:rsidRDefault="008D4334" w:rsidP="00561C91">
      <w:pPr>
        <w:jc w:val="center"/>
        <w:rPr>
          <w:rFonts w:ascii="Book Antiqua" w:hAnsi="Book Antiqua"/>
          <w:lang w:val="es-ES_tradnl"/>
        </w:rPr>
      </w:pPr>
      <w:r>
        <w:rPr>
          <w:rFonts w:ascii="Book Antiqua" w:hAnsi="Book Antiqua"/>
          <w:lang w:val="es-ES_tradnl"/>
        </w:rPr>
        <w:t xml:space="preserve">Referida a </w:t>
      </w:r>
      <w:r w:rsidR="00561C91">
        <w:rPr>
          <w:rFonts w:ascii="Book Antiqua" w:hAnsi="Book Antiqua"/>
          <w:lang w:val="es-ES_tradnl"/>
        </w:rPr>
        <w:t>la Comisión de Asuntos Internos</w:t>
      </w:r>
    </w:p>
    <w:p w14:paraId="3F0971FE" w14:textId="77777777" w:rsidR="008D4334" w:rsidRDefault="008D4334" w:rsidP="00561C91">
      <w:pPr>
        <w:jc w:val="both"/>
        <w:rPr>
          <w:rFonts w:ascii="Book Antiqua" w:hAnsi="Book Antiqua"/>
          <w:lang w:val="es-ES_tradnl"/>
        </w:rPr>
      </w:pPr>
    </w:p>
    <w:p w14:paraId="6866F443" w14:textId="77777777" w:rsidR="008D4334" w:rsidRDefault="008D4334" w:rsidP="00561C91">
      <w:pPr>
        <w:jc w:val="center"/>
        <w:rPr>
          <w:rFonts w:ascii="Book Antiqua" w:hAnsi="Book Antiqua"/>
          <w:b/>
          <w:sz w:val="28"/>
          <w:lang w:val="es-ES_tradnl"/>
        </w:rPr>
      </w:pPr>
      <w:r>
        <w:rPr>
          <w:rFonts w:ascii="Book Antiqua" w:hAnsi="Book Antiqua"/>
          <w:b/>
          <w:sz w:val="28"/>
          <w:lang w:val="es-ES_tradnl"/>
        </w:rPr>
        <w:t>RESOLUCIÓN</w:t>
      </w:r>
    </w:p>
    <w:p w14:paraId="50B5AA1F" w14:textId="77777777" w:rsidR="008D4334" w:rsidRDefault="008D4334" w:rsidP="00561C91">
      <w:pPr>
        <w:jc w:val="both"/>
        <w:rPr>
          <w:rFonts w:ascii="Book Antiqua" w:hAnsi="Book Antiqua"/>
          <w:lang w:val="es-ES_tradnl"/>
        </w:rPr>
      </w:pPr>
    </w:p>
    <w:p w14:paraId="4A8C2CCC" w14:textId="0C3D76F9" w:rsidR="0015389A" w:rsidRPr="006C7E8D" w:rsidRDefault="004A5BEC" w:rsidP="00767533">
      <w:pPr>
        <w:ind w:left="540" w:hanging="540"/>
        <w:jc w:val="both"/>
        <w:rPr>
          <w:rFonts w:ascii="Book Antiqua" w:hAnsi="Book Antiqua"/>
          <w:lang w:val="es-PR"/>
        </w:rPr>
      </w:pPr>
      <w:bookmarkStart w:id="0" w:name="_Hlk196089212"/>
      <w:bookmarkStart w:id="1" w:name="_Hlk192107557"/>
      <w:bookmarkStart w:id="2" w:name="_Hlk192113111"/>
      <w:r w:rsidRPr="006C7E8D">
        <w:rPr>
          <w:rFonts w:ascii="Book Antiqua" w:hAnsi="Book Antiqua"/>
          <w:lang w:val="es-PR"/>
        </w:rPr>
        <w:t xml:space="preserve">Para ordenar a la Comisión de </w:t>
      </w:r>
      <w:r w:rsidR="00BE17DD" w:rsidRPr="006C7E8D">
        <w:rPr>
          <w:rFonts w:ascii="Book Antiqua" w:hAnsi="Book Antiqua"/>
          <w:lang w:val="es-PR"/>
        </w:rPr>
        <w:t>Educación</w:t>
      </w:r>
      <w:r w:rsidRPr="006C7E8D">
        <w:rPr>
          <w:rFonts w:ascii="Book Antiqua" w:hAnsi="Book Antiqua"/>
          <w:lang w:val="es-PR"/>
        </w:rPr>
        <w:t xml:space="preserve"> de la Cámara de Representantes de Puerto Rico </w:t>
      </w:r>
      <w:r w:rsidR="00BE17DD" w:rsidRPr="00A611EA">
        <w:rPr>
          <w:rFonts w:ascii="Book Antiqua" w:hAnsi="Book Antiqua"/>
          <w:lang w:val="es-PR"/>
        </w:rPr>
        <w:t xml:space="preserve">realizar una investigación exhaustiva sobre la experiencia de la Pontificia Universidad Católica de Puerto Rico (PUCPR) con su proyecto denominado “Comedor Pionero de la Casa Común”, con el propósito de evaluar la viabilidad de replicar dicho modelo en las instituciones públicas de enseñanza universitaria del </w:t>
      </w:r>
      <w:r w:rsidR="00BE17DD" w:rsidRPr="006C7E8D">
        <w:rPr>
          <w:rFonts w:ascii="Book Antiqua" w:hAnsi="Book Antiqua"/>
          <w:lang w:val="es-PR"/>
        </w:rPr>
        <w:t>Gobierno</w:t>
      </w:r>
      <w:r w:rsidR="00BE17DD" w:rsidRPr="00A611EA">
        <w:rPr>
          <w:rFonts w:ascii="Book Antiqua" w:hAnsi="Book Antiqua"/>
          <w:lang w:val="es-PR"/>
        </w:rPr>
        <w:t xml:space="preserve"> de Puerto Rico</w:t>
      </w:r>
      <w:r w:rsidR="006E656D" w:rsidRPr="006C7E8D">
        <w:rPr>
          <w:rFonts w:ascii="Book Antiqua" w:hAnsi="Book Antiqua"/>
          <w:lang w:val="es-PR"/>
        </w:rPr>
        <w:t>; y para otros fines relacionados</w:t>
      </w:r>
      <w:r w:rsidR="00301005" w:rsidRPr="006C7E8D">
        <w:rPr>
          <w:rFonts w:ascii="Book Antiqua" w:hAnsi="Book Antiqua"/>
          <w:lang w:val="es-ES_tradnl"/>
        </w:rPr>
        <w:t>.</w:t>
      </w:r>
      <w:bookmarkEnd w:id="0"/>
      <w:bookmarkEnd w:id="1"/>
      <w:bookmarkEnd w:id="2"/>
      <w:r w:rsidR="00AD3F86" w:rsidRPr="006C7E8D">
        <w:rPr>
          <w:rFonts w:ascii="Book Antiqua" w:hAnsi="Book Antiqua"/>
          <w:lang w:val="es-PR"/>
        </w:rPr>
        <w:t xml:space="preserve"> </w:t>
      </w:r>
    </w:p>
    <w:p w14:paraId="2AAC2192" w14:textId="77777777" w:rsidR="00F073B8" w:rsidRPr="006C7E8D" w:rsidRDefault="00F073B8" w:rsidP="00561C91">
      <w:pPr>
        <w:ind w:left="426" w:hanging="426"/>
        <w:jc w:val="both"/>
        <w:rPr>
          <w:rFonts w:ascii="Book Antiqua" w:hAnsi="Book Antiqua"/>
          <w:lang w:val="es-ES_tradnl"/>
        </w:rPr>
      </w:pPr>
    </w:p>
    <w:p w14:paraId="216D1CAF" w14:textId="2BD6960C" w:rsidR="00F446CC" w:rsidRPr="006C7E8D" w:rsidRDefault="008D4334" w:rsidP="00561C91">
      <w:pPr>
        <w:jc w:val="center"/>
        <w:rPr>
          <w:rFonts w:ascii="Book Antiqua" w:hAnsi="Book Antiqua"/>
          <w:lang w:val="es-ES_tradnl"/>
        </w:rPr>
      </w:pPr>
      <w:r w:rsidRPr="006C7E8D">
        <w:rPr>
          <w:rFonts w:ascii="Book Antiqua" w:hAnsi="Book Antiqua"/>
          <w:lang w:val="es-ES_tradnl"/>
        </w:rPr>
        <w:t>EXPOSICIÓN DE MOTIVOS</w:t>
      </w:r>
    </w:p>
    <w:p w14:paraId="583E78C1" w14:textId="77777777" w:rsidR="00561C91" w:rsidRPr="006C7E8D" w:rsidRDefault="00561C91" w:rsidP="004A5BEC">
      <w:pPr>
        <w:ind w:firstLine="720"/>
        <w:jc w:val="both"/>
        <w:rPr>
          <w:rFonts w:ascii="Book Antiqua" w:hAnsi="Book Antiqua"/>
          <w:lang w:val="es-ES_tradnl"/>
        </w:rPr>
      </w:pPr>
    </w:p>
    <w:p w14:paraId="2954C4A5" w14:textId="0A2BE853" w:rsidR="00BE17DD" w:rsidRPr="006C7E8D" w:rsidRDefault="00BE17DD" w:rsidP="00BE17DD">
      <w:pPr>
        <w:ind w:firstLine="720"/>
        <w:jc w:val="both"/>
        <w:rPr>
          <w:rFonts w:ascii="Book Antiqua" w:hAnsi="Book Antiqua"/>
          <w:lang w:val="es-PR"/>
        </w:rPr>
      </w:pPr>
      <w:r w:rsidRPr="00BE17DD">
        <w:rPr>
          <w:rFonts w:ascii="Book Antiqua" w:hAnsi="Book Antiqua"/>
          <w:lang w:val="es-PR"/>
        </w:rPr>
        <w:t>E</w:t>
      </w:r>
      <w:r w:rsidRPr="006C7E8D">
        <w:rPr>
          <w:rFonts w:ascii="Book Antiqua" w:hAnsi="Book Antiqua"/>
          <w:lang w:val="es-PR"/>
        </w:rPr>
        <w:t>n</w:t>
      </w:r>
      <w:r w:rsidRPr="00BE17DD">
        <w:rPr>
          <w:rFonts w:ascii="Book Antiqua" w:hAnsi="Book Antiqua"/>
          <w:lang w:val="es-PR"/>
        </w:rPr>
        <w:t xml:space="preserve"> noviembre de 2024, la Pontificia Universidad Católica de Puerto Rico (PUCPR) abrió las puertas del </w:t>
      </w:r>
      <w:r w:rsidRPr="00BE17DD">
        <w:rPr>
          <w:rFonts w:ascii="Book Antiqua" w:hAnsi="Book Antiqua"/>
          <w:i/>
          <w:iCs/>
          <w:lang w:val="es-PR"/>
        </w:rPr>
        <w:t>Comedor Pionero de la Casa Común</w:t>
      </w:r>
      <w:r w:rsidRPr="00BE17DD">
        <w:rPr>
          <w:rFonts w:ascii="Book Antiqua" w:hAnsi="Book Antiqua"/>
          <w:lang w:val="es-PR"/>
        </w:rPr>
        <w:t>. Esta iniciativa tiene la misión de ayudar a estudiantes que sufren o están en riesgo de sufrir insuficiencia alimentaria, proveyendo meriendas, compras de artículos no perecederos y cajas de productos frescos del país de forma gratuita. Igualmente, ofrece acompañamiento y apoyo en un espacio acogedor alrededor de la mesa de comedor.</w:t>
      </w:r>
    </w:p>
    <w:p w14:paraId="2C25DD94" w14:textId="77777777" w:rsidR="00BE17DD" w:rsidRPr="00BE17DD" w:rsidRDefault="00BE17DD" w:rsidP="00BE17DD">
      <w:pPr>
        <w:ind w:firstLine="720"/>
        <w:jc w:val="both"/>
        <w:rPr>
          <w:rFonts w:ascii="Book Antiqua" w:hAnsi="Book Antiqua"/>
          <w:lang w:val="es-PR"/>
        </w:rPr>
      </w:pPr>
    </w:p>
    <w:p w14:paraId="3408C0E3" w14:textId="77777777" w:rsidR="00BE17DD" w:rsidRPr="00BE17DD" w:rsidRDefault="00BE17DD" w:rsidP="00BE17DD">
      <w:pPr>
        <w:ind w:firstLine="720"/>
        <w:jc w:val="both"/>
        <w:rPr>
          <w:rFonts w:ascii="Book Antiqua" w:hAnsi="Book Antiqua"/>
          <w:lang w:val="es-PR"/>
        </w:rPr>
      </w:pPr>
      <w:r w:rsidRPr="00BE17DD">
        <w:rPr>
          <w:rFonts w:ascii="Book Antiqua" w:hAnsi="Book Antiqua"/>
          <w:lang w:val="es-PR"/>
        </w:rPr>
        <w:t>Una encuesta realizada en el 2022 reflejó la magnitud de la necesidad alimentaria entre la población estudiantil de la PUCPR:</w:t>
      </w:r>
    </w:p>
    <w:p w14:paraId="4EDCA13A" w14:textId="77777777" w:rsidR="00BE17DD" w:rsidRPr="00BE17DD" w:rsidRDefault="00BE17DD" w:rsidP="00BE17DD">
      <w:pPr>
        <w:ind w:firstLine="720"/>
        <w:jc w:val="both"/>
        <w:rPr>
          <w:rFonts w:ascii="Book Antiqua" w:hAnsi="Book Antiqua"/>
          <w:lang w:val="es-PR"/>
        </w:rPr>
      </w:pPr>
    </w:p>
    <w:p w14:paraId="012202F8" w14:textId="77777777" w:rsidR="00BE17DD" w:rsidRPr="00BE17DD" w:rsidRDefault="00BE17DD" w:rsidP="00BE17DD">
      <w:pPr>
        <w:numPr>
          <w:ilvl w:val="0"/>
          <w:numId w:val="6"/>
        </w:numPr>
        <w:jc w:val="both"/>
        <w:rPr>
          <w:rFonts w:ascii="Book Antiqua" w:hAnsi="Book Antiqua"/>
          <w:lang w:val="es-PR"/>
        </w:rPr>
      </w:pPr>
      <w:r w:rsidRPr="00BE17DD">
        <w:rPr>
          <w:rFonts w:ascii="Book Antiqua" w:hAnsi="Book Antiqua"/>
          <w:lang w:val="es-PR"/>
        </w:rPr>
        <w:t>El 75% de los estudiantes indicó tener $10.00 o menos diarios para satisfacer sus necesidades básicas, incluyendo comida, transporte y materiales.</w:t>
      </w:r>
    </w:p>
    <w:p w14:paraId="10D88FDB" w14:textId="77777777" w:rsidR="00BE17DD" w:rsidRPr="00BE17DD" w:rsidRDefault="00BE17DD" w:rsidP="00BE17DD">
      <w:pPr>
        <w:numPr>
          <w:ilvl w:val="0"/>
          <w:numId w:val="6"/>
        </w:numPr>
        <w:jc w:val="both"/>
        <w:rPr>
          <w:rFonts w:ascii="Book Antiqua" w:hAnsi="Book Antiqua"/>
          <w:lang w:val="es-PR"/>
        </w:rPr>
      </w:pPr>
      <w:r w:rsidRPr="00BE17DD">
        <w:rPr>
          <w:rFonts w:ascii="Book Antiqua" w:hAnsi="Book Antiqua"/>
          <w:lang w:val="es-PR"/>
        </w:rPr>
        <w:t>El 45% informó saltarse comidas muy frecuentemente mientras asistía a clases o permanecía en el recinto universitario.</w:t>
      </w:r>
    </w:p>
    <w:p w14:paraId="5F137B08" w14:textId="77777777" w:rsidR="00BE17DD" w:rsidRPr="00BE17DD" w:rsidRDefault="00BE17DD" w:rsidP="00BE17DD">
      <w:pPr>
        <w:numPr>
          <w:ilvl w:val="0"/>
          <w:numId w:val="6"/>
        </w:numPr>
        <w:jc w:val="both"/>
        <w:rPr>
          <w:rFonts w:ascii="Book Antiqua" w:hAnsi="Book Antiqua"/>
          <w:lang w:val="es-PR"/>
        </w:rPr>
      </w:pPr>
      <w:r w:rsidRPr="00BE17DD">
        <w:rPr>
          <w:rFonts w:ascii="Book Antiqua" w:hAnsi="Book Antiqua"/>
          <w:lang w:val="es-PR"/>
        </w:rPr>
        <w:lastRenderedPageBreak/>
        <w:t>El 21% señaló que muy frecuentemente no comían durante las horas o días que asistían a clase, esperando hasta regresar a sus hogares para alimentarse.</w:t>
      </w:r>
    </w:p>
    <w:p w14:paraId="0963C946" w14:textId="77777777" w:rsidR="00BE17DD" w:rsidRPr="00BE17DD" w:rsidRDefault="00BE17DD" w:rsidP="00BE17DD">
      <w:pPr>
        <w:numPr>
          <w:ilvl w:val="0"/>
          <w:numId w:val="6"/>
        </w:numPr>
        <w:jc w:val="both"/>
        <w:rPr>
          <w:rFonts w:ascii="Book Antiqua" w:hAnsi="Book Antiqua"/>
          <w:lang w:val="es-PR"/>
        </w:rPr>
      </w:pPr>
      <w:r w:rsidRPr="00BE17DD">
        <w:rPr>
          <w:rFonts w:ascii="Book Antiqua" w:hAnsi="Book Antiqua"/>
          <w:lang w:val="es-PR"/>
        </w:rPr>
        <w:t>El 15% manifestó tener que elegir con frecuencia entre asistir a clases o comer.</w:t>
      </w:r>
    </w:p>
    <w:p w14:paraId="542D38AD" w14:textId="77777777" w:rsidR="00BE17DD" w:rsidRPr="00BE17DD" w:rsidRDefault="00BE17DD" w:rsidP="00BE17DD">
      <w:pPr>
        <w:numPr>
          <w:ilvl w:val="0"/>
          <w:numId w:val="6"/>
        </w:numPr>
        <w:jc w:val="both"/>
        <w:rPr>
          <w:rFonts w:ascii="Book Antiqua" w:hAnsi="Book Antiqua"/>
          <w:lang w:val="es-PR"/>
        </w:rPr>
      </w:pPr>
      <w:r w:rsidRPr="00BE17DD">
        <w:rPr>
          <w:rFonts w:ascii="Book Antiqua" w:hAnsi="Book Antiqua"/>
          <w:lang w:val="es-PR"/>
        </w:rPr>
        <w:t>El 37% afirmó que, debido a las necesidades económicas, con frecuencia debía matricular un número menor de créditos por semestre.</w:t>
      </w:r>
    </w:p>
    <w:p w14:paraId="65E4322B" w14:textId="77777777" w:rsidR="00BE17DD" w:rsidRPr="00BE17DD" w:rsidRDefault="00BE17DD" w:rsidP="00BE17DD">
      <w:pPr>
        <w:ind w:firstLine="720"/>
        <w:jc w:val="both"/>
        <w:rPr>
          <w:rFonts w:ascii="Book Antiqua" w:hAnsi="Book Antiqua"/>
          <w:lang w:val="es-PR"/>
        </w:rPr>
      </w:pPr>
    </w:p>
    <w:p w14:paraId="7E6575FB" w14:textId="77777777" w:rsidR="00BE17DD" w:rsidRPr="00BE17DD" w:rsidRDefault="00BE17DD" w:rsidP="00BE17DD">
      <w:pPr>
        <w:ind w:firstLine="720"/>
        <w:jc w:val="both"/>
        <w:rPr>
          <w:rFonts w:ascii="Book Antiqua" w:hAnsi="Book Antiqua"/>
          <w:lang w:val="es-PR"/>
        </w:rPr>
      </w:pPr>
      <w:r w:rsidRPr="00BE17DD">
        <w:rPr>
          <w:rFonts w:ascii="Book Antiqua" w:hAnsi="Book Antiqua"/>
          <w:lang w:val="es-PR"/>
        </w:rPr>
        <w:t>Asimismo, alrededor del 93% de los estudiantes del recinto de Arecibo, el 89% del recinto de Mayagüez y el 82% del recinto de Ponce provienen de pueblos limítrofes, lo cual implica gastos adicionales de transporte o gasolina. Muchos estudiantes dependen de padres trabajadores o amigos para llegar a los recintos, lo que les obliga a pasar el día completo en la universidad atados a la agenda de quienes les transportan. Los altos costos de la comida y el largo tiempo que permanecen en los recintos crean la necesidad de consumir una o dos comidas diarias sin contar con el presupuesto para enfrentar esta realidad.</w:t>
      </w:r>
    </w:p>
    <w:p w14:paraId="156C20A3" w14:textId="77777777" w:rsidR="00BE17DD" w:rsidRPr="00BE17DD" w:rsidRDefault="00BE17DD" w:rsidP="00BE17DD">
      <w:pPr>
        <w:ind w:firstLine="720"/>
        <w:jc w:val="both"/>
        <w:rPr>
          <w:rFonts w:ascii="Book Antiqua" w:hAnsi="Book Antiqua"/>
          <w:lang w:val="es-PR"/>
        </w:rPr>
      </w:pPr>
    </w:p>
    <w:p w14:paraId="702CC9D4" w14:textId="77777777" w:rsidR="00BE17DD" w:rsidRPr="00BE17DD" w:rsidRDefault="00BE17DD" w:rsidP="00BE17DD">
      <w:pPr>
        <w:ind w:firstLine="720"/>
        <w:jc w:val="both"/>
        <w:rPr>
          <w:rFonts w:ascii="Book Antiqua" w:hAnsi="Book Antiqua"/>
          <w:lang w:val="es-PR"/>
        </w:rPr>
      </w:pPr>
      <w:r w:rsidRPr="00BE17DD">
        <w:rPr>
          <w:rFonts w:ascii="Book Antiqua" w:hAnsi="Book Antiqua"/>
          <w:lang w:val="es-PR"/>
        </w:rPr>
        <w:t xml:space="preserve">La falta de alimentos no solo afecta negativamente el bienestar del estudiante, sino que compromete su capacidad de completar un grado académico, poniendo en riesgo su futuro. En atención a ello, la PUCPR estableció el </w:t>
      </w:r>
      <w:r w:rsidRPr="00BE17DD">
        <w:rPr>
          <w:rFonts w:ascii="Book Antiqua" w:hAnsi="Book Antiqua"/>
          <w:i/>
          <w:iCs/>
          <w:lang w:val="es-PR"/>
        </w:rPr>
        <w:t>Comedor Pionero de la Casa Común</w:t>
      </w:r>
      <w:r w:rsidRPr="00BE17DD">
        <w:rPr>
          <w:rFonts w:ascii="Book Antiqua" w:hAnsi="Book Antiqua"/>
          <w:lang w:val="es-PR"/>
        </w:rPr>
        <w:t xml:space="preserve"> con tres pilares claves dirigidos a promover la seguridad alimentaria:</w:t>
      </w:r>
    </w:p>
    <w:p w14:paraId="0147C833" w14:textId="77777777" w:rsidR="00BE17DD" w:rsidRPr="00BE17DD" w:rsidRDefault="00BE17DD" w:rsidP="00BE17DD">
      <w:pPr>
        <w:ind w:firstLine="720"/>
        <w:jc w:val="both"/>
        <w:rPr>
          <w:rFonts w:ascii="Book Antiqua" w:hAnsi="Book Antiqua"/>
          <w:lang w:val="es-PR"/>
        </w:rPr>
      </w:pPr>
    </w:p>
    <w:p w14:paraId="39D7FB82" w14:textId="77777777" w:rsidR="00BE17DD" w:rsidRPr="00BE17DD" w:rsidRDefault="00BE17DD" w:rsidP="00BE17DD">
      <w:pPr>
        <w:numPr>
          <w:ilvl w:val="0"/>
          <w:numId w:val="7"/>
        </w:numPr>
        <w:jc w:val="both"/>
        <w:rPr>
          <w:rFonts w:ascii="Book Antiqua" w:hAnsi="Book Antiqua"/>
          <w:lang w:val="es-PR"/>
        </w:rPr>
      </w:pPr>
      <w:r w:rsidRPr="00BE17DD">
        <w:rPr>
          <w:rFonts w:ascii="Book Antiqua" w:hAnsi="Book Antiqua"/>
          <w:lang w:val="es-PR"/>
        </w:rPr>
        <w:t>La Cocina de la Casa Común: promueve que los estudiantes traigan comidas preparadas de sus hogares para calentarlas en los 20 microondas disponibles en el comedor.</w:t>
      </w:r>
    </w:p>
    <w:p w14:paraId="2DD87FCC" w14:textId="77777777" w:rsidR="00BE17DD" w:rsidRPr="00BE17DD" w:rsidRDefault="00BE17DD" w:rsidP="00BE17DD">
      <w:pPr>
        <w:numPr>
          <w:ilvl w:val="0"/>
          <w:numId w:val="7"/>
        </w:numPr>
        <w:jc w:val="both"/>
        <w:rPr>
          <w:rFonts w:ascii="Book Antiqua" w:hAnsi="Book Antiqua"/>
          <w:lang w:val="es-PR"/>
        </w:rPr>
      </w:pPr>
      <w:r w:rsidRPr="00BE17DD">
        <w:rPr>
          <w:rFonts w:ascii="Book Antiqua" w:hAnsi="Book Antiqua"/>
          <w:lang w:val="es-PR"/>
        </w:rPr>
        <w:t>Come Conmigo: invita a los estudiantes a pasar por las sedes del comedor para obtener una merienda, jugo o agua libre de costo, acompañado de apoyo entre pares.</w:t>
      </w:r>
    </w:p>
    <w:p w14:paraId="65AB84AE" w14:textId="77777777" w:rsidR="00BE17DD" w:rsidRPr="00BE17DD" w:rsidRDefault="00BE17DD" w:rsidP="00BE17DD">
      <w:pPr>
        <w:numPr>
          <w:ilvl w:val="0"/>
          <w:numId w:val="7"/>
        </w:numPr>
        <w:jc w:val="both"/>
        <w:rPr>
          <w:rFonts w:ascii="Book Antiqua" w:hAnsi="Book Antiqua"/>
          <w:lang w:val="es-PR"/>
        </w:rPr>
      </w:pPr>
      <w:r w:rsidRPr="00BE17DD">
        <w:rPr>
          <w:rFonts w:ascii="Book Antiqua" w:hAnsi="Book Antiqua"/>
          <w:lang w:val="es-PR"/>
        </w:rPr>
        <w:t>La Alacena Universitaria: provee semanalmente compras de alimentos no perecederos a estudiantes del recinto de Ponce, libre de costo.</w:t>
      </w:r>
    </w:p>
    <w:p w14:paraId="000E03AC" w14:textId="77777777" w:rsidR="00BE17DD" w:rsidRPr="00BE17DD" w:rsidRDefault="00BE17DD" w:rsidP="00BE17DD">
      <w:pPr>
        <w:ind w:firstLine="720"/>
        <w:jc w:val="both"/>
        <w:rPr>
          <w:rFonts w:ascii="Book Antiqua" w:hAnsi="Book Antiqua"/>
          <w:lang w:val="es-PR"/>
        </w:rPr>
      </w:pPr>
    </w:p>
    <w:p w14:paraId="34AF85A6" w14:textId="77777777" w:rsidR="00BE17DD" w:rsidRPr="00BE17DD" w:rsidRDefault="00BE17DD" w:rsidP="00BE17DD">
      <w:pPr>
        <w:ind w:firstLine="720"/>
        <w:jc w:val="both"/>
        <w:rPr>
          <w:rFonts w:ascii="Book Antiqua" w:hAnsi="Book Antiqua"/>
          <w:lang w:val="es-PR"/>
        </w:rPr>
      </w:pPr>
      <w:r w:rsidRPr="00BE17DD">
        <w:rPr>
          <w:rFonts w:ascii="Book Antiqua" w:hAnsi="Book Antiqua"/>
          <w:lang w:val="es-PR"/>
        </w:rPr>
        <w:t>Además, una vez al mes los recintos de Ponce, Arecibo y Mayagüez reparten cajitas de productos frescos del país, garantizando acceso a alimentos saludables.</w:t>
      </w:r>
    </w:p>
    <w:p w14:paraId="4CA6F291" w14:textId="77777777" w:rsidR="00BE17DD" w:rsidRPr="00BE17DD" w:rsidRDefault="00BE17DD" w:rsidP="00BE17DD">
      <w:pPr>
        <w:ind w:firstLine="720"/>
        <w:jc w:val="both"/>
        <w:rPr>
          <w:rFonts w:ascii="Book Antiqua" w:hAnsi="Book Antiqua"/>
          <w:lang w:val="es-PR"/>
        </w:rPr>
      </w:pPr>
    </w:p>
    <w:p w14:paraId="004BF758" w14:textId="3BB4942B" w:rsidR="004A5BEC" w:rsidRDefault="00BE17DD" w:rsidP="00BE17DD">
      <w:pPr>
        <w:ind w:firstLine="720"/>
        <w:jc w:val="both"/>
        <w:rPr>
          <w:rFonts w:ascii="Book Antiqua" w:hAnsi="Book Antiqua"/>
          <w:lang w:val="es-PR"/>
        </w:rPr>
      </w:pPr>
      <w:r w:rsidRPr="00A611EA">
        <w:rPr>
          <w:rFonts w:ascii="Book Antiqua" w:hAnsi="Book Antiqua"/>
          <w:lang w:val="es-PR"/>
        </w:rPr>
        <w:t xml:space="preserve">La experiencia del </w:t>
      </w:r>
      <w:r w:rsidRPr="00A611EA">
        <w:rPr>
          <w:rFonts w:ascii="Book Antiqua" w:hAnsi="Book Antiqua"/>
          <w:i/>
          <w:iCs/>
          <w:lang w:val="es-PR"/>
        </w:rPr>
        <w:t>Comedor Pionero de la Casa Común</w:t>
      </w:r>
      <w:r w:rsidRPr="00A611EA">
        <w:rPr>
          <w:rFonts w:ascii="Book Antiqua" w:hAnsi="Book Antiqua"/>
          <w:lang w:val="es-PR"/>
        </w:rPr>
        <w:t xml:space="preserve"> constituye un modelo innovador de seguridad alimentaria universitaria que atiende directamente la permanencia estudiantil y el bienestar integral. Resulta imperativo que la Cámara de Representantes, en ejercicio de su función de fiscalización y formulación de política pública, ordene a la Comisión de Educación realizar una investigación exhaustiva sobre esta experiencia, con el fin de determinar la pertinencia, viabilidad y posibles mecanismos de adaptación de dicho modelo en las instituciones públicas de enseñanza universitaria del país.</w:t>
      </w:r>
    </w:p>
    <w:p w14:paraId="001F6E81" w14:textId="77777777" w:rsidR="004A5BEC" w:rsidRDefault="004A5BEC" w:rsidP="004A5BEC">
      <w:pPr>
        <w:ind w:firstLine="720"/>
        <w:jc w:val="both"/>
        <w:rPr>
          <w:rFonts w:ascii="Book Antiqua" w:hAnsi="Book Antiqua"/>
          <w:lang w:val="es-PR"/>
        </w:rPr>
      </w:pPr>
    </w:p>
    <w:p w14:paraId="45978958" w14:textId="59523F65" w:rsidR="008D4334" w:rsidRDefault="008D4334" w:rsidP="004A5BEC">
      <w:pPr>
        <w:keepNext/>
        <w:keepLines/>
        <w:spacing w:line="480" w:lineRule="auto"/>
        <w:rPr>
          <w:rFonts w:ascii="Book Antiqua" w:hAnsi="Book Antiqua"/>
          <w:i/>
          <w:lang w:val="es-ES_tradnl"/>
        </w:rPr>
      </w:pPr>
      <w:r>
        <w:rPr>
          <w:rFonts w:ascii="Book Antiqua" w:hAnsi="Book Antiqua"/>
          <w:i/>
          <w:lang w:val="es-ES_tradnl"/>
        </w:rPr>
        <w:t>RESUÉLVESE POR LA CÁMARA DE REPRESENTANTES DE PUERTO RICO:</w:t>
      </w:r>
    </w:p>
    <w:p w14:paraId="617CDBC5" w14:textId="77777777" w:rsidR="008D4334" w:rsidRDefault="008D4334" w:rsidP="008D4334">
      <w:pPr>
        <w:keepNext/>
        <w:keepLines/>
        <w:spacing w:line="480" w:lineRule="auto"/>
        <w:jc w:val="both"/>
        <w:rPr>
          <w:rFonts w:ascii="Book Antiqua" w:hAnsi="Book Antiqua"/>
          <w:lang w:val="es-ES_tradnl"/>
        </w:rPr>
        <w:sectPr w:rsidR="008D4334" w:rsidSect="008D4334">
          <w:headerReference w:type="default" r:id="rId7"/>
          <w:pgSz w:w="12240" w:h="15840" w:code="1"/>
          <w:pgMar w:top="1440" w:right="1440" w:bottom="1440" w:left="1440" w:header="720" w:footer="720" w:gutter="0"/>
          <w:cols w:space="720"/>
          <w:titlePg/>
        </w:sectPr>
      </w:pPr>
    </w:p>
    <w:p w14:paraId="7EC70B18" w14:textId="7D3D37B9" w:rsidR="004A5BEC" w:rsidRPr="004A5BEC" w:rsidRDefault="004A5BEC" w:rsidP="004A5BEC">
      <w:pPr>
        <w:spacing w:line="480" w:lineRule="auto"/>
        <w:ind w:firstLine="540"/>
        <w:jc w:val="both"/>
        <w:rPr>
          <w:rFonts w:ascii="Book Antiqua" w:hAnsi="Book Antiqua"/>
          <w:lang w:val="es-PR"/>
        </w:rPr>
      </w:pPr>
      <w:r w:rsidRPr="004A5BEC">
        <w:rPr>
          <w:rFonts w:ascii="Book Antiqua" w:hAnsi="Book Antiqua"/>
          <w:lang w:val="es-PR"/>
        </w:rPr>
        <w:lastRenderedPageBreak/>
        <w:t xml:space="preserve">Sección 1. — </w:t>
      </w:r>
      <w:r w:rsidR="00BE17DD" w:rsidRPr="00A611EA">
        <w:rPr>
          <w:rFonts w:ascii="Book Antiqua" w:hAnsi="Book Antiqua"/>
          <w:lang w:val="es-PR"/>
        </w:rPr>
        <w:t>Se ordena a la Comisión de Educación de la Cámara de Representantes realizar una investigación exhaustiva sobre la experiencia de la Pontificia Universidad Católica de Puerto Rico con su proyecto “Comedor Pionero de la Casa Común”.</w:t>
      </w:r>
    </w:p>
    <w:p w14:paraId="5B4E362D" w14:textId="77777777" w:rsidR="00BE17DD" w:rsidRDefault="004A5BEC" w:rsidP="00BE17DD">
      <w:pPr>
        <w:spacing w:line="480" w:lineRule="auto"/>
        <w:ind w:firstLine="540"/>
        <w:jc w:val="both"/>
        <w:rPr>
          <w:rFonts w:ascii="Book Antiqua" w:hAnsi="Book Antiqua"/>
          <w:lang w:val="es-PR"/>
        </w:rPr>
      </w:pPr>
      <w:r w:rsidRPr="004A5BEC">
        <w:rPr>
          <w:rFonts w:ascii="Book Antiqua" w:hAnsi="Book Antiqua"/>
          <w:lang w:val="es-PR"/>
        </w:rPr>
        <w:t xml:space="preserve">Sección 2. — </w:t>
      </w:r>
      <w:r w:rsidR="00BE17DD" w:rsidRPr="00A611EA">
        <w:rPr>
          <w:rFonts w:ascii="Book Antiqua" w:hAnsi="Book Antiqua"/>
          <w:lang w:val="es-PR"/>
        </w:rPr>
        <w:t>La investigación deberá incluir, sin limitarse a:</w:t>
      </w:r>
    </w:p>
    <w:p w14:paraId="3F74BD46" w14:textId="77777777" w:rsidR="00BE17DD" w:rsidRDefault="00BE17DD" w:rsidP="00BE17DD">
      <w:pPr>
        <w:spacing w:line="480" w:lineRule="auto"/>
        <w:ind w:firstLine="540"/>
        <w:jc w:val="both"/>
        <w:rPr>
          <w:rFonts w:ascii="Book Antiqua" w:hAnsi="Book Antiqua"/>
          <w:lang w:val="es-PR"/>
        </w:rPr>
      </w:pPr>
      <w:r w:rsidRPr="00A611EA">
        <w:rPr>
          <w:rFonts w:ascii="Book Antiqua" w:hAnsi="Book Antiqua"/>
          <w:lang w:val="es-PR"/>
        </w:rPr>
        <w:t>a) El diseño, implementación y operación del proyecto.</w:t>
      </w:r>
    </w:p>
    <w:p w14:paraId="314FDCB4" w14:textId="77777777" w:rsidR="00BE17DD" w:rsidRDefault="00BE17DD" w:rsidP="00BE17DD">
      <w:pPr>
        <w:spacing w:line="480" w:lineRule="auto"/>
        <w:ind w:firstLine="540"/>
        <w:jc w:val="both"/>
        <w:rPr>
          <w:rFonts w:ascii="Book Antiqua" w:hAnsi="Book Antiqua"/>
          <w:lang w:val="es-PR"/>
        </w:rPr>
      </w:pPr>
      <w:r w:rsidRPr="00A611EA">
        <w:rPr>
          <w:rFonts w:ascii="Book Antiqua" w:hAnsi="Book Antiqua"/>
          <w:lang w:val="es-PR"/>
        </w:rPr>
        <w:t>b) Los resultados obtenidos en términos de seguridad alimentaria, retención estudiantil y bienestar universitario.</w:t>
      </w:r>
    </w:p>
    <w:p w14:paraId="349F94C5" w14:textId="77777777" w:rsidR="00BE17DD" w:rsidRDefault="00BE17DD" w:rsidP="00BE17DD">
      <w:pPr>
        <w:spacing w:line="480" w:lineRule="auto"/>
        <w:ind w:firstLine="540"/>
        <w:jc w:val="both"/>
        <w:rPr>
          <w:rFonts w:ascii="Book Antiqua" w:hAnsi="Book Antiqua"/>
          <w:lang w:val="es-PR"/>
        </w:rPr>
      </w:pPr>
      <w:r w:rsidRPr="00A611EA">
        <w:rPr>
          <w:rFonts w:ascii="Book Antiqua" w:hAnsi="Book Antiqua"/>
          <w:lang w:val="es-PR"/>
        </w:rPr>
        <w:t>c) La sostenibilidad financiera y administrativa del modelo.</w:t>
      </w:r>
    </w:p>
    <w:p w14:paraId="7B1CF12E" w14:textId="77777777" w:rsidR="00BE17DD" w:rsidRDefault="00BE17DD" w:rsidP="00BE17DD">
      <w:pPr>
        <w:spacing w:line="480" w:lineRule="auto"/>
        <w:ind w:firstLine="540"/>
        <w:jc w:val="both"/>
        <w:rPr>
          <w:rFonts w:ascii="Book Antiqua" w:hAnsi="Book Antiqua"/>
          <w:lang w:val="es-PR"/>
        </w:rPr>
      </w:pPr>
      <w:r w:rsidRPr="00A611EA">
        <w:rPr>
          <w:rFonts w:ascii="Book Antiqua" w:hAnsi="Book Antiqua"/>
          <w:lang w:val="es-PR"/>
        </w:rPr>
        <w:t>d) La percepción de la comunidad universitaria sobre el impacto del proyecto.</w:t>
      </w:r>
    </w:p>
    <w:p w14:paraId="20A86173" w14:textId="69361173" w:rsidR="004A5BEC" w:rsidRDefault="00BE17DD" w:rsidP="00BE17DD">
      <w:pPr>
        <w:spacing w:line="480" w:lineRule="auto"/>
        <w:ind w:firstLine="540"/>
        <w:jc w:val="both"/>
        <w:rPr>
          <w:rFonts w:ascii="Book Antiqua" w:hAnsi="Book Antiqua"/>
          <w:lang w:val="es-PR"/>
        </w:rPr>
      </w:pPr>
      <w:r w:rsidRPr="00A611EA">
        <w:rPr>
          <w:rFonts w:ascii="Book Antiqua" w:hAnsi="Book Antiqua"/>
          <w:lang w:val="es-PR"/>
        </w:rPr>
        <w:t>e) La identificación de elementos que puedan ser adaptados o replicados en las instituciones públicas de enseñanza universitaria.</w:t>
      </w:r>
    </w:p>
    <w:p w14:paraId="76AF4354" w14:textId="15B6BDC3" w:rsidR="004A5BEC" w:rsidRPr="004A5BEC" w:rsidRDefault="004A5BEC" w:rsidP="004A5BEC">
      <w:pPr>
        <w:spacing w:line="480" w:lineRule="auto"/>
        <w:ind w:firstLine="540"/>
        <w:jc w:val="both"/>
        <w:rPr>
          <w:rFonts w:ascii="Book Antiqua" w:hAnsi="Book Antiqua"/>
          <w:lang w:val="es-PR"/>
        </w:rPr>
      </w:pPr>
      <w:r w:rsidRPr="004A5BEC">
        <w:rPr>
          <w:rFonts w:ascii="Book Antiqua" w:hAnsi="Book Antiqua"/>
          <w:lang w:val="es-PR"/>
        </w:rPr>
        <w:t xml:space="preserve">Sección 3. — </w:t>
      </w:r>
      <w:r w:rsidR="00BE17DD" w:rsidRPr="00A611EA">
        <w:rPr>
          <w:rFonts w:ascii="Book Antiqua" w:hAnsi="Book Antiqua"/>
          <w:lang w:val="es-PR"/>
        </w:rPr>
        <w:t>La Comisión de Educación deberá rendir un informe con sus hallazgos y recomendaciones a la Cámara de Representantes en un término no mayor de ciento veinte (120) días a partir de la aprobación de esta Resolución</w:t>
      </w:r>
      <w:r w:rsidRPr="004A5BEC">
        <w:rPr>
          <w:rFonts w:ascii="Book Antiqua" w:hAnsi="Book Antiqua"/>
          <w:lang w:val="es-PR"/>
        </w:rPr>
        <w:t>.</w:t>
      </w:r>
    </w:p>
    <w:p w14:paraId="033DE156" w14:textId="4F40AF62" w:rsidR="00301005" w:rsidRPr="004A5BEC" w:rsidRDefault="004A5BEC" w:rsidP="004A5BEC">
      <w:pPr>
        <w:spacing w:line="480" w:lineRule="auto"/>
        <w:ind w:firstLine="540"/>
        <w:jc w:val="both"/>
        <w:rPr>
          <w:rFonts w:ascii="Book Antiqua" w:hAnsi="Book Antiqua"/>
          <w:lang w:val="es-PR"/>
        </w:rPr>
      </w:pPr>
      <w:r w:rsidRPr="004A5BEC">
        <w:rPr>
          <w:rFonts w:ascii="Book Antiqua" w:hAnsi="Book Antiqua"/>
          <w:lang w:val="es-PR"/>
        </w:rPr>
        <w:t>Sección 4. — Esta Resolución comenzará a regir inmediatamente después de su aprobación.</w:t>
      </w:r>
    </w:p>
    <w:sectPr w:rsidR="00301005" w:rsidRPr="004A5BEC" w:rsidSect="008D4334">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C604C8" w14:textId="77777777" w:rsidR="00454BFE" w:rsidRDefault="00454BFE" w:rsidP="008D4334">
      <w:r>
        <w:separator/>
      </w:r>
    </w:p>
  </w:endnote>
  <w:endnote w:type="continuationSeparator" w:id="0">
    <w:p w14:paraId="3748F72F" w14:textId="77777777" w:rsidR="00454BFE" w:rsidRDefault="00454BFE" w:rsidP="008D43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B93CCF" w14:textId="77777777" w:rsidR="00454BFE" w:rsidRDefault="00454BFE" w:rsidP="008D4334">
      <w:r>
        <w:separator/>
      </w:r>
    </w:p>
  </w:footnote>
  <w:footnote w:type="continuationSeparator" w:id="0">
    <w:p w14:paraId="462B0372" w14:textId="77777777" w:rsidR="00454BFE" w:rsidRDefault="00454BFE" w:rsidP="008D43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9C452F" w14:textId="77777777" w:rsidR="008D4334" w:rsidRDefault="008D4334">
    <w:pPr>
      <w:pStyle w:val="Header"/>
      <w:jc w:val="center"/>
    </w:pPr>
    <w:r>
      <w:rPr>
        <w:rStyle w:val="PageNumber"/>
        <w:rFonts w:eastAsiaTheme="majorEastAsia"/>
      </w:rPr>
      <w:fldChar w:fldCharType="begin"/>
    </w:r>
    <w:r>
      <w:rPr>
        <w:rStyle w:val="PageNumber"/>
        <w:rFonts w:eastAsiaTheme="majorEastAsia"/>
      </w:rPr>
      <w:instrText xml:space="preserve"> PAGE </w:instrText>
    </w:r>
    <w:r>
      <w:rPr>
        <w:rStyle w:val="PageNumber"/>
        <w:rFonts w:eastAsiaTheme="majorEastAsia"/>
      </w:rPr>
      <w:fldChar w:fldCharType="separate"/>
    </w:r>
    <w:r>
      <w:rPr>
        <w:rStyle w:val="PageNumber"/>
        <w:rFonts w:eastAsiaTheme="majorEastAsia"/>
        <w:noProof/>
      </w:rPr>
      <w:t>3</w:t>
    </w:r>
    <w:r>
      <w:rPr>
        <w:rStyle w:val="PageNumber"/>
        <w:rFonts w:eastAsiaTheme="majorEastAsia"/>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0D3A48"/>
    <w:multiLevelType w:val="multilevel"/>
    <w:tmpl w:val="5A48DF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3DC10C2"/>
    <w:multiLevelType w:val="hybridMultilevel"/>
    <w:tmpl w:val="2AAEA326"/>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2" w15:restartNumberingAfterBreak="0">
    <w:nsid w:val="1A1432A5"/>
    <w:multiLevelType w:val="hybridMultilevel"/>
    <w:tmpl w:val="2DCA1D16"/>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3" w15:restartNumberingAfterBreak="0">
    <w:nsid w:val="1FCE6A74"/>
    <w:multiLevelType w:val="hybridMultilevel"/>
    <w:tmpl w:val="4F525F4A"/>
    <w:lvl w:ilvl="0" w:tplc="D34A6ABC">
      <w:start w:val="1"/>
      <w:numFmt w:val="lowerLetter"/>
      <w:lvlText w:val="%1."/>
      <w:lvlJc w:val="left"/>
      <w:pPr>
        <w:ind w:left="810" w:hanging="360"/>
      </w:pPr>
      <w:rPr>
        <w:rFonts w:hint="default"/>
      </w:rPr>
    </w:lvl>
    <w:lvl w:ilvl="1" w:tplc="500A0019" w:tentative="1">
      <w:start w:val="1"/>
      <w:numFmt w:val="lowerLetter"/>
      <w:lvlText w:val="%2."/>
      <w:lvlJc w:val="left"/>
      <w:pPr>
        <w:ind w:left="1530" w:hanging="360"/>
      </w:pPr>
    </w:lvl>
    <w:lvl w:ilvl="2" w:tplc="500A001B" w:tentative="1">
      <w:start w:val="1"/>
      <w:numFmt w:val="lowerRoman"/>
      <w:lvlText w:val="%3."/>
      <w:lvlJc w:val="right"/>
      <w:pPr>
        <w:ind w:left="2250" w:hanging="180"/>
      </w:pPr>
    </w:lvl>
    <w:lvl w:ilvl="3" w:tplc="500A000F" w:tentative="1">
      <w:start w:val="1"/>
      <w:numFmt w:val="decimal"/>
      <w:lvlText w:val="%4."/>
      <w:lvlJc w:val="left"/>
      <w:pPr>
        <w:ind w:left="2970" w:hanging="360"/>
      </w:pPr>
    </w:lvl>
    <w:lvl w:ilvl="4" w:tplc="500A0019" w:tentative="1">
      <w:start w:val="1"/>
      <w:numFmt w:val="lowerLetter"/>
      <w:lvlText w:val="%5."/>
      <w:lvlJc w:val="left"/>
      <w:pPr>
        <w:ind w:left="3690" w:hanging="360"/>
      </w:pPr>
    </w:lvl>
    <w:lvl w:ilvl="5" w:tplc="500A001B" w:tentative="1">
      <w:start w:val="1"/>
      <w:numFmt w:val="lowerRoman"/>
      <w:lvlText w:val="%6."/>
      <w:lvlJc w:val="right"/>
      <w:pPr>
        <w:ind w:left="4410" w:hanging="180"/>
      </w:pPr>
    </w:lvl>
    <w:lvl w:ilvl="6" w:tplc="500A000F" w:tentative="1">
      <w:start w:val="1"/>
      <w:numFmt w:val="decimal"/>
      <w:lvlText w:val="%7."/>
      <w:lvlJc w:val="left"/>
      <w:pPr>
        <w:ind w:left="5130" w:hanging="360"/>
      </w:pPr>
    </w:lvl>
    <w:lvl w:ilvl="7" w:tplc="500A0019" w:tentative="1">
      <w:start w:val="1"/>
      <w:numFmt w:val="lowerLetter"/>
      <w:lvlText w:val="%8."/>
      <w:lvlJc w:val="left"/>
      <w:pPr>
        <w:ind w:left="5850" w:hanging="360"/>
      </w:pPr>
    </w:lvl>
    <w:lvl w:ilvl="8" w:tplc="500A001B" w:tentative="1">
      <w:start w:val="1"/>
      <w:numFmt w:val="lowerRoman"/>
      <w:lvlText w:val="%9."/>
      <w:lvlJc w:val="right"/>
      <w:pPr>
        <w:ind w:left="6570" w:hanging="180"/>
      </w:pPr>
    </w:lvl>
  </w:abstractNum>
  <w:abstractNum w:abstractNumId="4" w15:restartNumberingAfterBreak="0">
    <w:nsid w:val="3A4A64EE"/>
    <w:multiLevelType w:val="multilevel"/>
    <w:tmpl w:val="B00078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D9F3862"/>
    <w:multiLevelType w:val="multilevel"/>
    <w:tmpl w:val="11D477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0C16BE0"/>
    <w:multiLevelType w:val="multilevel"/>
    <w:tmpl w:val="D8CCB1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87560710">
    <w:abstractNumId w:val="3"/>
  </w:num>
  <w:num w:numId="2" w16cid:durableId="1185247403">
    <w:abstractNumId w:val="1"/>
  </w:num>
  <w:num w:numId="3" w16cid:durableId="1717772066">
    <w:abstractNumId w:val="2"/>
  </w:num>
  <w:num w:numId="4" w16cid:durableId="761145574">
    <w:abstractNumId w:val="6"/>
  </w:num>
  <w:num w:numId="5" w16cid:durableId="1640842215">
    <w:abstractNumId w:val="5"/>
  </w:num>
  <w:num w:numId="6" w16cid:durableId="1627933528">
    <w:abstractNumId w:val="0"/>
  </w:num>
  <w:num w:numId="7" w16cid:durableId="2571037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4334"/>
    <w:rsid w:val="000E55ED"/>
    <w:rsid w:val="001428FD"/>
    <w:rsid w:val="0015389A"/>
    <w:rsid w:val="0017052F"/>
    <w:rsid w:val="00184C81"/>
    <w:rsid w:val="001C3503"/>
    <w:rsid w:val="0022652F"/>
    <w:rsid w:val="002B4555"/>
    <w:rsid w:val="002B7E7D"/>
    <w:rsid w:val="00301005"/>
    <w:rsid w:val="00324364"/>
    <w:rsid w:val="003570CA"/>
    <w:rsid w:val="003B5A06"/>
    <w:rsid w:val="003C2DE9"/>
    <w:rsid w:val="00436B03"/>
    <w:rsid w:val="00454BFE"/>
    <w:rsid w:val="004806E0"/>
    <w:rsid w:val="004A5635"/>
    <w:rsid w:val="004A5BEC"/>
    <w:rsid w:val="004D49CA"/>
    <w:rsid w:val="00561C91"/>
    <w:rsid w:val="00580088"/>
    <w:rsid w:val="00596C47"/>
    <w:rsid w:val="005A75B4"/>
    <w:rsid w:val="005D586C"/>
    <w:rsid w:val="00696EA6"/>
    <w:rsid w:val="006A03D1"/>
    <w:rsid w:val="006C7E8D"/>
    <w:rsid w:val="006E656D"/>
    <w:rsid w:val="00767533"/>
    <w:rsid w:val="00782477"/>
    <w:rsid w:val="007E51F7"/>
    <w:rsid w:val="0080390B"/>
    <w:rsid w:val="0081323D"/>
    <w:rsid w:val="00893801"/>
    <w:rsid w:val="008D4334"/>
    <w:rsid w:val="00914CDE"/>
    <w:rsid w:val="00930A1C"/>
    <w:rsid w:val="00967B2B"/>
    <w:rsid w:val="009A477D"/>
    <w:rsid w:val="009F3381"/>
    <w:rsid w:val="00A168D5"/>
    <w:rsid w:val="00A32B58"/>
    <w:rsid w:val="00A35350"/>
    <w:rsid w:val="00A56826"/>
    <w:rsid w:val="00AB6A71"/>
    <w:rsid w:val="00AD3F86"/>
    <w:rsid w:val="00B606AF"/>
    <w:rsid w:val="00BA1EBE"/>
    <w:rsid w:val="00BA379B"/>
    <w:rsid w:val="00BB7DD5"/>
    <w:rsid w:val="00BC7AF1"/>
    <w:rsid w:val="00BE17DD"/>
    <w:rsid w:val="00C12B7A"/>
    <w:rsid w:val="00C60C57"/>
    <w:rsid w:val="00C9604C"/>
    <w:rsid w:val="00CC1749"/>
    <w:rsid w:val="00CF3631"/>
    <w:rsid w:val="00D357EF"/>
    <w:rsid w:val="00D849A2"/>
    <w:rsid w:val="00DE4320"/>
    <w:rsid w:val="00E74A86"/>
    <w:rsid w:val="00EC0C37"/>
    <w:rsid w:val="00EC54BA"/>
    <w:rsid w:val="00EF75A2"/>
    <w:rsid w:val="00F0013C"/>
    <w:rsid w:val="00F073B8"/>
    <w:rsid w:val="00F35CF1"/>
    <w:rsid w:val="00F446CC"/>
    <w:rsid w:val="00F63DBD"/>
    <w:rsid w:val="00F971C5"/>
    <w:rsid w:val="00FA35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891773"/>
  <w15:chartTrackingRefBased/>
  <w15:docId w15:val="{F408F56E-E300-4734-8C2D-41ABB6E4CC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4334"/>
    <w:pPr>
      <w:spacing w:after="0" w:line="240" w:lineRule="auto"/>
    </w:pPr>
    <w:rPr>
      <w:rFonts w:ascii="Times New Roman" w:eastAsia="Times New Roman" w:hAnsi="Times New Roman" w:cs="Times New Roman"/>
      <w:kern w:val="0"/>
      <w:szCs w:val="20"/>
      <w14:ligatures w14:val="none"/>
    </w:rPr>
  </w:style>
  <w:style w:type="paragraph" w:styleId="Heading1">
    <w:name w:val="heading 1"/>
    <w:basedOn w:val="Normal"/>
    <w:next w:val="Normal"/>
    <w:link w:val="Heading1Char"/>
    <w:uiPriority w:val="9"/>
    <w:qFormat/>
    <w:rsid w:val="008D4334"/>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8D4334"/>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8D4334"/>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8D4334"/>
    <w:pPr>
      <w:keepNext/>
      <w:keepLines/>
      <w:spacing w:before="80" w:after="40" w:line="278" w:lineRule="auto"/>
      <w:outlineLvl w:val="3"/>
    </w:pPr>
    <w:rPr>
      <w:rFonts w:asciiTheme="minorHAnsi" w:eastAsiaTheme="majorEastAsia" w:hAnsiTheme="minorHAnsi" w:cstheme="majorBidi"/>
      <w:i/>
      <w:iCs/>
      <w:color w:val="0F4761" w:themeColor="accent1" w:themeShade="BF"/>
      <w:kern w:val="2"/>
      <w:szCs w:val="24"/>
      <w14:ligatures w14:val="standardContextual"/>
    </w:rPr>
  </w:style>
  <w:style w:type="paragraph" w:styleId="Heading5">
    <w:name w:val="heading 5"/>
    <w:basedOn w:val="Normal"/>
    <w:next w:val="Normal"/>
    <w:link w:val="Heading5Char"/>
    <w:uiPriority w:val="9"/>
    <w:semiHidden/>
    <w:unhideWhenUsed/>
    <w:qFormat/>
    <w:rsid w:val="008D4334"/>
    <w:pPr>
      <w:keepNext/>
      <w:keepLines/>
      <w:spacing w:before="80" w:after="40" w:line="278" w:lineRule="auto"/>
      <w:outlineLvl w:val="4"/>
    </w:pPr>
    <w:rPr>
      <w:rFonts w:asciiTheme="minorHAnsi" w:eastAsiaTheme="majorEastAsia" w:hAnsiTheme="minorHAnsi" w:cstheme="majorBidi"/>
      <w:color w:val="0F4761" w:themeColor="accent1" w:themeShade="BF"/>
      <w:kern w:val="2"/>
      <w:szCs w:val="24"/>
      <w14:ligatures w14:val="standardContextual"/>
    </w:rPr>
  </w:style>
  <w:style w:type="paragraph" w:styleId="Heading6">
    <w:name w:val="heading 6"/>
    <w:basedOn w:val="Normal"/>
    <w:next w:val="Normal"/>
    <w:link w:val="Heading6Char"/>
    <w:uiPriority w:val="9"/>
    <w:semiHidden/>
    <w:unhideWhenUsed/>
    <w:qFormat/>
    <w:rsid w:val="008D4334"/>
    <w:pPr>
      <w:keepNext/>
      <w:keepLines/>
      <w:spacing w:before="40" w:line="278" w:lineRule="auto"/>
      <w:outlineLvl w:val="5"/>
    </w:pPr>
    <w:rPr>
      <w:rFonts w:asciiTheme="minorHAnsi" w:eastAsiaTheme="majorEastAsia" w:hAnsiTheme="minorHAnsi" w:cstheme="majorBidi"/>
      <w:i/>
      <w:iCs/>
      <w:color w:val="595959" w:themeColor="text1" w:themeTint="A6"/>
      <w:kern w:val="2"/>
      <w:szCs w:val="24"/>
      <w14:ligatures w14:val="standardContextual"/>
    </w:rPr>
  </w:style>
  <w:style w:type="paragraph" w:styleId="Heading7">
    <w:name w:val="heading 7"/>
    <w:basedOn w:val="Normal"/>
    <w:next w:val="Normal"/>
    <w:link w:val="Heading7Char"/>
    <w:uiPriority w:val="9"/>
    <w:semiHidden/>
    <w:unhideWhenUsed/>
    <w:qFormat/>
    <w:rsid w:val="008D4334"/>
    <w:pPr>
      <w:keepNext/>
      <w:keepLines/>
      <w:spacing w:before="40" w:line="278" w:lineRule="auto"/>
      <w:outlineLvl w:val="6"/>
    </w:pPr>
    <w:rPr>
      <w:rFonts w:asciiTheme="minorHAnsi" w:eastAsiaTheme="majorEastAsia" w:hAnsiTheme="minorHAnsi" w:cstheme="majorBidi"/>
      <w:color w:val="595959" w:themeColor="text1" w:themeTint="A6"/>
      <w:kern w:val="2"/>
      <w:szCs w:val="24"/>
      <w14:ligatures w14:val="standardContextual"/>
    </w:rPr>
  </w:style>
  <w:style w:type="paragraph" w:styleId="Heading8">
    <w:name w:val="heading 8"/>
    <w:basedOn w:val="Normal"/>
    <w:next w:val="Normal"/>
    <w:link w:val="Heading8Char"/>
    <w:uiPriority w:val="9"/>
    <w:semiHidden/>
    <w:unhideWhenUsed/>
    <w:qFormat/>
    <w:rsid w:val="008D4334"/>
    <w:pPr>
      <w:keepNext/>
      <w:keepLines/>
      <w:spacing w:line="278" w:lineRule="auto"/>
      <w:outlineLvl w:val="7"/>
    </w:pPr>
    <w:rPr>
      <w:rFonts w:asciiTheme="minorHAnsi" w:eastAsiaTheme="majorEastAsia" w:hAnsiTheme="minorHAnsi" w:cstheme="majorBidi"/>
      <w:i/>
      <w:iCs/>
      <w:color w:val="272727" w:themeColor="text1" w:themeTint="D8"/>
      <w:kern w:val="2"/>
      <w:szCs w:val="24"/>
      <w14:ligatures w14:val="standardContextual"/>
    </w:rPr>
  </w:style>
  <w:style w:type="paragraph" w:styleId="Heading9">
    <w:name w:val="heading 9"/>
    <w:basedOn w:val="Normal"/>
    <w:next w:val="Normal"/>
    <w:link w:val="Heading9Char"/>
    <w:uiPriority w:val="9"/>
    <w:semiHidden/>
    <w:unhideWhenUsed/>
    <w:qFormat/>
    <w:rsid w:val="008D4334"/>
    <w:pPr>
      <w:keepNext/>
      <w:keepLines/>
      <w:spacing w:line="278" w:lineRule="auto"/>
      <w:outlineLvl w:val="8"/>
    </w:pPr>
    <w:rPr>
      <w:rFonts w:asciiTheme="minorHAnsi" w:eastAsiaTheme="majorEastAsia" w:hAnsiTheme="minorHAnsi" w:cstheme="majorBidi"/>
      <w:color w:val="272727" w:themeColor="text1" w:themeTint="D8"/>
      <w:kern w:val="2"/>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D433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D433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D433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D433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D433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D433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D433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D433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D4334"/>
    <w:rPr>
      <w:rFonts w:eastAsiaTheme="majorEastAsia" w:cstheme="majorBidi"/>
      <w:color w:val="272727" w:themeColor="text1" w:themeTint="D8"/>
    </w:rPr>
  </w:style>
  <w:style w:type="paragraph" w:styleId="Title">
    <w:name w:val="Title"/>
    <w:basedOn w:val="Normal"/>
    <w:next w:val="Normal"/>
    <w:link w:val="TitleChar"/>
    <w:uiPriority w:val="10"/>
    <w:qFormat/>
    <w:rsid w:val="008D4334"/>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8D433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D4334"/>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8D433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D4334"/>
    <w:pPr>
      <w:spacing w:before="160" w:after="160" w:line="278" w:lineRule="auto"/>
      <w:jc w:val="center"/>
    </w:pPr>
    <w:rPr>
      <w:rFonts w:asciiTheme="minorHAnsi" w:eastAsiaTheme="minorHAnsi" w:hAnsiTheme="minorHAnsi" w:cstheme="minorBidi"/>
      <w:i/>
      <w:iCs/>
      <w:color w:val="404040" w:themeColor="text1" w:themeTint="BF"/>
      <w:kern w:val="2"/>
      <w:szCs w:val="24"/>
      <w14:ligatures w14:val="standardContextual"/>
    </w:rPr>
  </w:style>
  <w:style w:type="character" w:customStyle="1" w:styleId="QuoteChar">
    <w:name w:val="Quote Char"/>
    <w:basedOn w:val="DefaultParagraphFont"/>
    <w:link w:val="Quote"/>
    <w:uiPriority w:val="29"/>
    <w:rsid w:val="008D4334"/>
    <w:rPr>
      <w:i/>
      <w:iCs/>
      <w:color w:val="404040" w:themeColor="text1" w:themeTint="BF"/>
    </w:rPr>
  </w:style>
  <w:style w:type="paragraph" w:styleId="ListParagraph">
    <w:name w:val="List Paragraph"/>
    <w:basedOn w:val="Normal"/>
    <w:uiPriority w:val="34"/>
    <w:qFormat/>
    <w:rsid w:val="008D4334"/>
    <w:pPr>
      <w:spacing w:after="160" w:line="278" w:lineRule="auto"/>
      <w:ind w:left="720"/>
      <w:contextualSpacing/>
    </w:pPr>
    <w:rPr>
      <w:rFonts w:asciiTheme="minorHAnsi" w:eastAsiaTheme="minorHAnsi" w:hAnsiTheme="minorHAnsi" w:cstheme="minorBidi"/>
      <w:kern w:val="2"/>
      <w:szCs w:val="24"/>
      <w14:ligatures w14:val="standardContextual"/>
    </w:rPr>
  </w:style>
  <w:style w:type="character" w:styleId="IntenseEmphasis">
    <w:name w:val="Intense Emphasis"/>
    <w:basedOn w:val="DefaultParagraphFont"/>
    <w:uiPriority w:val="21"/>
    <w:qFormat/>
    <w:rsid w:val="008D4334"/>
    <w:rPr>
      <w:i/>
      <w:iCs/>
      <w:color w:val="0F4761" w:themeColor="accent1" w:themeShade="BF"/>
    </w:rPr>
  </w:style>
  <w:style w:type="paragraph" w:styleId="IntenseQuote">
    <w:name w:val="Intense Quote"/>
    <w:basedOn w:val="Normal"/>
    <w:next w:val="Normal"/>
    <w:link w:val="IntenseQuoteChar"/>
    <w:uiPriority w:val="30"/>
    <w:qFormat/>
    <w:rsid w:val="008D4334"/>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szCs w:val="24"/>
      <w14:ligatures w14:val="standardContextual"/>
    </w:rPr>
  </w:style>
  <w:style w:type="character" w:customStyle="1" w:styleId="IntenseQuoteChar">
    <w:name w:val="Intense Quote Char"/>
    <w:basedOn w:val="DefaultParagraphFont"/>
    <w:link w:val="IntenseQuote"/>
    <w:uiPriority w:val="30"/>
    <w:rsid w:val="008D4334"/>
    <w:rPr>
      <w:i/>
      <w:iCs/>
      <w:color w:val="0F4761" w:themeColor="accent1" w:themeShade="BF"/>
    </w:rPr>
  </w:style>
  <w:style w:type="character" w:styleId="IntenseReference">
    <w:name w:val="Intense Reference"/>
    <w:basedOn w:val="DefaultParagraphFont"/>
    <w:uiPriority w:val="32"/>
    <w:qFormat/>
    <w:rsid w:val="008D4334"/>
    <w:rPr>
      <w:b/>
      <w:bCs/>
      <w:smallCaps/>
      <w:color w:val="0F4761" w:themeColor="accent1" w:themeShade="BF"/>
      <w:spacing w:val="5"/>
    </w:rPr>
  </w:style>
  <w:style w:type="paragraph" w:customStyle="1" w:styleId="Title2">
    <w:name w:val="Title2"/>
    <w:basedOn w:val="Normal"/>
    <w:next w:val="Normal"/>
    <w:rsid w:val="008D4334"/>
    <w:pPr>
      <w:tabs>
        <w:tab w:val="left" w:pos="648"/>
        <w:tab w:val="right" w:pos="7776"/>
        <w:tab w:val="left" w:pos="7848"/>
      </w:tabs>
    </w:pPr>
  </w:style>
  <w:style w:type="paragraph" w:styleId="Header">
    <w:name w:val="header"/>
    <w:basedOn w:val="Normal"/>
    <w:link w:val="HeaderChar"/>
    <w:rsid w:val="008D4334"/>
    <w:pPr>
      <w:tabs>
        <w:tab w:val="center" w:pos="4320"/>
        <w:tab w:val="right" w:pos="8640"/>
      </w:tabs>
    </w:pPr>
  </w:style>
  <w:style w:type="character" w:customStyle="1" w:styleId="HeaderChar">
    <w:name w:val="Header Char"/>
    <w:basedOn w:val="DefaultParagraphFont"/>
    <w:link w:val="Header"/>
    <w:rsid w:val="008D4334"/>
    <w:rPr>
      <w:rFonts w:ascii="Times New Roman" w:eastAsia="Times New Roman" w:hAnsi="Times New Roman" w:cs="Times New Roman"/>
      <w:kern w:val="0"/>
      <w:szCs w:val="20"/>
      <w14:ligatures w14:val="none"/>
    </w:rPr>
  </w:style>
  <w:style w:type="character" w:styleId="PageNumber">
    <w:name w:val="page number"/>
    <w:basedOn w:val="DefaultParagraphFont"/>
    <w:rsid w:val="008D4334"/>
  </w:style>
  <w:style w:type="paragraph" w:styleId="FootnoteText">
    <w:name w:val="footnote text"/>
    <w:basedOn w:val="Normal"/>
    <w:link w:val="FootnoteTextChar"/>
    <w:uiPriority w:val="99"/>
    <w:semiHidden/>
    <w:unhideWhenUsed/>
    <w:rsid w:val="008D4334"/>
    <w:rPr>
      <w:sz w:val="20"/>
    </w:rPr>
  </w:style>
  <w:style w:type="character" w:customStyle="1" w:styleId="FootnoteTextChar">
    <w:name w:val="Footnote Text Char"/>
    <w:basedOn w:val="DefaultParagraphFont"/>
    <w:link w:val="FootnoteText"/>
    <w:uiPriority w:val="99"/>
    <w:semiHidden/>
    <w:rsid w:val="008D4334"/>
    <w:rPr>
      <w:rFonts w:ascii="Times New Roman" w:eastAsia="Times New Roman" w:hAnsi="Times New Roman" w:cs="Times New Roman"/>
      <w:kern w:val="0"/>
      <w:sz w:val="20"/>
      <w:szCs w:val="20"/>
      <w14:ligatures w14:val="none"/>
    </w:rPr>
  </w:style>
  <w:style w:type="character" w:styleId="FootnoteReference">
    <w:name w:val="footnote reference"/>
    <w:basedOn w:val="DefaultParagraphFont"/>
    <w:uiPriority w:val="99"/>
    <w:semiHidden/>
    <w:unhideWhenUsed/>
    <w:rsid w:val="008D4334"/>
    <w:rPr>
      <w:vertAlign w:val="superscript"/>
    </w:rPr>
  </w:style>
  <w:style w:type="character" w:styleId="LineNumber">
    <w:name w:val="line number"/>
    <w:basedOn w:val="DefaultParagraphFont"/>
    <w:uiPriority w:val="99"/>
    <w:semiHidden/>
    <w:unhideWhenUsed/>
    <w:rsid w:val="008D433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378448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806</Words>
  <Characters>4419</Characters>
  <Application>Microsoft Office Word</Application>
  <DocSecurity>4</DocSecurity>
  <Lines>99</Lines>
  <Paragraphs>35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J. Marín Martínez</dc:creator>
  <cp:keywords/>
  <dc:description/>
  <cp:lastModifiedBy>Camyl Moreno Pantojas</cp:lastModifiedBy>
  <cp:revision>2</cp:revision>
  <cp:lastPrinted>2025-12-19T19:10:00Z</cp:lastPrinted>
  <dcterms:created xsi:type="dcterms:W3CDTF">2025-12-19T19:52:00Z</dcterms:created>
  <dcterms:modified xsi:type="dcterms:W3CDTF">2025-12-19T19:52:00Z</dcterms:modified>
</cp:coreProperties>
</file>