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A3A74" w14:textId="77777777" w:rsidR="00F225D0" w:rsidRPr="00371100" w:rsidRDefault="00F225D0" w:rsidP="00F225D0">
      <w:pPr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37110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371100">
        <w:rPr>
          <w:rFonts w:ascii="Book Antiqua" w:hAnsi="Book Antiqua"/>
          <w:szCs w:val="24"/>
          <w:lang w:val="es-PR"/>
        </w:rPr>
        <w:fldChar w:fldCharType="begin"/>
      </w:r>
      <w:r w:rsidRPr="0037110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371100">
        <w:rPr>
          <w:rFonts w:ascii="Book Antiqua" w:hAnsi="Book Antiqua"/>
          <w:szCs w:val="24"/>
          <w:lang w:val="es-PR"/>
        </w:rPr>
        <w:fldChar w:fldCharType="end"/>
      </w:r>
    </w:p>
    <w:p w14:paraId="3EF1443D" w14:textId="61D3ABD6" w:rsidR="00F225D0" w:rsidRPr="00371100" w:rsidRDefault="00F225D0" w:rsidP="00F225D0">
      <w:pPr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371100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 xml:space="preserve">12 </w:t>
      </w:r>
      <w:r w:rsidRPr="00371100">
        <w:rPr>
          <w:rFonts w:ascii="Book Antiqua" w:hAnsi="Book Antiqua"/>
          <w:b/>
          <w:bCs/>
          <w:szCs w:val="24"/>
          <w:lang w:val="es-PR"/>
        </w:rPr>
        <w:t xml:space="preserve">DE </w:t>
      </w:r>
      <w:r>
        <w:rPr>
          <w:rFonts w:ascii="Book Antiqua" w:hAnsi="Book Antiqua"/>
          <w:b/>
          <w:bCs/>
          <w:szCs w:val="24"/>
          <w:lang w:val="es-PR"/>
        </w:rPr>
        <w:t>MARZO</w:t>
      </w:r>
      <w:r w:rsidRPr="00371100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52F468D3" w14:textId="2FB53BD8" w:rsidR="00F225D0" w:rsidRPr="00F225D0" w:rsidRDefault="00F225D0" w:rsidP="00F225D0">
      <w:pPr>
        <w:tabs>
          <w:tab w:val="center" w:pos="4680"/>
        </w:tabs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371100">
        <w:rPr>
          <w:rFonts w:ascii="Book Antiqua" w:hAnsi="Book Antiqua"/>
          <w:noProof/>
          <w:sz w:val="28"/>
          <w:szCs w:val="28"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0F13BA6" wp14:editId="642DE01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BB66D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AFBEF65" w14:textId="71D351C2" w:rsidR="00FA6DD5" w:rsidRPr="0088232A" w:rsidRDefault="00FA6DD5" w:rsidP="00FA6DD5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 w:rsidRPr="0088232A">
        <w:rPr>
          <w:rFonts w:ascii="Book Antiqua" w:hAnsi="Book Antiqua"/>
          <w:bCs/>
          <w:sz w:val="28"/>
          <w:szCs w:val="28"/>
          <w:lang w:val="es-PR"/>
        </w:rPr>
        <w:t>GOBIERNO DE PUERTO RICO</w:t>
      </w:r>
    </w:p>
    <w:p w14:paraId="7E1BBCCB" w14:textId="77777777" w:rsidR="00FA6DD5" w:rsidRPr="0028630F" w:rsidRDefault="00FA6DD5" w:rsidP="00FA6DD5">
      <w:pPr>
        <w:widowControl w:val="0"/>
        <w:suppressAutoHyphens/>
        <w:ind w:firstLine="720"/>
        <w:jc w:val="center"/>
        <w:rPr>
          <w:rFonts w:ascii="Book Antiqua" w:hAnsi="Book Antiqua"/>
          <w:szCs w:val="24"/>
          <w:lang w:val="es-ES_tradnl"/>
        </w:rPr>
      </w:pPr>
    </w:p>
    <w:p w14:paraId="0926C66A" w14:textId="7FF91CEC" w:rsidR="00FA6DD5" w:rsidRPr="0028630F" w:rsidRDefault="00FA6DD5" w:rsidP="0028630F">
      <w:pPr>
        <w:rPr>
          <w:rFonts w:ascii="Book Antiqua" w:eastAsia="Calibri" w:hAnsi="Book Antiqua"/>
          <w:szCs w:val="24"/>
          <w:lang w:val="es-PR"/>
        </w:rPr>
      </w:pPr>
      <w:r w:rsidRPr="0028630F">
        <w:rPr>
          <w:rFonts w:ascii="Book Antiqua" w:eastAsia="Calibri" w:hAnsi="Book Antiqua"/>
          <w:szCs w:val="24"/>
          <w:lang w:val="es-PR"/>
        </w:rPr>
        <w:t>20ma. Asamblea</w:t>
      </w:r>
      <w:r w:rsidRPr="0028630F">
        <w:rPr>
          <w:rFonts w:ascii="Book Antiqua" w:eastAsia="Calibri" w:hAnsi="Book Antiqua"/>
          <w:szCs w:val="24"/>
          <w:lang w:val="es-PR"/>
        </w:rPr>
        <w:tab/>
      </w:r>
      <w:r w:rsidR="0028630F" w:rsidRPr="0028630F">
        <w:rPr>
          <w:rFonts w:ascii="Book Antiqua" w:eastAsia="Calibri" w:hAnsi="Book Antiqua"/>
          <w:szCs w:val="24"/>
          <w:lang w:val="es-PR"/>
        </w:rPr>
        <w:t xml:space="preserve">                                                                                              </w:t>
      </w:r>
      <w:r w:rsidR="0028630F">
        <w:rPr>
          <w:rFonts w:ascii="Book Antiqua" w:eastAsia="Calibri" w:hAnsi="Book Antiqua"/>
          <w:szCs w:val="24"/>
          <w:lang w:val="es-PR"/>
        </w:rPr>
        <w:t xml:space="preserve"> </w:t>
      </w:r>
      <w:r w:rsidR="0024694F" w:rsidRPr="0028630F">
        <w:rPr>
          <w:rFonts w:ascii="Book Antiqua" w:eastAsia="Calibri" w:hAnsi="Book Antiqua"/>
          <w:szCs w:val="24"/>
          <w:lang w:val="es-PR"/>
        </w:rPr>
        <w:t>3r</w:t>
      </w:r>
      <w:r w:rsidRPr="0028630F">
        <w:rPr>
          <w:rFonts w:ascii="Book Antiqua" w:eastAsia="Calibri" w:hAnsi="Book Antiqua"/>
          <w:szCs w:val="24"/>
          <w:lang w:val="es-PR"/>
        </w:rPr>
        <w:t>a.</w:t>
      </w:r>
      <w:r w:rsidR="0028630F" w:rsidRPr="0028630F">
        <w:rPr>
          <w:rFonts w:ascii="Book Antiqua" w:eastAsia="Calibri" w:hAnsi="Book Antiqua"/>
          <w:szCs w:val="24"/>
          <w:lang w:val="es-PR"/>
        </w:rPr>
        <w:t xml:space="preserve"> </w:t>
      </w:r>
      <w:r w:rsidRPr="0028630F">
        <w:rPr>
          <w:rFonts w:ascii="Book Antiqua" w:eastAsia="Calibri" w:hAnsi="Book Antiqua"/>
          <w:szCs w:val="24"/>
          <w:lang w:val="es-PR"/>
        </w:rPr>
        <w:t>Sesión</w:t>
      </w:r>
    </w:p>
    <w:p w14:paraId="2F967DFE" w14:textId="3E741817" w:rsidR="00FA6DD5" w:rsidRPr="0028630F" w:rsidRDefault="00FA6DD5" w:rsidP="0028630F">
      <w:pPr>
        <w:widowControl w:val="0"/>
        <w:suppressAutoHyphens/>
        <w:ind w:firstLine="720"/>
        <w:jc w:val="both"/>
        <w:rPr>
          <w:rFonts w:ascii="Book Antiqua" w:hAnsi="Book Antiqua"/>
          <w:spacing w:val="-3"/>
          <w:szCs w:val="24"/>
          <w:lang w:val="es-PR"/>
        </w:rPr>
      </w:pPr>
      <w:r w:rsidRPr="0028630F">
        <w:rPr>
          <w:rFonts w:ascii="Book Antiqua" w:hAnsi="Book Antiqua"/>
          <w:szCs w:val="24"/>
          <w:lang w:val="es-PR"/>
        </w:rPr>
        <w:t>Legislativa</w:t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</w:r>
      <w:r w:rsidRPr="0028630F">
        <w:rPr>
          <w:rFonts w:ascii="Book Antiqua" w:hAnsi="Book Antiqua"/>
          <w:szCs w:val="24"/>
          <w:lang w:val="es-PR"/>
        </w:rPr>
        <w:tab/>
        <w:t xml:space="preserve">           </w:t>
      </w:r>
      <w:r w:rsidR="0028630F" w:rsidRPr="0028630F">
        <w:rPr>
          <w:rFonts w:ascii="Book Antiqua" w:hAnsi="Book Antiqua"/>
          <w:szCs w:val="24"/>
          <w:lang w:val="es-PR"/>
        </w:rPr>
        <w:t xml:space="preserve">       </w:t>
      </w:r>
      <w:r w:rsidRPr="0028630F">
        <w:rPr>
          <w:rFonts w:ascii="Book Antiqua" w:hAnsi="Book Antiqua"/>
          <w:szCs w:val="24"/>
          <w:lang w:val="es-PR"/>
        </w:rPr>
        <w:t>Ordinaria</w:t>
      </w:r>
    </w:p>
    <w:p w14:paraId="3B6C3691" w14:textId="77777777" w:rsidR="00FA6DD5" w:rsidRPr="0028630F" w:rsidRDefault="00FA6DD5" w:rsidP="0028630F">
      <w:pPr>
        <w:widowControl w:val="0"/>
        <w:suppressAutoHyphens/>
        <w:ind w:firstLine="720"/>
        <w:jc w:val="both"/>
        <w:rPr>
          <w:rFonts w:ascii="Book Antiqua" w:hAnsi="Book Antiqua"/>
          <w:spacing w:val="-3"/>
          <w:szCs w:val="24"/>
          <w:lang w:val="es-PR"/>
        </w:rPr>
      </w:pPr>
    </w:p>
    <w:p w14:paraId="4176227B" w14:textId="77777777" w:rsidR="00FA6DD5" w:rsidRPr="0028630F" w:rsidRDefault="00FA6DD5" w:rsidP="00FA6DD5">
      <w:pPr>
        <w:widowControl w:val="0"/>
        <w:suppressAutoHyphen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28630F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6C159F4C" w14:textId="77777777" w:rsidR="00FA6DD5" w:rsidRPr="0028630F" w:rsidRDefault="00FA6DD5" w:rsidP="00FA6DD5">
      <w:pPr>
        <w:suppressLineNumbers/>
        <w:jc w:val="center"/>
        <w:rPr>
          <w:rFonts w:ascii="Book Antiqua" w:eastAsia="Calibri" w:hAnsi="Book Antiqua"/>
          <w:b/>
          <w:szCs w:val="24"/>
          <w:lang w:val="es-ES_tradnl"/>
        </w:rPr>
      </w:pPr>
    </w:p>
    <w:p w14:paraId="148D25EA" w14:textId="57EA3909" w:rsidR="00FA6DD5" w:rsidRPr="0028630F" w:rsidRDefault="00FA6DD5" w:rsidP="00FA6DD5">
      <w:pPr>
        <w:suppressLineNumbers/>
        <w:jc w:val="center"/>
        <w:rPr>
          <w:rFonts w:ascii="Book Antiqua" w:eastAsia="Calibri" w:hAnsi="Book Antiqua"/>
          <w:b/>
          <w:sz w:val="52"/>
          <w:szCs w:val="52"/>
          <w:lang w:val="es-PR"/>
        </w:rPr>
      </w:pPr>
      <w:r w:rsidRPr="0028630F">
        <w:rPr>
          <w:rFonts w:ascii="Book Antiqua" w:eastAsia="Calibri" w:hAnsi="Book Antiqua"/>
          <w:b/>
          <w:sz w:val="52"/>
          <w:szCs w:val="52"/>
          <w:lang w:val="es-ES"/>
        </w:rPr>
        <w:t>P. de la C.</w:t>
      </w:r>
      <w:r w:rsidR="00461B96" w:rsidRPr="0028630F">
        <w:rPr>
          <w:rFonts w:ascii="Book Antiqua" w:eastAsia="Calibri" w:hAnsi="Book Antiqua"/>
          <w:b/>
          <w:sz w:val="52"/>
          <w:szCs w:val="52"/>
          <w:lang w:val="es-ES"/>
        </w:rPr>
        <w:t xml:space="preserve"> 1004</w:t>
      </w:r>
    </w:p>
    <w:p w14:paraId="05F44CDD" w14:textId="77777777" w:rsidR="00FA6DD5" w:rsidRPr="0028630F" w:rsidRDefault="00FA6DD5" w:rsidP="00FA6DD5">
      <w:pPr>
        <w:suppressLineNumbers/>
        <w:jc w:val="center"/>
        <w:rPr>
          <w:rFonts w:ascii="Book Antiqua" w:eastAsia="Calibri" w:hAnsi="Book Antiqua"/>
          <w:b/>
          <w:szCs w:val="24"/>
          <w:lang w:val="es-ES"/>
        </w:rPr>
      </w:pPr>
    </w:p>
    <w:p w14:paraId="08357F5F" w14:textId="2924F928" w:rsidR="00FA6DD5" w:rsidRPr="0028630F" w:rsidRDefault="00810A2B" w:rsidP="00FA6DD5">
      <w:pPr>
        <w:suppressLineNumbers/>
        <w:jc w:val="center"/>
        <w:rPr>
          <w:rFonts w:ascii="Book Antiqua" w:eastAsia="Calibri" w:hAnsi="Book Antiqua"/>
          <w:szCs w:val="24"/>
          <w:lang w:val="es-ES"/>
        </w:rPr>
      </w:pPr>
      <w:r w:rsidRPr="0028630F">
        <w:rPr>
          <w:rFonts w:ascii="Book Antiqua" w:eastAsia="Calibri" w:hAnsi="Book Antiqua"/>
          <w:szCs w:val="24"/>
          <w:lang w:val="es-ES"/>
        </w:rPr>
        <w:t xml:space="preserve">7 </w:t>
      </w:r>
      <w:r w:rsidR="00FA6DD5" w:rsidRPr="0028630F">
        <w:rPr>
          <w:rFonts w:ascii="Book Antiqua" w:eastAsia="Calibri" w:hAnsi="Book Antiqua"/>
          <w:szCs w:val="24"/>
          <w:lang w:val="es-ES"/>
        </w:rPr>
        <w:t xml:space="preserve">DE </w:t>
      </w:r>
      <w:r w:rsidR="0024694F" w:rsidRPr="0028630F">
        <w:rPr>
          <w:rFonts w:ascii="Book Antiqua" w:eastAsia="Calibri" w:hAnsi="Book Antiqua"/>
          <w:szCs w:val="24"/>
          <w:lang w:val="es-ES"/>
        </w:rPr>
        <w:t>ENERO</w:t>
      </w:r>
      <w:r w:rsidR="00FA6DD5" w:rsidRPr="0028630F">
        <w:rPr>
          <w:rFonts w:ascii="Book Antiqua" w:eastAsia="Calibri" w:hAnsi="Book Antiqua"/>
          <w:szCs w:val="24"/>
          <w:lang w:val="es-ES"/>
        </w:rPr>
        <w:t xml:space="preserve"> DE 202</w:t>
      </w:r>
      <w:r w:rsidR="00461B96" w:rsidRPr="0028630F">
        <w:rPr>
          <w:rFonts w:ascii="Book Antiqua" w:eastAsia="Calibri" w:hAnsi="Book Antiqua"/>
          <w:szCs w:val="24"/>
          <w:lang w:val="es-ES"/>
        </w:rPr>
        <w:t>6</w:t>
      </w:r>
    </w:p>
    <w:p w14:paraId="07642520" w14:textId="77777777" w:rsidR="00FA6DD5" w:rsidRPr="0028630F" w:rsidRDefault="00FA6DD5" w:rsidP="00FA6DD5">
      <w:pPr>
        <w:suppressLineNumbers/>
        <w:jc w:val="center"/>
        <w:rPr>
          <w:rFonts w:ascii="Book Antiqua" w:eastAsia="Calibri" w:hAnsi="Book Antiqua"/>
          <w:szCs w:val="24"/>
          <w:lang w:val="es-ES"/>
        </w:rPr>
      </w:pPr>
    </w:p>
    <w:p w14:paraId="27F0E649" w14:textId="1F560F04" w:rsidR="00FA6DD5" w:rsidRPr="0028630F" w:rsidRDefault="00FA6DD5" w:rsidP="00FA6DD5">
      <w:pPr>
        <w:widowControl w:val="0"/>
        <w:ind w:left="720" w:hanging="720"/>
        <w:jc w:val="center"/>
        <w:rPr>
          <w:rFonts w:ascii="Book Antiqua" w:hAnsi="Book Antiqua"/>
          <w:szCs w:val="24"/>
          <w:lang w:val="es-ES"/>
        </w:rPr>
      </w:pPr>
      <w:r w:rsidRPr="0028630F">
        <w:rPr>
          <w:rFonts w:ascii="Book Antiqua" w:hAnsi="Book Antiqua"/>
          <w:szCs w:val="24"/>
          <w:lang w:val="es-ES"/>
        </w:rPr>
        <w:t xml:space="preserve">Presentado por el representante </w:t>
      </w:r>
      <w:r w:rsidRPr="0028630F">
        <w:rPr>
          <w:rFonts w:ascii="Book Antiqua" w:hAnsi="Book Antiqua"/>
          <w:i/>
          <w:iCs/>
          <w:szCs w:val="24"/>
          <w:lang w:val="es-ES"/>
        </w:rPr>
        <w:t>Hernández Concepción</w:t>
      </w:r>
    </w:p>
    <w:p w14:paraId="5FBF580F" w14:textId="77777777" w:rsidR="00FA6DD5" w:rsidRPr="0028630F" w:rsidRDefault="00FA6DD5" w:rsidP="00FA6DD5">
      <w:pPr>
        <w:widowControl w:val="0"/>
        <w:ind w:left="720" w:hanging="720"/>
        <w:jc w:val="center"/>
        <w:rPr>
          <w:rFonts w:ascii="Book Antiqua" w:hAnsi="Book Antiqua"/>
          <w:szCs w:val="24"/>
          <w:lang w:val="es-ES"/>
        </w:rPr>
      </w:pPr>
    </w:p>
    <w:p w14:paraId="4AA2139C" w14:textId="33687501" w:rsidR="00FA6DD5" w:rsidRPr="0028630F" w:rsidRDefault="00FA6DD5" w:rsidP="00FA6DD5">
      <w:pPr>
        <w:widowControl w:val="0"/>
        <w:ind w:left="720" w:hanging="720"/>
        <w:jc w:val="center"/>
        <w:rPr>
          <w:rFonts w:ascii="Book Antiqua" w:hAnsi="Book Antiqua"/>
          <w:szCs w:val="24"/>
          <w:lang w:val="es-ES_tradnl"/>
        </w:rPr>
      </w:pPr>
      <w:r w:rsidRPr="0028630F">
        <w:rPr>
          <w:rFonts w:ascii="Book Antiqua" w:hAnsi="Book Antiqua"/>
          <w:szCs w:val="24"/>
          <w:lang w:val="es-ES"/>
        </w:rPr>
        <w:t>Referido a</w:t>
      </w:r>
      <w:r w:rsidR="00C425EF">
        <w:rPr>
          <w:rFonts w:ascii="Book Antiqua" w:hAnsi="Book Antiqua"/>
          <w:szCs w:val="24"/>
          <w:lang w:val="es-ES"/>
        </w:rPr>
        <w:t xml:space="preserve"> la Comisión de Gobierno</w:t>
      </w:r>
    </w:p>
    <w:p w14:paraId="38F05157" w14:textId="77777777" w:rsidR="00B00154" w:rsidRPr="0028630F" w:rsidRDefault="00B00154" w:rsidP="00B00154">
      <w:pPr>
        <w:jc w:val="center"/>
        <w:rPr>
          <w:rFonts w:ascii="Book Antiqua" w:hAnsi="Book Antiqua"/>
          <w:szCs w:val="24"/>
          <w:lang w:val="es-ES_tradnl"/>
        </w:rPr>
      </w:pPr>
    </w:p>
    <w:p w14:paraId="04099F64" w14:textId="77777777" w:rsidR="00F90AD0" w:rsidRPr="0028630F" w:rsidRDefault="00F90AD0" w:rsidP="00F90AD0">
      <w:pPr>
        <w:jc w:val="center"/>
        <w:rPr>
          <w:rFonts w:ascii="Book Antiqua" w:hAnsi="Book Antiqua"/>
          <w:b/>
          <w:szCs w:val="24"/>
          <w:lang w:val="es-ES_tradnl"/>
        </w:rPr>
      </w:pPr>
      <w:r w:rsidRPr="0028630F">
        <w:rPr>
          <w:rFonts w:ascii="Book Antiqua" w:hAnsi="Book Antiqua"/>
          <w:b/>
          <w:szCs w:val="24"/>
          <w:lang w:val="es-ES_tradnl"/>
        </w:rPr>
        <w:t>LEY</w:t>
      </w:r>
    </w:p>
    <w:p w14:paraId="00347EA6" w14:textId="77777777" w:rsidR="00F90AD0" w:rsidRPr="0028630F" w:rsidRDefault="00F90AD0" w:rsidP="00F90AD0">
      <w:pPr>
        <w:jc w:val="both"/>
        <w:rPr>
          <w:rFonts w:ascii="Book Antiqua" w:hAnsi="Book Antiqua"/>
          <w:szCs w:val="24"/>
          <w:lang w:val="es-ES_tradnl"/>
        </w:rPr>
      </w:pPr>
    </w:p>
    <w:p w14:paraId="4D18FA23" w14:textId="5EE3583B" w:rsidR="000A286A" w:rsidRPr="0028630F" w:rsidRDefault="000A286A" w:rsidP="0028630F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28630F">
        <w:rPr>
          <w:rFonts w:ascii="Book Antiqua" w:hAnsi="Book Antiqua"/>
          <w:szCs w:val="24"/>
          <w:lang w:val="es-PR"/>
        </w:rPr>
        <w:t xml:space="preserve">Para enmendar la Sección 6 de la Ley Núm. 83 de 2 de mayo de 1941, según enmendada, conocida como “Ley de la Autoridad de Energía Eléctrica de Puerto Rico”, a los fines de añadir un nuevo inciso (q) para disponer que toda empresa que administre el sistema </w:t>
      </w:r>
      <w:r w:rsidR="00B47C5E">
        <w:rPr>
          <w:rFonts w:ascii="Book Antiqua" w:hAnsi="Book Antiqua"/>
          <w:szCs w:val="24"/>
          <w:lang w:val="es-PR"/>
        </w:rPr>
        <w:t xml:space="preserve">de transmisión y distribución de energía </w:t>
      </w:r>
      <w:r w:rsidRPr="0028630F">
        <w:rPr>
          <w:rFonts w:ascii="Book Antiqua" w:hAnsi="Book Antiqua"/>
          <w:szCs w:val="24"/>
          <w:lang w:val="es-PR"/>
        </w:rPr>
        <w:t>de Puerto Rico deberá establecer y mantener un sistema de procesamiento de querellas que impida el cierre injustificado de reclamaciones sin resolución efectiva</w:t>
      </w:r>
      <w:r w:rsidR="00B47C5E">
        <w:rPr>
          <w:rFonts w:ascii="Book Antiqua" w:hAnsi="Book Antiqua"/>
          <w:szCs w:val="24"/>
          <w:lang w:val="es-PR"/>
        </w:rPr>
        <w:t xml:space="preserve"> entre otros requisitos</w:t>
      </w:r>
      <w:r w:rsidRPr="0028630F">
        <w:rPr>
          <w:rFonts w:ascii="Book Antiqua" w:hAnsi="Book Antiqua"/>
          <w:szCs w:val="24"/>
          <w:lang w:val="es-PR"/>
        </w:rPr>
        <w:t>; disponer sobre la notificación al consumidor; y para otros fines relacionados.</w:t>
      </w:r>
    </w:p>
    <w:p w14:paraId="74EC2157" w14:textId="00255ED2" w:rsidR="00F90AD0" w:rsidRPr="0028630F" w:rsidRDefault="00F90AD0" w:rsidP="0028630F">
      <w:pPr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28630F">
        <w:rPr>
          <w:rFonts w:ascii="Book Antiqua" w:hAnsi="Book Antiqua"/>
          <w:szCs w:val="24"/>
          <w:lang w:val="es-ES_tradnl"/>
        </w:rPr>
        <w:br/>
        <w:t>EXPOSICIÓN DE MOTIVOS</w:t>
      </w:r>
    </w:p>
    <w:p w14:paraId="6FC18B81" w14:textId="77777777" w:rsidR="0028630F" w:rsidRPr="0028630F" w:rsidRDefault="0028630F" w:rsidP="0028630F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1E95FC9D" w14:textId="3910229F" w:rsidR="000A286A" w:rsidRPr="0028630F" w:rsidRDefault="000A286A" w:rsidP="0028630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8630F">
        <w:rPr>
          <w:rFonts w:ascii="Book Antiqua" w:hAnsi="Book Antiqua"/>
          <w:szCs w:val="24"/>
          <w:lang w:val="es-PR"/>
        </w:rPr>
        <w:t>La prestación de un servicio eléctrico eficiente, confiable y transparente es un derecho esencial para nuestros ciudadanos y un componente indispensable para nuestra calidad de vida. Sin embargo, en los últimos años se ha observado un patrón recurrente de situaciones en las cuales ciudadanos radican querellas relacionadas a interrupciones del servicio, facturación, daños a enseres y otras incidencias administrativas, que no son atendidas de manera adecuada por la empresa que actualmente administra la red, LUMA Energy.</w:t>
      </w:r>
    </w:p>
    <w:p w14:paraId="575C39BC" w14:textId="77777777" w:rsidR="0028630F" w:rsidRPr="0028630F" w:rsidRDefault="0028630F" w:rsidP="0028630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B08CE13" w14:textId="207377AD" w:rsidR="000A286A" w:rsidRPr="0028630F" w:rsidRDefault="000A286A" w:rsidP="0028630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8630F">
        <w:rPr>
          <w:rFonts w:ascii="Book Antiqua" w:hAnsi="Book Antiqua"/>
          <w:szCs w:val="24"/>
          <w:lang w:val="es-PR"/>
        </w:rPr>
        <w:t xml:space="preserve">Este patrón se agrava cuando dichas querellas se cierran sin que exista una contestación real, efectiva o una resolución al planteamiento original del ciudadano, lo </w:t>
      </w:r>
      <w:r w:rsidRPr="0028630F">
        <w:rPr>
          <w:rFonts w:ascii="Book Antiqua" w:hAnsi="Book Antiqua"/>
          <w:szCs w:val="24"/>
          <w:lang w:val="es-PR"/>
        </w:rPr>
        <w:lastRenderedPageBreak/>
        <w:t xml:space="preserve">cual provoca indefensión, desinformación y falta de transparencia en la relación proveedor–consumidor. El efecto práctico es la pérdida de confianza pública hacia la empresa responsable de administrar un servicio crítico para todos los sectores </w:t>
      </w:r>
      <w:r w:rsidR="00B47C5E">
        <w:rPr>
          <w:rFonts w:ascii="Book Antiqua" w:hAnsi="Book Antiqua"/>
          <w:szCs w:val="24"/>
          <w:lang w:val="es-PR"/>
        </w:rPr>
        <w:t>de Puerto Rico</w:t>
      </w:r>
      <w:r w:rsidRPr="0028630F">
        <w:rPr>
          <w:rFonts w:ascii="Book Antiqua" w:hAnsi="Book Antiqua"/>
          <w:szCs w:val="24"/>
          <w:lang w:val="es-PR"/>
        </w:rPr>
        <w:t>.</w:t>
      </w:r>
    </w:p>
    <w:p w14:paraId="1BD6B434" w14:textId="77777777" w:rsidR="000A286A" w:rsidRPr="0028630F" w:rsidRDefault="000A286A" w:rsidP="0028630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74D7856C" w14:textId="36BDA323" w:rsidR="001F11D0" w:rsidRPr="0028630F" w:rsidRDefault="000A286A" w:rsidP="0028630F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28630F">
        <w:rPr>
          <w:rFonts w:ascii="Book Antiqua" w:hAnsi="Book Antiqua"/>
          <w:szCs w:val="24"/>
          <w:lang w:val="es-PR"/>
        </w:rPr>
        <w:t>Es deber del Gobierno asegurar que los consumidores tengan acceso a un proceso justo y transparente para la radicación, trámite y resolución de querellas. Por tal razón, se hace necesario establecer en Ley un mecanismo formal que impida el cierre de reclamaciones sin que estas hayan sido debidamente atendidas, y que requiera que se provea al consumidor información clara sobre el estatus y la determinación final de cada querella. La implantación de un sistema uniforme y trazable para estos fines permitirá fiscalizar el cumplimiento de la empresa y proteger al ciudadano de prácticas que menoscaban el derecho a un servicio eléctrico responsable, confiable y accesible.</w:t>
      </w:r>
    </w:p>
    <w:p w14:paraId="3A9F92CE" w14:textId="77777777" w:rsidR="0028630F" w:rsidRPr="0028630F" w:rsidRDefault="0028630F" w:rsidP="0028630F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F869E4C" w14:textId="77777777" w:rsidR="00F90AD0" w:rsidRPr="0028630F" w:rsidRDefault="00F90AD0" w:rsidP="0028630F">
      <w:pPr>
        <w:rPr>
          <w:rFonts w:ascii="Book Antiqua" w:hAnsi="Book Antiqua"/>
          <w:i/>
          <w:szCs w:val="24"/>
          <w:lang w:val="es-ES_tradnl"/>
        </w:rPr>
      </w:pPr>
      <w:r w:rsidRPr="0028630F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49D92463" w14:textId="77777777" w:rsidR="00F90AD0" w:rsidRPr="0028630F" w:rsidRDefault="00F90AD0" w:rsidP="0028630F">
      <w:pPr>
        <w:jc w:val="both"/>
        <w:rPr>
          <w:rFonts w:ascii="Book Antiqua" w:hAnsi="Book Antiqua"/>
          <w:szCs w:val="24"/>
          <w:lang w:val="es-ES_tradnl"/>
        </w:rPr>
      </w:pPr>
    </w:p>
    <w:p w14:paraId="3A7385B4" w14:textId="77777777" w:rsidR="0028630F" w:rsidRPr="0028630F" w:rsidRDefault="0028630F" w:rsidP="0028630F">
      <w:pPr>
        <w:jc w:val="both"/>
        <w:rPr>
          <w:rFonts w:ascii="Book Antiqua" w:hAnsi="Book Antiqua"/>
          <w:szCs w:val="24"/>
          <w:lang w:val="es-ES_tradnl"/>
        </w:rPr>
        <w:sectPr w:rsidR="0028630F" w:rsidRPr="0028630F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43B33D8" w14:textId="11E11487" w:rsidR="00F90AD0" w:rsidRPr="0028630F" w:rsidRDefault="00F90AD0" w:rsidP="0028630F">
      <w:pPr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28630F">
        <w:rPr>
          <w:rFonts w:ascii="Book Antiqua" w:hAnsi="Book Antiqua"/>
          <w:szCs w:val="24"/>
          <w:lang w:val="es-ES_tradnl"/>
        </w:rPr>
        <w:t xml:space="preserve"> </w:t>
      </w:r>
      <w:r w:rsidR="00C07469" w:rsidRPr="0028630F">
        <w:rPr>
          <w:rFonts w:ascii="Book Antiqua" w:hAnsi="Book Antiqua"/>
          <w:szCs w:val="24"/>
          <w:lang w:val="es-ES_tradnl"/>
        </w:rPr>
        <w:tab/>
      </w:r>
      <w:bookmarkStart w:id="1" w:name="_Hlk202169470"/>
      <w:r w:rsidR="000A286A" w:rsidRPr="0028630F">
        <w:rPr>
          <w:rFonts w:ascii="Book Antiqua" w:hAnsi="Book Antiqua"/>
          <w:szCs w:val="24"/>
          <w:lang w:val="es-ES_tradnl"/>
        </w:rPr>
        <w:t>Sección</w:t>
      </w:r>
      <w:r w:rsidR="00DF42E4" w:rsidRPr="0028630F">
        <w:rPr>
          <w:rFonts w:ascii="Book Antiqua" w:hAnsi="Book Antiqua"/>
          <w:szCs w:val="24"/>
          <w:lang w:val="es-ES_tradnl"/>
        </w:rPr>
        <w:t xml:space="preserve"> 1</w:t>
      </w:r>
      <w:r w:rsidRPr="0028630F">
        <w:rPr>
          <w:rFonts w:ascii="Book Antiqua" w:hAnsi="Book Antiqua"/>
          <w:bCs/>
          <w:color w:val="000000"/>
          <w:szCs w:val="24"/>
          <w:lang w:val="es-PR"/>
        </w:rPr>
        <w:t xml:space="preserve">.- </w:t>
      </w:r>
      <w:r w:rsidR="000A286A" w:rsidRPr="0028630F">
        <w:rPr>
          <w:rFonts w:ascii="Book Antiqua" w:hAnsi="Book Antiqua"/>
          <w:bCs/>
          <w:color w:val="000000"/>
          <w:szCs w:val="24"/>
          <w:lang w:val="es-PR"/>
        </w:rPr>
        <w:t>Se enmienda la Sección 6 de la Ley Núm. 83 de 2 de mayo de 1941, según enmendada, para añadir un nuevo inciso (q), el cual leerá como sigue:</w:t>
      </w:r>
    </w:p>
    <w:p w14:paraId="1ACF4707" w14:textId="75A8C48D" w:rsidR="007157E1" w:rsidRPr="0028630F" w:rsidRDefault="007157E1" w:rsidP="0028630F">
      <w:pPr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28630F">
        <w:rPr>
          <w:rFonts w:ascii="Book Antiqua" w:hAnsi="Book Antiqua"/>
          <w:bCs/>
          <w:color w:val="000000"/>
          <w:szCs w:val="24"/>
          <w:lang w:val="es-ES_tradnl"/>
        </w:rPr>
        <w:tab/>
        <w:t>“</w:t>
      </w:r>
      <w:r w:rsidR="000A286A" w:rsidRPr="0028630F">
        <w:rPr>
          <w:rFonts w:ascii="Book Antiqua" w:hAnsi="Book Antiqua"/>
          <w:bCs/>
          <w:color w:val="000000"/>
          <w:szCs w:val="24"/>
          <w:lang w:val="es-PR"/>
        </w:rPr>
        <w:t xml:space="preserve">Sección 6. — Deberes y responsabilidades. </w:t>
      </w:r>
    </w:p>
    <w:p w14:paraId="2AAD655B" w14:textId="003BE92E" w:rsidR="007157E1" w:rsidRPr="0028630F" w:rsidRDefault="007157E1" w:rsidP="0028630F">
      <w:pPr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28630F">
        <w:rPr>
          <w:rFonts w:ascii="Book Antiqua" w:hAnsi="Book Antiqua"/>
          <w:bCs/>
          <w:color w:val="000000"/>
          <w:szCs w:val="24"/>
          <w:lang w:val="es-ES_tradnl"/>
        </w:rPr>
        <w:tab/>
        <w:t>(a)…</w:t>
      </w:r>
    </w:p>
    <w:p w14:paraId="30879E95" w14:textId="6B6F6D93" w:rsidR="007157E1" w:rsidRPr="0028630F" w:rsidRDefault="007157E1" w:rsidP="0028630F">
      <w:pPr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28630F">
        <w:rPr>
          <w:rFonts w:ascii="Book Antiqua" w:hAnsi="Book Antiqua"/>
          <w:bCs/>
          <w:color w:val="000000"/>
          <w:szCs w:val="24"/>
          <w:lang w:val="es-ES_tradnl"/>
        </w:rPr>
        <w:tab/>
        <w:t>…</w:t>
      </w:r>
    </w:p>
    <w:p w14:paraId="19F1ADAE" w14:textId="218BC805" w:rsidR="00BD5873" w:rsidRPr="00B47C5E" w:rsidRDefault="007157E1" w:rsidP="0028630F">
      <w:pPr>
        <w:spacing w:line="480" w:lineRule="auto"/>
        <w:jc w:val="both"/>
        <w:rPr>
          <w:rFonts w:ascii="Book Antiqua" w:hAnsi="Book Antiqua"/>
          <w:bCs/>
          <w:strike/>
          <w:color w:val="EE0000"/>
          <w:szCs w:val="24"/>
          <w:lang w:val="es-PR"/>
        </w:rPr>
      </w:pPr>
      <w:r w:rsidRPr="0028630F">
        <w:rPr>
          <w:rFonts w:ascii="Book Antiqua" w:hAnsi="Book Antiqua"/>
          <w:bCs/>
          <w:color w:val="000000"/>
          <w:szCs w:val="24"/>
          <w:lang w:val="es-ES_tradnl"/>
        </w:rPr>
        <w:tab/>
      </w:r>
      <w:r w:rsidRPr="00F225D0">
        <w:rPr>
          <w:rFonts w:ascii="Book Antiqua" w:hAnsi="Book Antiqua"/>
          <w:bCs/>
          <w:color w:val="000000"/>
          <w:szCs w:val="24"/>
          <w:lang w:val="es-ES_tradnl"/>
        </w:rPr>
        <w:t>(</w:t>
      </w:r>
      <w:r w:rsidR="000A286A" w:rsidRPr="00F225D0">
        <w:rPr>
          <w:rFonts w:ascii="Book Antiqua" w:hAnsi="Book Antiqua"/>
          <w:bCs/>
          <w:color w:val="000000"/>
          <w:szCs w:val="24"/>
          <w:lang w:val="es-ES_tradnl"/>
        </w:rPr>
        <w:t>q</w:t>
      </w:r>
      <w:r w:rsidRPr="00F225D0">
        <w:rPr>
          <w:rFonts w:ascii="Book Antiqua" w:hAnsi="Book Antiqua"/>
          <w:bCs/>
          <w:color w:val="000000"/>
          <w:szCs w:val="24"/>
          <w:lang w:val="es-ES_tradnl"/>
        </w:rPr>
        <w:t>)</w:t>
      </w:r>
      <w:r w:rsidR="000A286A" w:rsidRPr="00F225D0">
        <w:rPr>
          <w:rFonts w:ascii="Book Antiqua" w:hAnsi="Book Antiqua" w:cs="Segoe UI"/>
          <w:color w:val="242424"/>
          <w:szCs w:val="24"/>
          <w:lang w:val="es-PR"/>
        </w:rPr>
        <w:t xml:space="preserve"> </w:t>
      </w:r>
      <w:r w:rsidR="000A286A" w:rsidRPr="00F225D0">
        <w:rPr>
          <w:rFonts w:ascii="Book Antiqua" w:hAnsi="Book Antiqua"/>
          <w:bCs/>
          <w:color w:val="000000"/>
          <w:szCs w:val="24"/>
          <w:lang w:val="es-PR"/>
        </w:rPr>
        <w:t>Establecer y mantener un sistema uniforme de procesamiento de querellas radicadas por los consumidores</w:t>
      </w:r>
      <w:r w:rsidR="000A286A" w:rsidRPr="00B47C5E">
        <w:rPr>
          <w:rFonts w:ascii="Book Antiqua" w:hAnsi="Book Antiqua"/>
          <w:bCs/>
          <w:color w:val="000000"/>
          <w:szCs w:val="24"/>
          <w:lang w:val="es-PR"/>
        </w:rPr>
        <w:t xml:space="preserve">, </w:t>
      </w:r>
      <w:r w:rsidR="00B47C5E" w:rsidRPr="00B47C5E">
        <w:rPr>
          <w:rFonts w:ascii="Book Antiqua" w:eastAsia="Calibri" w:hAnsi="Book Antiqua" w:cs="Arial"/>
          <w:bCs/>
          <w:szCs w:val="24"/>
          <w:lang w:val="es-PR"/>
        </w:rPr>
        <w:t>que incluya, sin limitarse a, lo siguiente:  acceso al consumidor vía internet al estatus de su querella; la unidad o división asignada; el detalle y fecha de cada trámite y gestión realizada para atender la querella; así como la determinación final.  El operador del sistema de transmisión y distribución de energía de Puerto Rico no podrá concluir una querella a menos que notifique por escrito al consumidor el detalle de las acciones tomadas y la determinación final.  Además, no se podrá asignar un nuevo número de querella para una reclamación que no haya sido resuelta en su totalidad.</w:t>
      </w:r>
      <w:r w:rsidR="00B47C5E">
        <w:rPr>
          <w:rFonts w:ascii="Book Antiqua" w:eastAsia="Calibri" w:hAnsi="Book Antiqua" w:cs="Arial"/>
          <w:bCs/>
          <w:szCs w:val="24"/>
          <w:lang w:val="es-PR"/>
        </w:rPr>
        <w:t>”</w:t>
      </w:r>
    </w:p>
    <w:p w14:paraId="7D5D1E42" w14:textId="2D279408" w:rsidR="00BD5873" w:rsidRPr="0028630F" w:rsidRDefault="001A4959" w:rsidP="0028630F">
      <w:pPr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28630F">
        <w:rPr>
          <w:rFonts w:ascii="Book Antiqua" w:hAnsi="Book Antiqua"/>
          <w:bCs/>
          <w:color w:val="000000"/>
          <w:szCs w:val="24"/>
          <w:lang w:val="es-PR"/>
        </w:rPr>
        <w:lastRenderedPageBreak/>
        <w:t>Sección</w:t>
      </w:r>
      <w:r w:rsidR="00942B62" w:rsidRPr="0028630F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BD5873" w:rsidRPr="0028630F">
        <w:rPr>
          <w:rFonts w:ascii="Book Antiqua" w:hAnsi="Book Antiqua"/>
          <w:bCs/>
          <w:color w:val="000000"/>
          <w:szCs w:val="24"/>
          <w:lang w:val="es-PR"/>
        </w:rPr>
        <w:t>2</w:t>
      </w:r>
      <w:r w:rsidR="00F90AD0" w:rsidRPr="0028630F">
        <w:rPr>
          <w:rFonts w:ascii="Book Antiqua" w:hAnsi="Book Antiqua"/>
          <w:bCs/>
          <w:color w:val="000000"/>
          <w:szCs w:val="24"/>
          <w:lang w:val="es-PR"/>
        </w:rPr>
        <w:t>.-</w:t>
      </w:r>
      <w:r w:rsidR="00BD5873" w:rsidRPr="0028630F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Pr="0028630F">
        <w:rPr>
          <w:rFonts w:ascii="Book Antiqua" w:hAnsi="Book Antiqua"/>
          <w:bCs/>
          <w:color w:val="000000"/>
          <w:szCs w:val="24"/>
          <w:lang w:val="es-PR"/>
        </w:rPr>
        <w:t xml:space="preserve">La Autoridad de </w:t>
      </w:r>
      <w:r w:rsidR="00810A2B" w:rsidRPr="0028630F">
        <w:rPr>
          <w:rFonts w:ascii="Book Antiqua" w:hAnsi="Book Antiqua"/>
          <w:bCs/>
          <w:color w:val="000000"/>
          <w:szCs w:val="24"/>
          <w:lang w:val="es-PR"/>
        </w:rPr>
        <w:t>Energía</w:t>
      </w:r>
      <w:r w:rsidRPr="0028630F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810A2B" w:rsidRPr="0028630F">
        <w:rPr>
          <w:rFonts w:ascii="Book Antiqua" w:hAnsi="Book Antiqua"/>
          <w:bCs/>
          <w:color w:val="000000"/>
          <w:szCs w:val="24"/>
          <w:lang w:val="es-PR"/>
        </w:rPr>
        <w:t>Eléctrica</w:t>
      </w:r>
      <w:r w:rsidRPr="0028630F">
        <w:rPr>
          <w:rFonts w:ascii="Book Antiqua" w:hAnsi="Book Antiqua"/>
          <w:bCs/>
          <w:color w:val="000000"/>
          <w:szCs w:val="24"/>
          <w:lang w:val="es-PR"/>
        </w:rPr>
        <w:t xml:space="preserve"> de Puerto Rico </w:t>
      </w:r>
      <w:r w:rsidR="00BD5873" w:rsidRPr="0028630F">
        <w:rPr>
          <w:rFonts w:ascii="Book Antiqua" w:hAnsi="Book Antiqua"/>
          <w:bCs/>
          <w:color w:val="000000"/>
          <w:szCs w:val="24"/>
          <w:lang w:val="es-PR"/>
        </w:rPr>
        <w:t>adoptar</w:t>
      </w:r>
      <w:r w:rsidR="00B47C5E">
        <w:rPr>
          <w:rFonts w:ascii="Book Antiqua" w:hAnsi="Book Antiqua"/>
          <w:bCs/>
          <w:color w:val="000000"/>
          <w:szCs w:val="24"/>
          <w:lang w:val="es-PR"/>
        </w:rPr>
        <w:t>á</w:t>
      </w:r>
      <w:r w:rsidR="00BD5873" w:rsidRPr="0028630F">
        <w:rPr>
          <w:rFonts w:ascii="Book Antiqua" w:hAnsi="Book Antiqua"/>
          <w:bCs/>
          <w:color w:val="000000"/>
          <w:szCs w:val="24"/>
          <w:lang w:val="es-PR"/>
        </w:rPr>
        <w:t xml:space="preserve"> la reglamentación necesaria para la implantación de </w:t>
      </w:r>
      <w:r w:rsidR="00B47C5E">
        <w:rPr>
          <w:rFonts w:ascii="Book Antiqua" w:hAnsi="Book Antiqua"/>
          <w:bCs/>
          <w:color w:val="000000"/>
          <w:szCs w:val="24"/>
          <w:lang w:val="es-PR"/>
        </w:rPr>
        <w:t>esta Ley</w:t>
      </w:r>
      <w:r w:rsidR="00BD5873" w:rsidRPr="0028630F">
        <w:rPr>
          <w:rFonts w:ascii="Book Antiqua" w:hAnsi="Book Antiqua"/>
          <w:bCs/>
          <w:color w:val="000000"/>
          <w:szCs w:val="24"/>
          <w:lang w:val="es-PR"/>
        </w:rPr>
        <w:t>, incluyendo los mecanismos de cómputo, notificación y ajuste de las deudas acumuladas, dentro de un término no mayor de ciento ochenta (180) días a partir de la vigencia de esta Ley.</w:t>
      </w:r>
    </w:p>
    <w:p w14:paraId="5CDC469E" w14:textId="698E7315" w:rsidR="00C34882" w:rsidRPr="0028630F" w:rsidRDefault="001A4959" w:rsidP="0028630F">
      <w:pPr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28630F">
        <w:rPr>
          <w:rFonts w:ascii="Book Antiqua" w:hAnsi="Book Antiqua"/>
          <w:bCs/>
          <w:color w:val="000000"/>
          <w:szCs w:val="24"/>
          <w:lang w:val="es-PR"/>
        </w:rPr>
        <w:t>Sección</w:t>
      </w:r>
      <w:r w:rsidR="00BD5873" w:rsidRPr="0028630F">
        <w:rPr>
          <w:rFonts w:ascii="Book Antiqua" w:hAnsi="Book Antiqua"/>
          <w:bCs/>
          <w:color w:val="000000"/>
          <w:szCs w:val="24"/>
          <w:lang w:val="es-PR"/>
        </w:rPr>
        <w:t xml:space="preserve"> 3.- </w:t>
      </w:r>
      <w:r w:rsidR="00F90AD0" w:rsidRPr="0028630F">
        <w:rPr>
          <w:rFonts w:ascii="Book Antiqua" w:hAnsi="Book Antiqua"/>
          <w:color w:val="000000"/>
          <w:szCs w:val="24"/>
          <w:lang w:val="es-PR"/>
        </w:rPr>
        <w:t xml:space="preserve">Esta </w:t>
      </w:r>
      <w:r w:rsidR="00B47C5E">
        <w:rPr>
          <w:rFonts w:ascii="Book Antiqua" w:hAnsi="Book Antiqua"/>
          <w:color w:val="000000"/>
          <w:szCs w:val="24"/>
          <w:lang w:val="es-PR"/>
        </w:rPr>
        <w:t>L</w:t>
      </w:r>
      <w:r w:rsidR="00F90AD0" w:rsidRPr="0028630F">
        <w:rPr>
          <w:rFonts w:ascii="Book Antiqua" w:hAnsi="Book Antiqua"/>
          <w:color w:val="000000"/>
          <w:szCs w:val="24"/>
          <w:lang w:val="es-PR"/>
        </w:rPr>
        <w:t xml:space="preserve">ey entrará en vigor </w:t>
      </w:r>
      <w:r w:rsidR="00DF42E4" w:rsidRPr="0028630F">
        <w:rPr>
          <w:rFonts w:ascii="Book Antiqua" w:hAnsi="Book Antiqua"/>
          <w:color w:val="000000"/>
          <w:szCs w:val="24"/>
          <w:lang w:val="es-PR"/>
        </w:rPr>
        <w:t>inmediatamente luego de su aprobación.</w:t>
      </w:r>
      <w:bookmarkEnd w:id="1"/>
    </w:p>
    <w:sectPr w:rsidR="00C34882" w:rsidRPr="0028630F" w:rsidSect="00F90AD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4A752" w14:textId="77777777" w:rsidR="004D74CB" w:rsidRDefault="004D74CB">
      <w:r>
        <w:separator/>
      </w:r>
    </w:p>
  </w:endnote>
  <w:endnote w:type="continuationSeparator" w:id="0">
    <w:p w14:paraId="29F40983" w14:textId="77777777" w:rsidR="004D74CB" w:rsidRDefault="004D7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4106B" w14:textId="77777777" w:rsidR="004D74CB" w:rsidRDefault="004D74CB">
      <w:r>
        <w:separator/>
      </w:r>
    </w:p>
  </w:footnote>
  <w:footnote w:type="continuationSeparator" w:id="0">
    <w:p w14:paraId="260234EF" w14:textId="77777777" w:rsidR="004D74CB" w:rsidRDefault="004D7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99132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42356"/>
    <w:multiLevelType w:val="hybridMultilevel"/>
    <w:tmpl w:val="823216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94DD8"/>
    <w:multiLevelType w:val="multilevel"/>
    <w:tmpl w:val="D6A644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956F9E"/>
    <w:multiLevelType w:val="hybridMultilevel"/>
    <w:tmpl w:val="AA4EEA7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145DE3"/>
    <w:multiLevelType w:val="hybridMultilevel"/>
    <w:tmpl w:val="4F4A45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148CC"/>
    <w:multiLevelType w:val="hybridMultilevel"/>
    <w:tmpl w:val="1B9A35F6"/>
    <w:lvl w:ilvl="0" w:tplc="E4B0C72C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 w:tplc="85BAB12A">
      <w:start w:val="13"/>
      <w:numFmt w:val="lowerLetter"/>
      <w:lvlText w:val="%2)"/>
      <w:lvlJc w:val="left"/>
      <w:pPr>
        <w:ind w:left="630" w:hanging="36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5038B"/>
    <w:multiLevelType w:val="hybridMultilevel"/>
    <w:tmpl w:val="FCCCD950"/>
    <w:lvl w:ilvl="0" w:tplc="5F76A0E0">
      <w:start w:val="1"/>
      <w:numFmt w:val="lowerLetter"/>
      <w:lvlText w:val="%1)"/>
      <w:lvlJc w:val="left"/>
      <w:pPr>
        <w:ind w:left="117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4B7C14E0"/>
    <w:multiLevelType w:val="hybridMultilevel"/>
    <w:tmpl w:val="D2E64A84"/>
    <w:lvl w:ilvl="0" w:tplc="30688A6E">
      <w:start w:val="1"/>
      <w:numFmt w:val="lowerLetter"/>
      <w:lvlText w:val="%1)"/>
      <w:lvlJc w:val="left"/>
      <w:pPr>
        <w:ind w:left="108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7D2E9C"/>
    <w:multiLevelType w:val="hybridMultilevel"/>
    <w:tmpl w:val="B83E98B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7629F"/>
    <w:multiLevelType w:val="hybridMultilevel"/>
    <w:tmpl w:val="3D9E2C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73038">
    <w:abstractNumId w:val="1"/>
  </w:num>
  <w:num w:numId="2" w16cid:durableId="1566912460">
    <w:abstractNumId w:val="3"/>
  </w:num>
  <w:num w:numId="3" w16cid:durableId="641349262">
    <w:abstractNumId w:val="4"/>
  </w:num>
  <w:num w:numId="4" w16cid:durableId="723605848">
    <w:abstractNumId w:val="2"/>
  </w:num>
  <w:num w:numId="5" w16cid:durableId="1066490194">
    <w:abstractNumId w:val="7"/>
  </w:num>
  <w:num w:numId="6" w16cid:durableId="1659915814">
    <w:abstractNumId w:val="8"/>
  </w:num>
  <w:num w:numId="7" w16cid:durableId="1534922413">
    <w:abstractNumId w:val="0"/>
  </w:num>
  <w:num w:numId="8" w16cid:durableId="1995376800">
    <w:abstractNumId w:val="6"/>
  </w:num>
  <w:num w:numId="9" w16cid:durableId="162019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90AD0"/>
    <w:rsid w:val="00004CC2"/>
    <w:rsid w:val="00020BBB"/>
    <w:rsid w:val="00047DAA"/>
    <w:rsid w:val="00056024"/>
    <w:rsid w:val="00082226"/>
    <w:rsid w:val="000825C8"/>
    <w:rsid w:val="0008747E"/>
    <w:rsid w:val="0009056E"/>
    <w:rsid w:val="00095AE1"/>
    <w:rsid w:val="00097340"/>
    <w:rsid w:val="000A286A"/>
    <w:rsid w:val="000A6B6C"/>
    <w:rsid w:val="000B0DBB"/>
    <w:rsid w:val="000C3FCD"/>
    <w:rsid w:val="000C67E6"/>
    <w:rsid w:val="00103B2C"/>
    <w:rsid w:val="00111E71"/>
    <w:rsid w:val="00120477"/>
    <w:rsid w:val="00127C6A"/>
    <w:rsid w:val="00132D7C"/>
    <w:rsid w:val="001363FE"/>
    <w:rsid w:val="00157C21"/>
    <w:rsid w:val="00166443"/>
    <w:rsid w:val="0017132B"/>
    <w:rsid w:val="00194959"/>
    <w:rsid w:val="001A4959"/>
    <w:rsid w:val="001A7E59"/>
    <w:rsid w:val="001F11D0"/>
    <w:rsid w:val="001F4CA3"/>
    <w:rsid w:val="001F612A"/>
    <w:rsid w:val="00200691"/>
    <w:rsid w:val="00211396"/>
    <w:rsid w:val="00226AE6"/>
    <w:rsid w:val="0023271D"/>
    <w:rsid w:val="00234BA2"/>
    <w:rsid w:val="00245B34"/>
    <w:rsid w:val="0024694F"/>
    <w:rsid w:val="00263355"/>
    <w:rsid w:val="00271826"/>
    <w:rsid w:val="00273792"/>
    <w:rsid w:val="00281443"/>
    <w:rsid w:val="0028630F"/>
    <w:rsid w:val="002A24E9"/>
    <w:rsid w:val="002B4D1A"/>
    <w:rsid w:val="002C15D0"/>
    <w:rsid w:val="002D4AC8"/>
    <w:rsid w:val="00320D78"/>
    <w:rsid w:val="0033052F"/>
    <w:rsid w:val="00334F4D"/>
    <w:rsid w:val="00380FE5"/>
    <w:rsid w:val="003924DD"/>
    <w:rsid w:val="00394FCB"/>
    <w:rsid w:val="003963F4"/>
    <w:rsid w:val="003A0BF2"/>
    <w:rsid w:val="003B5254"/>
    <w:rsid w:val="003B75A6"/>
    <w:rsid w:val="003C254C"/>
    <w:rsid w:val="003D05C1"/>
    <w:rsid w:val="003D62D9"/>
    <w:rsid w:val="003E4DF8"/>
    <w:rsid w:val="004061CA"/>
    <w:rsid w:val="00415689"/>
    <w:rsid w:val="004438F5"/>
    <w:rsid w:val="004440CB"/>
    <w:rsid w:val="00461B96"/>
    <w:rsid w:val="004713D2"/>
    <w:rsid w:val="004831A6"/>
    <w:rsid w:val="0048323D"/>
    <w:rsid w:val="0048586F"/>
    <w:rsid w:val="004A6A73"/>
    <w:rsid w:val="004D74CB"/>
    <w:rsid w:val="004E3B77"/>
    <w:rsid w:val="004E7192"/>
    <w:rsid w:val="004F696C"/>
    <w:rsid w:val="00520716"/>
    <w:rsid w:val="00521639"/>
    <w:rsid w:val="00532BB7"/>
    <w:rsid w:val="005332E4"/>
    <w:rsid w:val="0053550C"/>
    <w:rsid w:val="00555018"/>
    <w:rsid w:val="005645F8"/>
    <w:rsid w:val="005723DC"/>
    <w:rsid w:val="005B0FCC"/>
    <w:rsid w:val="006210DC"/>
    <w:rsid w:val="00622CBF"/>
    <w:rsid w:val="0062463F"/>
    <w:rsid w:val="006360CA"/>
    <w:rsid w:val="0064349D"/>
    <w:rsid w:val="00653EED"/>
    <w:rsid w:val="00685549"/>
    <w:rsid w:val="00685E66"/>
    <w:rsid w:val="006B7365"/>
    <w:rsid w:val="006C2D81"/>
    <w:rsid w:val="006C7DF8"/>
    <w:rsid w:val="006E117A"/>
    <w:rsid w:val="00701E8A"/>
    <w:rsid w:val="007157E1"/>
    <w:rsid w:val="00750FC8"/>
    <w:rsid w:val="00751101"/>
    <w:rsid w:val="007533D0"/>
    <w:rsid w:val="00753AE8"/>
    <w:rsid w:val="00755069"/>
    <w:rsid w:val="00766276"/>
    <w:rsid w:val="00766DBE"/>
    <w:rsid w:val="00776B4F"/>
    <w:rsid w:val="007A2D91"/>
    <w:rsid w:val="007A55B8"/>
    <w:rsid w:val="007B0660"/>
    <w:rsid w:val="007D79CD"/>
    <w:rsid w:val="007E3868"/>
    <w:rsid w:val="007F319A"/>
    <w:rsid w:val="007F52B6"/>
    <w:rsid w:val="00810A2B"/>
    <w:rsid w:val="00812114"/>
    <w:rsid w:val="00820C41"/>
    <w:rsid w:val="00840CFE"/>
    <w:rsid w:val="00850256"/>
    <w:rsid w:val="0088232A"/>
    <w:rsid w:val="0088422E"/>
    <w:rsid w:val="00890109"/>
    <w:rsid w:val="00897A48"/>
    <w:rsid w:val="008B1A96"/>
    <w:rsid w:val="008E4CB4"/>
    <w:rsid w:val="00921932"/>
    <w:rsid w:val="0093686F"/>
    <w:rsid w:val="00942B62"/>
    <w:rsid w:val="00942FD4"/>
    <w:rsid w:val="009465D8"/>
    <w:rsid w:val="00950A21"/>
    <w:rsid w:val="00951997"/>
    <w:rsid w:val="00954D07"/>
    <w:rsid w:val="00981479"/>
    <w:rsid w:val="00990352"/>
    <w:rsid w:val="009A30EC"/>
    <w:rsid w:val="009A6FE0"/>
    <w:rsid w:val="009B6C1A"/>
    <w:rsid w:val="009C1832"/>
    <w:rsid w:val="009C6482"/>
    <w:rsid w:val="009E08CC"/>
    <w:rsid w:val="00A020D4"/>
    <w:rsid w:val="00A03122"/>
    <w:rsid w:val="00A03405"/>
    <w:rsid w:val="00A03EE3"/>
    <w:rsid w:val="00A1528A"/>
    <w:rsid w:val="00A33918"/>
    <w:rsid w:val="00A7629F"/>
    <w:rsid w:val="00A92E6D"/>
    <w:rsid w:val="00A9458C"/>
    <w:rsid w:val="00A949B9"/>
    <w:rsid w:val="00AB157A"/>
    <w:rsid w:val="00AB30DB"/>
    <w:rsid w:val="00AB6466"/>
    <w:rsid w:val="00AC4643"/>
    <w:rsid w:val="00AD1ED1"/>
    <w:rsid w:val="00AF0CEE"/>
    <w:rsid w:val="00AF1038"/>
    <w:rsid w:val="00B00154"/>
    <w:rsid w:val="00B029E2"/>
    <w:rsid w:val="00B065ED"/>
    <w:rsid w:val="00B10ED1"/>
    <w:rsid w:val="00B12489"/>
    <w:rsid w:val="00B47C5E"/>
    <w:rsid w:val="00B55910"/>
    <w:rsid w:val="00B5646B"/>
    <w:rsid w:val="00B667AD"/>
    <w:rsid w:val="00B84C38"/>
    <w:rsid w:val="00B86C00"/>
    <w:rsid w:val="00B90C26"/>
    <w:rsid w:val="00B93A37"/>
    <w:rsid w:val="00B947F6"/>
    <w:rsid w:val="00BA6830"/>
    <w:rsid w:val="00BD5873"/>
    <w:rsid w:val="00BF16AA"/>
    <w:rsid w:val="00BF7436"/>
    <w:rsid w:val="00C04358"/>
    <w:rsid w:val="00C07469"/>
    <w:rsid w:val="00C34882"/>
    <w:rsid w:val="00C354B8"/>
    <w:rsid w:val="00C418F5"/>
    <w:rsid w:val="00C425EF"/>
    <w:rsid w:val="00C52517"/>
    <w:rsid w:val="00C604E5"/>
    <w:rsid w:val="00C60921"/>
    <w:rsid w:val="00C62936"/>
    <w:rsid w:val="00C653F2"/>
    <w:rsid w:val="00C679E6"/>
    <w:rsid w:val="00C82490"/>
    <w:rsid w:val="00C82D22"/>
    <w:rsid w:val="00C84CA8"/>
    <w:rsid w:val="00C908F9"/>
    <w:rsid w:val="00CA0917"/>
    <w:rsid w:val="00CA0992"/>
    <w:rsid w:val="00CA1099"/>
    <w:rsid w:val="00D34121"/>
    <w:rsid w:val="00D417C2"/>
    <w:rsid w:val="00D504A5"/>
    <w:rsid w:val="00D60936"/>
    <w:rsid w:val="00D709EB"/>
    <w:rsid w:val="00D74714"/>
    <w:rsid w:val="00D769A4"/>
    <w:rsid w:val="00D82F3F"/>
    <w:rsid w:val="00D90969"/>
    <w:rsid w:val="00D921C6"/>
    <w:rsid w:val="00D958C2"/>
    <w:rsid w:val="00D95CB8"/>
    <w:rsid w:val="00DB07B5"/>
    <w:rsid w:val="00DC1B6E"/>
    <w:rsid w:val="00DC6761"/>
    <w:rsid w:val="00DD6D1E"/>
    <w:rsid w:val="00DF42E4"/>
    <w:rsid w:val="00E04AB5"/>
    <w:rsid w:val="00E054D5"/>
    <w:rsid w:val="00E057F1"/>
    <w:rsid w:val="00E111A5"/>
    <w:rsid w:val="00E25B65"/>
    <w:rsid w:val="00E50EEA"/>
    <w:rsid w:val="00E52F58"/>
    <w:rsid w:val="00E55648"/>
    <w:rsid w:val="00E57CD6"/>
    <w:rsid w:val="00E94807"/>
    <w:rsid w:val="00EB5FD9"/>
    <w:rsid w:val="00EC26AA"/>
    <w:rsid w:val="00ED6996"/>
    <w:rsid w:val="00ED7A53"/>
    <w:rsid w:val="00EE4273"/>
    <w:rsid w:val="00EF4B93"/>
    <w:rsid w:val="00EF7A68"/>
    <w:rsid w:val="00F02004"/>
    <w:rsid w:val="00F042CB"/>
    <w:rsid w:val="00F142F0"/>
    <w:rsid w:val="00F14853"/>
    <w:rsid w:val="00F172D7"/>
    <w:rsid w:val="00F225D0"/>
    <w:rsid w:val="00F23CEF"/>
    <w:rsid w:val="00F60A20"/>
    <w:rsid w:val="00F864FA"/>
    <w:rsid w:val="00F90AB0"/>
    <w:rsid w:val="00F90AD0"/>
    <w:rsid w:val="00FA6DD5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33398C"/>
  <w15:chartTrackingRefBased/>
  <w15:docId w15:val="{4C24440D-42F9-4A81-B0F4-00ACD9B3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Spacing">
    <w:name w:val="No Spacing"/>
    <w:uiPriority w:val="1"/>
    <w:qFormat/>
    <w:rsid w:val="00F90AD0"/>
    <w:rPr>
      <w:rFonts w:ascii="Calibri" w:eastAsia="Calibri" w:hAnsi="Calibri"/>
      <w:sz w:val="22"/>
      <w:szCs w:val="22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apple-converted-space">
    <w:name w:val="apple-converted-space"/>
    <w:basedOn w:val="DefaultParagraphFont"/>
    <w:rsid w:val="00F90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3A24F030-D0DA-4D0D-A319-7F99477BBD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3385</Characters>
  <Application>Microsoft Office Word</Application>
  <DocSecurity>0</DocSecurity>
  <Lines>69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asesora - IT</vt:lpstr>
    </vt:vector>
  </TitlesOfParts>
  <Company> 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Humberto G. Nuñez Matos</dc:creator>
  <cp:keywords/>
  <cp:lastModifiedBy>Gloria de Jesús Maldonado</cp:lastModifiedBy>
  <cp:revision>2</cp:revision>
  <cp:lastPrinted>2026-03-12T15:07:00Z</cp:lastPrinted>
  <dcterms:created xsi:type="dcterms:W3CDTF">2026-03-13T13:55:00Z</dcterms:created>
  <dcterms:modified xsi:type="dcterms:W3CDTF">2026-03-13T13:55:00Z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48c19bc7-887b-4d6f-9ef2-0384e86afd4e</vt:lpwstr>
  </property>
</Properties>
</file>