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EF65" w14:textId="77777777" w:rsidR="00FA6DD5" w:rsidRPr="0088232A" w:rsidRDefault="00FA6DD5" w:rsidP="00FA6DD5">
      <w:pPr>
        <w:jc w:val="center"/>
        <w:rPr>
          <w:rFonts w:ascii="Book Antiqua" w:hAnsi="Book Antiqua"/>
          <w:bCs/>
          <w:sz w:val="28"/>
          <w:szCs w:val="28"/>
          <w:lang w:val="es-PR"/>
        </w:rPr>
      </w:pPr>
      <w:r w:rsidRPr="0088232A">
        <w:rPr>
          <w:rFonts w:ascii="Book Antiqua" w:hAnsi="Book Antiqua"/>
          <w:bCs/>
          <w:sz w:val="28"/>
          <w:szCs w:val="28"/>
          <w:lang w:val="es-PR"/>
        </w:rPr>
        <w:t>GOBIERNO DE PUERTO RICO</w:t>
      </w:r>
    </w:p>
    <w:p w14:paraId="7E1BBCCB" w14:textId="77777777" w:rsidR="00FA6DD5" w:rsidRPr="0028630F" w:rsidRDefault="00FA6DD5" w:rsidP="00FA6DD5">
      <w:pPr>
        <w:widowControl w:val="0"/>
        <w:suppressAutoHyphens/>
        <w:ind w:firstLine="720"/>
        <w:jc w:val="center"/>
        <w:rPr>
          <w:rFonts w:ascii="Book Antiqua" w:hAnsi="Book Antiqua"/>
          <w:szCs w:val="24"/>
          <w:lang w:val="es-ES_tradnl"/>
        </w:rPr>
      </w:pPr>
    </w:p>
    <w:p w14:paraId="0926C66A" w14:textId="7FF91CEC" w:rsidR="00FA6DD5" w:rsidRPr="0028630F" w:rsidRDefault="00FA6DD5" w:rsidP="0028630F">
      <w:pPr>
        <w:rPr>
          <w:rFonts w:ascii="Book Antiqua" w:eastAsia="Calibri" w:hAnsi="Book Antiqua"/>
          <w:szCs w:val="24"/>
          <w:lang w:val="es-PR"/>
        </w:rPr>
      </w:pPr>
      <w:r w:rsidRPr="0028630F">
        <w:rPr>
          <w:rFonts w:ascii="Book Antiqua" w:eastAsia="Calibri" w:hAnsi="Book Antiqua"/>
          <w:szCs w:val="24"/>
          <w:lang w:val="es-PR"/>
        </w:rPr>
        <w:t>20ma. Asamblea</w:t>
      </w:r>
      <w:r w:rsidRPr="0028630F">
        <w:rPr>
          <w:rFonts w:ascii="Book Antiqua" w:eastAsia="Calibri" w:hAnsi="Book Antiqua"/>
          <w:szCs w:val="24"/>
          <w:lang w:val="es-PR"/>
        </w:rPr>
        <w:tab/>
      </w:r>
      <w:r w:rsidR="0028630F" w:rsidRPr="0028630F">
        <w:rPr>
          <w:rFonts w:ascii="Book Antiqua" w:eastAsia="Calibri" w:hAnsi="Book Antiqua"/>
          <w:szCs w:val="24"/>
          <w:lang w:val="es-PR"/>
        </w:rPr>
        <w:t xml:space="preserve">                                                                                              </w:t>
      </w:r>
      <w:r w:rsidR="0028630F">
        <w:rPr>
          <w:rFonts w:ascii="Book Antiqua" w:eastAsia="Calibri" w:hAnsi="Book Antiqua"/>
          <w:szCs w:val="24"/>
          <w:lang w:val="es-PR"/>
        </w:rPr>
        <w:t xml:space="preserve"> </w:t>
      </w:r>
      <w:r w:rsidR="0024694F" w:rsidRPr="0028630F">
        <w:rPr>
          <w:rFonts w:ascii="Book Antiqua" w:eastAsia="Calibri" w:hAnsi="Book Antiqua"/>
          <w:szCs w:val="24"/>
          <w:lang w:val="es-PR"/>
        </w:rPr>
        <w:t>3r</w:t>
      </w:r>
      <w:r w:rsidRPr="0028630F">
        <w:rPr>
          <w:rFonts w:ascii="Book Antiqua" w:eastAsia="Calibri" w:hAnsi="Book Antiqua"/>
          <w:szCs w:val="24"/>
          <w:lang w:val="es-PR"/>
        </w:rPr>
        <w:t>a.</w:t>
      </w:r>
      <w:r w:rsidR="0028630F" w:rsidRPr="0028630F">
        <w:rPr>
          <w:rFonts w:ascii="Book Antiqua" w:eastAsia="Calibri" w:hAnsi="Book Antiqua"/>
          <w:szCs w:val="24"/>
          <w:lang w:val="es-PR"/>
        </w:rPr>
        <w:t xml:space="preserve"> </w:t>
      </w:r>
      <w:r w:rsidRPr="0028630F">
        <w:rPr>
          <w:rFonts w:ascii="Book Antiqua" w:eastAsia="Calibri" w:hAnsi="Book Antiqua"/>
          <w:szCs w:val="24"/>
          <w:lang w:val="es-PR"/>
        </w:rPr>
        <w:t>Sesión</w:t>
      </w:r>
    </w:p>
    <w:p w14:paraId="2F967DFE" w14:textId="3E741817" w:rsidR="00FA6DD5" w:rsidRPr="0028630F" w:rsidRDefault="00FA6DD5" w:rsidP="0028630F">
      <w:pPr>
        <w:widowControl w:val="0"/>
        <w:suppressAutoHyphens/>
        <w:ind w:firstLine="720"/>
        <w:jc w:val="both"/>
        <w:rPr>
          <w:rFonts w:ascii="Book Antiqua" w:hAnsi="Book Antiqua"/>
          <w:spacing w:val="-3"/>
          <w:szCs w:val="24"/>
          <w:lang w:val="es-PR"/>
        </w:rPr>
      </w:pPr>
      <w:r w:rsidRPr="0028630F">
        <w:rPr>
          <w:rFonts w:ascii="Book Antiqua" w:hAnsi="Book Antiqua"/>
          <w:szCs w:val="24"/>
          <w:lang w:val="es-PR"/>
        </w:rPr>
        <w:t>Legislativa</w:t>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r>
      <w:r w:rsidRPr="0028630F">
        <w:rPr>
          <w:rFonts w:ascii="Book Antiqua" w:hAnsi="Book Antiqua"/>
          <w:szCs w:val="24"/>
          <w:lang w:val="es-PR"/>
        </w:rPr>
        <w:tab/>
        <w:t xml:space="preserve">           </w:t>
      </w:r>
      <w:r w:rsidR="0028630F" w:rsidRPr="0028630F">
        <w:rPr>
          <w:rFonts w:ascii="Book Antiqua" w:hAnsi="Book Antiqua"/>
          <w:szCs w:val="24"/>
          <w:lang w:val="es-PR"/>
        </w:rPr>
        <w:t xml:space="preserve">       </w:t>
      </w:r>
      <w:r w:rsidRPr="0028630F">
        <w:rPr>
          <w:rFonts w:ascii="Book Antiqua" w:hAnsi="Book Antiqua"/>
          <w:szCs w:val="24"/>
          <w:lang w:val="es-PR"/>
        </w:rPr>
        <w:t>Ordinaria</w:t>
      </w:r>
    </w:p>
    <w:p w14:paraId="3B6C3691" w14:textId="77777777" w:rsidR="00FA6DD5" w:rsidRPr="0028630F" w:rsidRDefault="00FA6DD5" w:rsidP="0028630F">
      <w:pPr>
        <w:widowControl w:val="0"/>
        <w:suppressAutoHyphens/>
        <w:ind w:firstLine="720"/>
        <w:jc w:val="both"/>
        <w:rPr>
          <w:rFonts w:ascii="Book Antiqua" w:hAnsi="Book Antiqua"/>
          <w:spacing w:val="-3"/>
          <w:szCs w:val="24"/>
          <w:lang w:val="es-PR"/>
        </w:rPr>
      </w:pPr>
    </w:p>
    <w:p w14:paraId="4176227B" w14:textId="77777777" w:rsidR="00FA6DD5" w:rsidRPr="0028630F" w:rsidRDefault="00FA6DD5" w:rsidP="00FA6DD5">
      <w:pPr>
        <w:widowControl w:val="0"/>
        <w:suppressAutoHyphens/>
        <w:jc w:val="center"/>
        <w:rPr>
          <w:rFonts w:ascii="Book Antiqua" w:hAnsi="Book Antiqua"/>
          <w:b/>
          <w:sz w:val="36"/>
          <w:szCs w:val="36"/>
          <w:lang w:val="es-ES_tradnl"/>
        </w:rPr>
      </w:pPr>
      <w:r w:rsidRPr="0028630F">
        <w:rPr>
          <w:rFonts w:ascii="Book Antiqua" w:hAnsi="Book Antiqua"/>
          <w:b/>
          <w:sz w:val="36"/>
          <w:szCs w:val="36"/>
          <w:lang w:val="es-ES_tradnl"/>
        </w:rPr>
        <w:t>CÁMARA DE REPRESENTANTES</w:t>
      </w:r>
    </w:p>
    <w:p w14:paraId="6C159F4C" w14:textId="77777777" w:rsidR="00FA6DD5" w:rsidRPr="0028630F" w:rsidRDefault="00FA6DD5" w:rsidP="00FA6DD5">
      <w:pPr>
        <w:suppressLineNumbers/>
        <w:jc w:val="center"/>
        <w:rPr>
          <w:rFonts w:ascii="Book Antiqua" w:eastAsia="Calibri" w:hAnsi="Book Antiqua"/>
          <w:b/>
          <w:szCs w:val="24"/>
          <w:lang w:val="es-ES_tradnl"/>
        </w:rPr>
      </w:pPr>
    </w:p>
    <w:p w14:paraId="148D25EA" w14:textId="57EA3909" w:rsidR="00FA6DD5" w:rsidRPr="0028630F" w:rsidRDefault="00FA6DD5" w:rsidP="00FA6DD5">
      <w:pPr>
        <w:suppressLineNumbers/>
        <w:jc w:val="center"/>
        <w:rPr>
          <w:rFonts w:ascii="Book Antiqua" w:eastAsia="Calibri" w:hAnsi="Book Antiqua"/>
          <w:b/>
          <w:sz w:val="52"/>
          <w:szCs w:val="52"/>
          <w:lang w:val="es-PR"/>
        </w:rPr>
      </w:pPr>
      <w:r w:rsidRPr="0028630F">
        <w:rPr>
          <w:rFonts w:ascii="Book Antiqua" w:eastAsia="Calibri" w:hAnsi="Book Antiqua"/>
          <w:b/>
          <w:sz w:val="52"/>
          <w:szCs w:val="52"/>
          <w:lang w:val="es-ES"/>
        </w:rPr>
        <w:t>P. de la C.</w:t>
      </w:r>
      <w:r w:rsidR="00461B96" w:rsidRPr="0028630F">
        <w:rPr>
          <w:rFonts w:ascii="Book Antiqua" w:eastAsia="Calibri" w:hAnsi="Book Antiqua"/>
          <w:b/>
          <w:sz w:val="52"/>
          <w:szCs w:val="52"/>
          <w:lang w:val="es-ES"/>
        </w:rPr>
        <w:t xml:space="preserve"> 1004</w:t>
      </w:r>
    </w:p>
    <w:p w14:paraId="05F44CDD" w14:textId="77777777" w:rsidR="00FA6DD5" w:rsidRPr="0028630F" w:rsidRDefault="00FA6DD5" w:rsidP="00FA6DD5">
      <w:pPr>
        <w:suppressLineNumbers/>
        <w:jc w:val="center"/>
        <w:rPr>
          <w:rFonts w:ascii="Book Antiqua" w:eastAsia="Calibri" w:hAnsi="Book Antiqua"/>
          <w:b/>
          <w:szCs w:val="24"/>
          <w:lang w:val="es-ES"/>
        </w:rPr>
      </w:pPr>
    </w:p>
    <w:p w14:paraId="08357F5F" w14:textId="2924F928" w:rsidR="00FA6DD5" w:rsidRPr="0028630F" w:rsidRDefault="00810A2B" w:rsidP="00FA6DD5">
      <w:pPr>
        <w:suppressLineNumbers/>
        <w:jc w:val="center"/>
        <w:rPr>
          <w:rFonts w:ascii="Book Antiqua" w:eastAsia="Calibri" w:hAnsi="Book Antiqua"/>
          <w:szCs w:val="24"/>
          <w:lang w:val="es-ES"/>
        </w:rPr>
      </w:pPr>
      <w:r w:rsidRPr="0028630F">
        <w:rPr>
          <w:rFonts w:ascii="Book Antiqua" w:eastAsia="Calibri" w:hAnsi="Book Antiqua"/>
          <w:szCs w:val="24"/>
          <w:lang w:val="es-ES"/>
        </w:rPr>
        <w:t xml:space="preserve">7 </w:t>
      </w:r>
      <w:r w:rsidR="00FA6DD5" w:rsidRPr="0028630F">
        <w:rPr>
          <w:rFonts w:ascii="Book Antiqua" w:eastAsia="Calibri" w:hAnsi="Book Antiqua"/>
          <w:szCs w:val="24"/>
          <w:lang w:val="es-ES"/>
        </w:rPr>
        <w:t xml:space="preserve">DE </w:t>
      </w:r>
      <w:r w:rsidR="0024694F" w:rsidRPr="0028630F">
        <w:rPr>
          <w:rFonts w:ascii="Book Antiqua" w:eastAsia="Calibri" w:hAnsi="Book Antiqua"/>
          <w:szCs w:val="24"/>
          <w:lang w:val="es-ES"/>
        </w:rPr>
        <w:t>ENERO</w:t>
      </w:r>
      <w:r w:rsidR="00FA6DD5" w:rsidRPr="0028630F">
        <w:rPr>
          <w:rFonts w:ascii="Book Antiqua" w:eastAsia="Calibri" w:hAnsi="Book Antiqua"/>
          <w:szCs w:val="24"/>
          <w:lang w:val="es-ES"/>
        </w:rPr>
        <w:t xml:space="preserve"> DE 202</w:t>
      </w:r>
      <w:r w:rsidR="00461B96" w:rsidRPr="0028630F">
        <w:rPr>
          <w:rFonts w:ascii="Book Antiqua" w:eastAsia="Calibri" w:hAnsi="Book Antiqua"/>
          <w:szCs w:val="24"/>
          <w:lang w:val="es-ES"/>
        </w:rPr>
        <w:t>6</w:t>
      </w:r>
    </w:p>
    <w:p w14:paraId="07642520" w14:textId="77777777" w:rsidR="00FA6DD5" w:rsidRPr="0028630F" w:rsidRDefault="00FA6DD5" w:rsidP="00FA6DD5">
      <w:pPr>
        <w:suppressLineNumbers/>
        <w:jc w:val="center"/>
        <w:rPr>
          <w:rFonts w:ascii="Book Antiqua" w:eastAsia="Calibri" w:hAnsi="Book Antiqua"/>
          <w:szCs w:val="24"/>
          <w:lang w:val="es-ES"/>
        </w:rPr>
      </w:pPr>
    </w:p>
    <w:p w14:paraId="27F0E649" w14:textId="1F560F04" w:rsidR="00FA6DD5" w:rsidRPr="0028630F" w:rsidRDefault="00FA6DD5" w:rsidP="00FA6DD5">
      <w:pPr>
        <w:widowControl w:val="0"/>
        <w:ind w:left="720" w:hanging="720"/>
        <w:jc w:val="center"/>
        <w:rPr>
          <w:rFonts w:ascii="Book Antiqua" w:hAnsi="Book Antiqua"/>
          <w:szCs w:val="24"/>
          <w:lang w:val="es-ES"/>
        </w:rPr>
      </w:pPr>
      <w:r w:rsidRPr="0028630F">
        <w:rPr>
          <w:rFonts w:ascii="Book Antiqua" w:hAnsi="Book Antiqua"/>
          <w:szCs w:val="24"/>
          <w:lang w:val="es-ES"/>
        </w:rPr>
        <w:t xml:space="preserve">Presentado por el representante </w:t>
      </w:r>
      <w:r w:rsidRPr="0028630F">
        <w:rPr>
          <w:rFonts w:ascii="Book Antiqua" w:hAnsi="Book Antiqua"/>
          <w:i/>
          <w:iCs/>
          <w:szCs w:val="24"/>
          <w:lang w:val="es-ES"/>
        </w:rPr>
        <w:t>Hernández Concepción</w:t>
      </w:r>
    </w:p>
    <w:p w14:paraId="5FBF580F" w14:textId="77777777" w:rsidR="00FA6DD5" w:rsidRPr="0028630F" w:rsidRDefault="00FA6DD5" w:rsidP="00FA6DD5">
      <w:pPr>
        <w:widowControl w:val="0"/>
        <w:ind w:left="720" w:hanging="720"/>
        <w:jc w:val="center"/>
        <w:rPr>
          <w:rFonts w:ascii="Book Antiqua" w:hAnsi="Book Antiqua"/>
          <w:szCs w:val="24"/>
          <w:lang w:val="es-ES"/>
        </w:rPr>
      </w:pPr>
    </w:p>
    <w:p w14:paraId="4AA2139C" w14:textId="33687501" w:rsidR="00FA6DD5" w:rsidRPr="0028630F" w:rsidRDefault="00FA6DD5" w:rsidP="00FA6DD5">
      <w:pPr>
        <w:widowControl w:val="0"/>
        <w:ind w:left="720" w:hanging="720"/>
        <w:jc w:val="center"/>
        <w:rPr>
          <w:rFonts w:ascii="Book Antiqua" w:hAnsi="Book Antiqua"/>
          <w:szCs w:val="24"/>
          <w:lang w:val="es-ES_tradnl"/>
        </w:rPr>
      </w:pPr>
      <w:r w:rsidRPr="0028630F">
        <w:rPr>
          <w:rFonts w:ascii="Book Antiqua" w:hAnsi="Book Antiqua"/>
          <w:szCs w:val="24"/>
          <w:lang w:val="es-ES"/>
        </w:rPr>
        <w:t>Referido a</w:t>
      </w:r>
      <w:r w:rsidR="00C425EF">
        <w:rPr>
          <w:rFonts w:ascii="Book Antiqua" w:hAnsi="Book Antiqua"/>
          <w:szCs w:val="24"/>
          <w:lang w:val="es-ES"/>
        </w:rPr>
        <w:t xml:space="preserve"> la Comisión de Gobierno</w:t>
      </w:r>
    </w:p>
    <w:p w14:paraId="38F05157" w14:textId="77777777" w:rsidR="00B00154" w:rsidRPr="0028630F" w:rsidRDefault="00B00154" w:rsidP="00B00154">
      <w:pPr>
        <w:jc w:val="center"/>
        <w:rPr>
          <w:rFonts w:ascii="Book Antiqua" w:hAnsi="Book Antiqua"/>
          <w:szCs w:val="24"/>
          <w:lang w:val="es-ES_tradnl"/>
        </w:rPr>
      </w:pPr>
    </w:p>
    <w:p w14:paraId="04099F64" w14:textId="77777777" w:rsidR="00F90AD0" w:rsidRPr="0028630F" w:rsidRDefault="00F90AD0" w:rsidP="00F90AD0">
      <w:pPr>
        <w:jc w:val="center"/>
        <w:rPr>
          <w:rFonts w:ascii="Book Antiqua" w:hAnsi="Book Antiqua"/>
          <w:b/>
          <w:szCs w:val="24"/>
          <w:lang w:val="es-ES_tradnl"/>
        </w:rPr>
      </w:pPr>
      <w:r w:rsidRPr="0028630F">
        <w:rPr>
          <w:rFonts w:ascii="Book Antiqua" w:hAnsi="Book Antiqua"/>
          <w:b/>
          <w:szCs w:val="24"/>
          <w:lang w:val="es-ES_tradnl"/>
        </w:rPr>
        <w:t>LEY</w:t>
      </w:r>
    </w:p>
    <w:p w14:paraId="00347EA6" w14:textId="77777777" w:rsidR="00F90AD0" w:rsidRPr="0028630F" w:rsidRDefault="00F90AD0" w:rsidP="00F90AD0">
      <w:pPr>
        <w:jc w:val="both"/>
        <w:rPr>
          <w:rFonts w:ascii="Book Antiqua" w:hAnsi="Book Antiqua"/>
          <w:szCs w:val="24"/>
          <w:lang w:val="es-ES_tradnl"/>
        </w:rPr>
      </w:pPr>
    </w:p>
    <w:p w14:paraId="4D18FA23" w14:textId="4779EDAE" w:rsidR="000A286A" w:rsidRPr="0028630F" w:rsidRDefault="000A286A" w:rsidP="0028630F">
      <w:pPr>
        <w:ind w:left="720" w:hanging="720"/>
        <w:jc w:val="both"/>
        <w:rPr>
          <w:rFonts w:ascii="Book Antiqua" w:hAnsi="Book Antiqua"/>
          <w:szCs w:val="24"/>
          <w:lang w:val="es-PR"/>
        </w:rPr>
      </w:pPr>
      <w:r w:rsidRPr="0028630F">
        <w:rPr>
          <w:rFonts w:ascii="Book Antiqua" w:hAnsi="Book Antiqua"/>
          <w:szCs w:val="24"/>
          <w:lang w:val="es-PR"/>
        </w:rPr>
        <w:t>Para enmendar la Sección 6 de la Ley Núm. 83 de 2 de mayo de 1941, según enmendada, conocida como “Ley de la Autoridad de Energía Eléctrica de Puerto Rico”, a los fines de añadir un nuevo inciso (q) para disponer que toda empresa que administre el sistema eléctrico de Puerto Rico deberá establecer y mantener un sistema de procesamiento de querellas que impida el cierre injustificado de reclamaciones sin resolución efectiva; disponer sobre la notificación al consumidor; y para otros fines relacionados.</w:t>
      </w:r>
    </w:p>
    <w:p w14:paraId="74EC2157" w14:textId="00255ED2" w:rsidR="00F90AD0" w:rsidRPr="0028630F" w:rsidRDefault="00F90AD0" w:rsidP="0028630F">
      <w:pPr>
        <w:ind w:firstLine="360"/>
        <w:jc w:val="center"/>
        <w:rPr>
          <w:rFonts w:ascii="Book Antiqua" w:hAnsi="Book Antiqua"/>
          <w:szCs w:val="24"/>
          <w:lang w:val="es-ES_tradnl"/>
        </w:rPr>
      </w:pPr>
      <w:r w:rsidRPr="0028630F">
        <w:rPr>
          <w:rFonts w:ascii="Book Antiqua" w:hAnsi="Book Antiqua"/>
          <w:szCs w:val="24"/>
          <w:lang w:val="es-ES_tradnl"/>
        </w:rPr>
        <w:br/>
        <w:t>EXPOSICIÓN DE MOTIVOS</w:t>
      </w:r>
    </w:p>
    <w:p w14:paraId="6FC18B81" w14:textId="77777777" w:rsidR="0028630F" w:rsidRPr="0028630F" w:rsidRDefault="0028630F" w:rsidP="0028630F">
      <w:pPr>
        <w:ind w:firstLine="360"/>
        <w:jc w:val="center"/>
        <w:rPr>
          <w:rFonts w:ascii="Book Antiqua" w:hAnsi="Book Antiqua"/>
          <w:szCs w:val="24"/>
          <w:lang w:val="es-ES_tradnl"/>
        </w:rPr>
      </w:pPr>
    </w:p>
    <w:p w14:paraId="1E95FC9D" w14:textId="3910229F" w:rsidR="000A286A" w:rsidRPr="0028630F" w:rsidRDefault="000A286A" w:rsidP="0028630F">
      <w:pPr>
        <w:ind w:firstLine="720"/>
        <w:jc w:val="both"/>
        <w:rPr>
          <w:rFonts w:ascii="Book Antiqua" w:hAnsi="Book Antiqua"/>
          <w:szCs w:val="24"/>
          <w:lang w:val="es-PR"/>
        </w:rPr>
      </w:pPr>
      <w:r w:rsidRPr="0028630F">
        <w:rPr>
          <w:rFonts w:ascii="Book Antiqua" w:hAnsi="Book Antiqua"/>
          <w:szCs w:val="24"/>
          <w:lang w:val="es-PR"/>
        </w:rPr>
        <w:t>La prestación de un servicio eléctrico eficiente, confiable y transparente es un derecho esencial para nuestros ciudadanos y un componente indispensable para nuestra calidad de vida. Sin embargo, en los últimos años se ha observado un patrón recurrente de situaciones en las cuales ciudadanos radican querellas relacionadas a interrupciones del servicio, facturación, daños a enseres y otras incidencias administrativas, que no son atendidas de manera adecuada por la empresa que actualmente administra la red, LUMA Energy.</w:t>
      </w:r>
    </w:p>
    <w:p w14:paraId="575C39BC" w14:textId="77777777" w:rsidR="0028630F" w:rsidRPr="0028630F" w:rsidRDefault="0028630F" w:rsidP="0028630F">
      <w:pPr>
        <w:ind w:firstLine="720"/>
        <w:jc w:val="both"/>
        <w:rPr>
          <w:rFonts w:ascii="Book Antiqua" w:hAnsi="Book Antiqua"/>
          <w:szCs w:val="24"/>
          <w:lang w:val="es-PR"/>
        </w:rPr>
      </w:pPr>
    </w:p>
    <w:p w14:paraId="7B08CE13" w14:textId="77777777" w:rsidR="000A286A" w:rsidRPr="0028630F" w:rsidRDefault="000A286A" w:rsidP="0028630F">
      <w:pPr>
        <w:ind w:firstLine="720"/>
        <w:jc w:val="both"/>
        <w:rPr>
          <w:rFonts w:ascii="Book Antiqua" w:hAnsi="Book Antiqua"/>
          <w:szCs w:val="24"/>
          <w:lang w:val="es-PR"/>
        </w:rPr>
      </w:pPr>
      <w:r w:rsidRPr="0028630F">
        <w:rPr>
          <w:rFonts w:ascii="Book Antiqua" w:hAnsi="Book Antiqua"/>
          <w:szCs w:val="24"/>
          <w:lang w:val="es-PR"/>
        </w:rPr>
        <w:t>Este patrón se agrava cuando dichas querellas se cierran sin que exista una contestación real, efectiva o una resolución al planteamiento original del ciudadano, lo cual provoca indefensión, desinformación y falta de transparencia en la relación proveedor–consumidor. El efecto práctico es la pérdida de confianza pública hacia la empresa responsable de administrar un servicio crítico para todos los sectores del país.</w:t>
      </w:r>
    </w:p>
    <w:p w14:paraId="1BD6B434" w14:textId="77777777" w:rsidR="000A286A" w:rsidRPr="0028630F" w:rsidRDefault="000A286A" w:rsidP="0028630F">
      <w:pPr>
        <w:ind w:firstLine="720"/>
        <w:jc w:val="both"/>
        <w:rPr>
          <w:rFonts w:ascii="Book Antiqua" w:hAnsi="Book Antiqua"/>
          <w:szCs w:val="24"/>
          <w:lang w:val="es-PR"/>
        </w:rPr>
      </w:pPr>
    </w:p>
    <w:p w14:paraId="74D7856C" w14:textId="36BDA323" w:rsidR="001F11D0" w:rsidRPr="0028630F" w:rsidRDefault="000A286A" w:rsidP="0028630F">
      <w:pPr>
        <w:ind w:firstLine="720"/>
        <w:jc w:val="both"/>
        <w:rPr>
          <w:rFonts w:ascii="Book Antiqua" w:hAnsi="Book Antiqua"/>
          <w:szCs w:val="24"/>
          <w:lang w:val="es-PR"/>
        </w:rPr>
      </w:pPr>
      <w:r w:rsidRPr="0028630F">
        <w:rPr>
          <w:rFonts w:ascii="Book Antiqua" w:hAnsi="Book Antiqua"/>
          <w:szCs w:val="24"/>
          <w:lang w:val="es-PR"/>
        </w:rPr>
        <w:lastRenderedPageBreak/>
        <w:t>Es deber del Gobierno asegurar que los consumidores tengan acceso a un proceso justo y transparente para la radicación, trámite y resolución de querellas. Por tal razón, se hace necesario establecer en Ley un mecanismo formal que impida el cierre de reclamaciones sin que estas hayan sido debidamente atendidas, y que requiera que se provea al consumidor información clara sobre el estatus y la determinación final de cada querella. La implantación de un sistema uniforme y trazable para estos fines permitirá fiscalizar el cumplimiento de la empresa y proteger al ciudadano de prácticas que menoscaban el derecho a un servicio eléctrico responsable, confiable y accesible.</w:t>
      </w:r>
    </w:p>
    <w:p w14:paraId="3A9F92CE" w14:textId="77777777" w:rsidR="0028630F" w:rsidRPr="0028630F" w:rsidRDefault="0028630F" w:rsidP="0028630F">
      <w:pPr>
        <w:ind w:firstLine="720"/>
        <w:jc w:val="both"/>
        <w:rPr>
          <w:rFonts w:ascii="Book Antiqua" w:hAnsi="Book Antiqua"/>
          <w:szCs w:val="24"/>
          <w:lang w:val="es-PR"/>
        </w:rPr>
      </w:pPr>
    </w:p>
    <w:p w14:paraId="0F869E4C" w14:textId="77777777" w:rsidR="00F90AD0" w:rsidRPr="0028630F" w:rsidRDefault="00F90AD0" w:rsidP="0028630F">
      <w:pPr>
        <w:rPr>
          <w:rFonts w:ascii="Book Antiqua" w:hAnsi="Book Antiqua"/>
          <w:i/>
          <w:szCs w:val="24"/>
          <w:lang w:val="es-ES_tradnl"/>
        </w:rPr>
      </w:pPr>
      <w:r w:rsidRPr="0028630F">
        <w:rPr>
          <w:rFonts w:ascii="Book Antiqua" w:hAnsi="Book Antiqua"/>
          <w:i/>
          <w:szCs w:val="24"/>
          <w:lang w:val="es-ES_tradnl"/>
        </w:rPr>
        <w:t>DECRÉTASE POR LA ASAMBLEA LEGISLATIVA DE PUERTO RICO:</w:t>
      </w:r>
    </w:p>
    <w:p w14:paraId="49D92463" w14:textId="77777777" w:rsidR="00F90AD0" w:rsidRPr="0028630F" w:rsidRDefault="00F90AD0" w:rsidP="0028630F">
      <w:pPr>
        <w:jc w:val="both"/>
        <w:rPr>
          <w:rFonts w:ascii="Book Antiqua" w:hAnsi="Book Antiqua"/>
          <w:szCs w:val="24"/>
          <w:lang w:val="es-ES_tradnl"/>
        </w:rPr>
      </w:pPr>
    </w:p>
    <w:p w14:paraId="3A7385B4" w14:textId="77777777" w:rsidR="0028630F" w:rsidRPr="0028630F" w:rsidRDefault="0028630F" w:rsidP="0028630F">
      <w:pPr>
        <w:jc w:val="both"/>
        <w:rPr>
          <w:rFonts w:ascii="Book Antiqua" w:hAnsi="Book Antiqua"/>
          <w:szCs w:val="24"/>
          <w:lang w:val="es-ES_tradnl"/>
        </w:rPr>
        <w:sectPr w:rsidR="0028630F" w:rsidRPr="0028630F">
          <w:headerReference w:type="default" r:id="rId9"/>
          <w:type w:val="continuous"/>
          <w:pgSz w:w="12240" w:h="15840" w:code="1"/>
          <w:pgMar w:top="1440" w:right="1440" w:bottom="1440" w:left="1440" w:header="720" w:footer="720" w:gutter="0"/>
          <w:cols w:space="720"/>
          <w:titlePg/>
        </w:sectPr>
      </w:pPr>
    </w:p>
    <w:p w14:paraId="443B33D8" w14:textId="11E11487" w:rsidR="00F90AD0" w:rsidRPr="0028630F" w:rsidRDefault="00F90AD0" w:rsidP="0028630F">
      <w:pPr>
        <w:spacing w:line="480" w:lineRule="auto"/>
        <w:jc w:val="both"/>
        <w:rPr>
          <w:rFonts w:ascii="Book Antiqua" w:hAnsi="Book Antiqua"/>
          <w:bCs/>
          <w:color w:val="000000"/>
          <w:szCs w:val="24"/>
          <w:lang w:val="es-PR"/>
        </w:rPr>
      </w:pPr>
      <w:r w:rsidRPr="0028630F">
        <w:rPr>
          <w:rFonts w:ascii="Book Antiqua" w:hAnsi="Book Antiqua"/>
          <w:szCs w:val="24"/>
          <w:lang w:val="es-ES_tradnl"/>
        </w:rPr>
        <w:t xml:space="preserve"> </w:t>
      </w:r>
      <w:r w:rsidR="00C07469" w:rsidRPr="0028630F">
        <w:rPr>
          <w:rFonts w:ascii="Book Antiqua" w:hAnsi="Book Antiqua"/>
          <w:szCs w:val="24"/>
          <w:lang w:val="es-ES_tradnl"/>
        </w:rPr>
        <w:tab/>
      </w:r>
      <w:bookmarkStart w:id="0" w:name="_Hlk202169470"/>
      <w:r w:rsidR="000A286A" w:rsidRPr="0028630F">
        <w:rPr>
          <w:rFonts w:ascii="Book Antiqua" w:hAnsi="Book Antiqua"/>
          <w:szCs w:val="24"/>
          <w:lang w:val="es-ES_tradnl"/>
        </w:rPr>
        <w:t>Sección</w:t>
      </w:r>
      <w:r w:rsidR="00DF42E4" w:rsidRPr="0028630F">
        <w:rPr>
          <w:rFonts w:ascii="Book Antiqua" w:hAnsi="Book Antiqua"/>
          <w:szCs w:val="24"/>
          <w:lang w:val="es-ES_tradnl"/>
        </w:rPr>
        <w:t xml:space="preserve"> 1</w:t>
      </w:r>
      <w:r w:rsidRPr="0028630F">
        <w:rPr>
          <w:rFonts w:ascii="Book Antiqua" w:hAnsi="Book Antiqua"/>
          <w:bCs/>
          <w:color w:val="000000"/>
          <w:szCs w:val="24"/>
          <w:lang w:val="es-PR"/>
        </w:rPr>
        <w:t xml:space="preserve">.- </w:t>
      </w:r>
      <w:r w:rsidR="000A286A" w:rsidRPr="0028630F">
        <w:rPr>
          <w:rFonts w:ascii="Book Antiqua" w:hAnsi="Book Antiqua"/>
          <w:bCs/>
          <w:color w:val="000000"/>
          <w:szCs w:val="24"/>
          <w:lang w:val="es-PR"/>
        </w:rPr>
        <w:t>Se enmienda la Sección 6 de la Ley Núm. 83 de 2 de mayo de 1941, según enmendada, para añadir un nuevo inciso (q), el cual leerá como sigue:</w:t>
      </w:r>
    </w:p>
    <w:p w14:paraId="1ACF4707" w14:textId="75A8C48D" w:rsidR="007157E1" w:rsidRPr="0028630F" w:rsidRDefault="007157E1" w:rsidP="0028630F">
      <w:pPr>
        <w:spacing w:line="480" w:lineRule="auto"/>
        <w:jc w:val="both"/>
        <w:rPr>
          <w:rFonts w:ascii="Book Antiqua" w:hAnsi="Book Antiqua"/>
          <w:bCs/>
          <w:color w:val="000000"/>
          <w:szCs w:val="24"/>
          <w:lang w:val="es-PR"/>
        </w:rPr>
      </w:pPr>
      <w:r w:rsidRPr="0028630F">
        <w:rPr>
          <w:rFonts w:ascii="Book Antiqua" w:hAnsi="Book Antiqua"/>
          <w:bCs/>
          <w:color w:val="000000"/>
          <w:szCs w:val="24"/>
          <w:lang w:val="es-ES_tradnl"/>
        </w:rPr>
        <w:tab/>
        <w:t>“</w:t>
      </w:r>
      <w:r w:rsidR="000A286A" w:rsidRPr="0028630F">
        <w:rPr>
          <w:rFonts w:ascii="Book Antiqua" w:hAnsi="Book Antiqua"/>
          <w:bCs/>
          <w:color w:val="000000"/>
          <w:szCs w:val="24"/>
          <w:lang w:val="es-PR"/>
        </w:rPr>
        <w:t xml:space="preserve">Sección 6. — Deberes y responsabilidades. </w:t>
      </w:r>
    </w:p>
    <w:p w14:paraId="2AAD655B" w14:textId="003BE92E" w:rsidR="007157E1" w:rsidRPr="0028630F" w:rsidRDefault="007157E1" w:rsidP="0028630F">
      <w:pPr>
        <w:spacing w:line="480" w:lineRule="auto"/>
        <w:jc w:val="both"/>
        <w:rPr>
          <w:rFonts w:ascii="Book Antiqua" w:hAnsi="Book Antiqua"/>
          <w:bCs/>
          <w:color w:val="000000"/>
          <w:szCs w:val="24"/>
          <w:lang w:val="es-ES_tradnl"/>
        </w:rPr>
      </w:pPr>
      <w:r w:rsidRPr="0028630F">
        <w:rPr>
          <w:rFonts w:ascii="Book Antiqua" w:hAnsi="Book Antiqua"/>
          <w:bCs/>
          <w:color w:val="000000"/>
          <w:szCs w:val="24"/>
          <w:lang w:val="es-ES_tradnl"/>
        </w:rPr>
        <w:tab/>
        <w:t>(a)…</w:t>
      </w:r>
    </w:p>
    <w:p w14:paraId="30879E95" w14:textId="6B6F6D93" w:rsidR="007157E1" w:rsidRPr="0028630F" w:rsidRDefault="007157E1" w:rsidP="0028630F">
      <w:pPr>
        <w:spacing w:line="480" w:lineRule="auto"/>
        <w:jc w:val="both"/>
        <w:rPr>
          <w:rFonts w:ascii="Book Antiqua" w:hAnsi="Book Antiqua"/>
          <w:bCs/>
          <w:color w:val="000000"/>
          <w:szCs w:val="24"/>
          <w:lang w:val="es-ES_tradnl"/>
        </w:rPr>
      </w:pPr>
      <w:r w:rsidRPr="0028630F">
        <w:rPr>
          <w:rFonts w:ascii="Book Antiqua" w:hAnsi="Book Antiqua"/>
          <w:bCs/>
          <w:color w:val="000000"/>
          <w:szCs w:val="24"/>
          <w:lang w:val="es-ES_tradnl"/>
        </w:rPr>
        <w:tab/>
        <w:t>…</w:t>
      </w:r>
    </w:p>
    <w:p w14:paraId="19F1ADAE" w14:textId="4361CCDB" w:rsidR="00BD5873" w:rsidRPr="0028630F" w:rsidRDefault="007157E1" w:rsidP="0028630F">
      <w:pPr>
        <w:spacing w:line="480" w:lineRule="auto"/>
        <w:jc w:val="both"/>
        <w:rPr>
          <w:rFonts w:ascii="Book Antiqua" w:hAnsi="Book Antiqua"/>
          <w:bCs/>
          <w:i/>
          <w:iCs/>
          <w:color w:val="000000"/>
          <w:szCs w:val="24"/>
          <w:lang w:val="es-PR"/>
        </w:rPr>
      </w:pPr>
      <w:r w:rsidRPr="0028630F">
        <w:rPr>
          <w:rFonts w:ascii="Book Antiqua" w:hAnsi="Book Antiqua"/>
          <w:bCs/>
          <w:color w:val="000000"/>
          <w:szCs w:val="24"/>
          <w:lang w:val="es-ES_tradnl"/>
        </w:rPr>
        <w:tab/>
      </w:r>
      <w:r w:rsidRPr="0028630F">
        <w:rPr>
          <w:rFonts w:ascii="Book Antiqua" w:hAnsi="Book Antiqua"/>
          <w:bCs/>
          <w:i/>
          <w:iCs/>
          <w:color w:val="000000"/>
          <w:szCs w:val="24"/>
          <w:lang w:val="es-ES_tradnl"/>
        </w:rPr>
        <w:t>(</w:t>
      </w:r>
      <w:r w:rsidR="000A286A" w:rsidRPr="0028630F">
        <w:rPr>
          <w:rFonts w:ascii="Book Antiqua" w:hAnsi="Book Antiqua"/>
          <w:bCs/>
          <w:i/>
          <w:iCs/>
          <w:color w:val="000000"/>
          <w:szCs w:val="24"/>
          <w:lang w:val="es-ES_tradnl"/>
        </w:rPr>
        <w:t>q</w:t>
      </w:r>
      <w:r w:rsidRPr="0028630F">
        <w:rPr>
          <w:rFonts w:ascii="Book Antiqua" w:hAnsi="Book Antiqua"/>
          <w:bCs/>
          <w:i/>
          <w:iCs/>
          <w:color w:val="000000"/>
          <w:szCs w:val="24"/>
          <w:lang w:val="es-ES_tradnl"/>
        </w:rPr>
        <w:t>)</w:t>
      </w:r>
      <w:r w:rsidR="000A286A" w:rsidRPr="0028630F">
        <w:rPr>
          <w:rFonts w:ascii="Book Antiqua" w:hAnsi="Book Antiqua" w:cs="Segoe UI"/>
          <w:color w:val="242424"/>
          <w:szCs w:val="24"/>
          <w:lang w:val="es-PR"/>
        </w:rPr>
        <w:t xml:space="preserve"> </w:t>
      </w:r>
      <w:r w:rsidR="000A286A" w:rsidRPr="0028630F">
        <w:rPr>
          <w:rFonts w:ascii="Book Antiqua" w:hAnsi="Book Antiqua"/>
          <w:bCs/>
          <w:i/>
          <w:iCs/>
          <w:color w:val="000000"/>
          <w:szCs w:val="24"/>
          <w:lang w:val="es-PR"/>
        </w:rPr>
        <w:t>Establecer y mantener un sistema uniforme de procesamiento de querellas radicadas por los consumidores, que documente cada trámite del proceso incluyendo fecha y hora de radicación, identificación de la unidad o división asignada, acciones tomadas y determinación final. La empresa que administre el sistema eléctrico de Puerto Rico no podrá cerrar una querella sin que exista una explicación escrita, notificada al consumidor, que describa la acción tomada, la resolución ofrecida y la determinación final. De igual forma, se garantizará que el consumidor pueda acceder y verificar electrónicamente el estatus de su reclamación</w:t>
      </w:r>
      <w:r w:rsidR="00921932" w:rsidRPr="0028630F">
        <w:rPr>
          <w:rFonts w:ascii="Book Antiqua" w:hAnsi="Book Antiqua"/>
          <w:bCs/>
          <w:i/>
          <w:iCs/>
          <w:color w:val="000000"/>
          <w:szCs w:val="24"/>
          <w:lang w:val="es-PR"/>
        </w:rPr>
        <w:t>, prohibiéndose la creación de nuevos números de querellas para una misma incidencia no resuelta, desde su radicación original hasta el cierre real del caso</w:t>
      </w:r>
      <w:r w:rsidR="00BD5873" w:rsidRPr="0028630F">
        <w:rPr>
          <w:rFonts w:ascii="Book Antiqua" w:hAnsi="Book Antiqua"/>
          <w:bCs/>
          <w:color w:val="000000"/>
          <w:szCs w:val="24"/>
          <w:lang w:val="es-PR"/>
        </w:rPr>
        <w:t>”</w:t>
      </w:r>
    </w:p>
    <w:p w14:paraId="7D5D1E42" w14:textId="44788146" w:rsidR="00BD5873" w:rsidRPr="0028630F" w:rsidRDefault="001A4959" w:rsidP="0028630F">
      <w:pPr>
        <w:spacing w:line="480" w:lineRule="auto"/>
        <w:ind w:firstLine="720"/>
        <w:jc w:val="both"/>
        <w:rPr>
          <w:rFonts w:ascii="Book Antiqua" w:hAnsi="Book Antiqua"/>
          <w:bCs/>
          <w:color w:val="000000"/>
          <w:szCs w:val="24"/>
          <w:lang w:val="es-PR"/>
        </w:rPr>
      </w:pPr>
      <w:r w:rsidRPr="0028630F">
        <w:rPr>
          <w:rFonts w:ascii="Book Antiqua" w:hAnsi="Book Antiqua"/>
          <w:bCs/>
          <w:color w:val="000000"/>
          <w:szCs w:val="24"/>
          <w:lang w:val="es-PR"/>
        </w:rPr>
        <w:t>Sección</w:t>
      </w:r>
      <w:r w:rsidR="00942B62" w:rsidRPr="0028630F">
        <w:rPr>
          <w:rFonts w:ascii="Book Antiqua" w:hAnsi="Book Antiqua"/>
          <w:bCs/>
          <w:color w:val="000000"/>
          <w:szCs w:val="24"/>
          <w:lang w:val="es-PR"/>
        </w:rPr>
        <w:t xml:space="preserve"> </w:t>
      </w:r>
      <w:r w:rsidR="00BD5873" w:rsidRPr="0028630F">
        <w:rPr>
          <w:rFonts w:ascii="Book Antiqua" w:hAnsi="Book Antiqua"/>
          <w:bCs/>
          <w:color w:val="000000"/>
          <w:szCs w:val="24"/>
          <w:lang w:val="es-PR"/>
        </w:rPr>
        <w:t>2</w:t>
      </w:r>
      <w:r w:rsidR="00F90AD0" w:rsidRPr="0028630F">
        <w:rPr>
          <w:rFonts w:ascii="Book Antiqua" w:hAnsi="Book Antiqua"/>
          <w:bCs/>
          <w:color w:val="000000"/>
          <w:szCs w:val="24"/>
          <w:lang w:val="es-PR"/>
        </w:rPr>
        <w:t>.-</w:t>
      </w:r>
      <w:r w:rsidR="00BD5873" w:rsidRPr="0028630F">
        <w:rPr>
          <w:rFonts w:ascii="Book Antiqua" w:hAnsi="Book Antiqua"/>
          <w:bCs/>
          <w:color w:val="000000"/>
          <w:szCs w:val="24"/>
          <w:lang w:val="es-PR"/>
        </w:rPr>
        <w:t xml:space="preserve"> </w:t>
      </w:r>
      <w:r w:rsidRPr="0028630F">
        <w:rPr>
          <w:rFonts w:ascii="Book Antiqua" w:hAnsi="Book Antiqua"/>
          <w:bCs/>
          <w:color w:val="000000"/>
          <w:szCs w:val="24"/>
          <w:lang w:val="es-PR"/>
        </w:rPr>
        <w:t xml:space="preserve">La Autoridad de </w:t>
      </w:r>
      <w:r w:rsidR="00810A2B" w:rsidRPr="0028630F">
        <w:rPr>
          <w:rFonts w:ascii="Book Antiqua" w:hAnsi="Book Antiqua"/>
          <w:bCs/>
          <w:color w:val="000000"/>
          <w:szCs w:val="24"/>
          <w:lang w:val="es-PR"/>
        </w:rPr>
        <w:t>Energía</w:t>
      </w:r>
      <w:r w:rsidRPr="0028630F">
        <w:rPr>
          <w:rFonts w:ascii="Book Antiqua" w:hAnsi="Book Antiqua"/>
          <w:bCs/>
          <w:color w:val="000000"/>
          <w:szCs w:val="24"/>
          <w:lang w:val="es-PR"/>
        </w:rPr>
        <w:t xml:space="preserve"> </w:t>
      </w:r>
      <w:r w:rsidR="00810A2B" w:rsidRPr="0028630F">
        <w:rPr>
          <w:rFonts w:ascii="Book Antiqua" w:hAnsi="Book Antiqua"/>
          <w:bCs/>
          <w:color w:val="000000"/>
          <w:szCs w:val="24"/>
          <w:lang w:val="es-PR"/>
        </w:rPr>
        <w:t>Eléctrica</w:t>
      </w:r>
      <w:r w:rsidRPr="0028630F">
        <w:rPr>
          <w:rFonts w:ascii="Book Antiqua" w:hAnsi="Book Antiqua"/>
          <w:bCs/>
          <w:color w:val="000000"/>
          <w:szCs w:val="24"/>
          <w:lang w:val="es-PR"/>
        </w:rPr>
        <w:t xml:space="preserve"> de Puerto Rico </w:t>
      </w:r>
      <w:r w:rsidR="00BD5873" w:rsidRPr="0028630F">
        <w:rPr>
          <w:rFonts w:ascii="Book Antiqua" w:hAnsi="Book Antiqua"/>
          <w:bCs/>
          <w:color w:val="000000"/>
          <w:szCs w:val="24"/>
          <w:lang w:val="es-PR"/>
        </w:rPr>
        <w:t xml:space="preserve">adoptara la reglamentación necesaria para la implantación de este inciso, incluyendo los mecanismos </w:t>
      </w:r>
      <w:r w:rsidR="00BD5873" w:rsidRPr="0028630F">
        <w:rPr>
          <w:rFonts w:ascii="Book Antiqua" w:hAnsi="Book Antiqua"/>
          <w:bCs/>
          <w:color w:val="000000"/>
          <w:szCs w:val="24"/>
          <w:lang w:val="es-PR"/>
        </w:rPr>
        <w:lastRenderedPageBreak/>
        <w:t>de cómputo, notificación y ajuste de las deudas acumuladas, dentro de un término no mayor de ciento ochenta (180) días a partir de la vigencia de esta Ley.</w:t>
      </w:r>
    </w:p>
    <w:p w14:paraId="5CDC469E" w14:textId="4C018919" w:rsidR="00C34882" w:rsidRPr="0028630F" w:rsidRDefault="001A4959" w:rsidP="0028630F">
      <w:pPr>
        <w:spacing w:line="480" w:lineRule="auto"/>
        <w:ind w:firstLine="720"/>
        <w:jc w:val="both"/>
        <w:rPr>
          <w:rFonts w:ascii="Book Antiqua" w:hAnsi="Book Antiqua"/>
          <w:bCs/>
          <w:color w:val="000000"/>
          <w:szCs w:val="24"/>
          <w:lang w:val="es-PR"/>
        </w:rPr>
      </w:pPr>
      <w:r w:rsidRPr="0028630F">
        <w:rPr>
          <w:rFonts w:ascii="Book Antiqua" w:hAnsi="Book Antiqua"/>
          <w:bCs/>
          <w:color w:val="000000"/>
          <w:szCs w:val="24"/>
          <w:lang w:val="es-PR"/>
        </w:rPr>
        <w:t>Sección</w:t>
      </w:r>
      <w:r w:rsidR="00BD5873" w:rsidRPr="0028630F">
        <w:rPr>
          <w:rFonts w:ascii="Book Antiqua" w:hAnsi="Book Antiqua"/>
          <w:bCs/>
          <w:color w:val="000000"/>
          <w:szCs w:val="24"/>
          <w:lang w:val="es-PR"/>
        </w:rPr>
        <w:t xml:space="preserve"> 3.- </w:t>
      </w:r>
      <w:r w:rsidR="00F90AD0" w:rsidRPr="0028630F">
        <w:rPr>
          <w:rFonts w:ascii="Book Antiqua" w:hAnsi="Book Antiqua"/>
          <w:color w:val="000000"/>
          <w:szCs w:val="24"/>
          <w:lang w:val="es-PR"/>
        </w:rPr>
        <w:t xml:space="preserve">Esta </w:t>
      </w:r>
      <w:r w:rsidR="00E054D5" w:rsidRPr="0028630F">
        <w:rPr>
          <w:rFonts w:ascii="Book Antiqua" w:hAnsi="Book Antiqua"/>
          <w:color w:val="000000"/>
          <w:szCs w:val="24"/>
          <w:lang w:val="es-PR"/>
        </w:rPr>
        <w:t>l</w:t>
      </w:r>
      <w:r w:rsidR="00F90AD0" w:rsidRPr="0028630F">
        <w:rPr>
          <w:rFonts w:ascii="Book Antiqua" w:hAnsi="Book Antiqua"/>
          <w:color w:val="000000"/>
          <w:szCs w:val="24"/>
          <w:lang w:val="es-PR"/>
        </w:rPr>
        <w:t xml:space="preserve">ey entrará en vigor </w:t>
      </w:r>
      <w:r w:rsidR="00DF42E4" w:rsidRPr="0028630F">
        <w:rPr>
          <w:rFonts w:ascii="Book Antiqua" w:hAnsi="Book Antiqua"/>
          <w:color w:val="000000"/>
          <w:szCs w:val="24"/>
          <w:lang w:val="es-PR"/>
        </w:rPr>
        <w:t>inmediatamente luego de su aprobación.</w:t>
      </w:r>
      <w:bookmarkEnd w:id="0"/>
    </w:p>
    <w:sectPr w:rsidR="00C34882" w:rsidRPr="0028630F"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BEE74" w14:textId="77777777" w:rsidR="00C82D22" w:rsidRDefault="00C82D22">
      <w:r>
        <w:separator/>
      </w:r>
    </w:p>
  </w:endnote>
  <w:endnote w:type="continuationSeparator" w:id="0">
    <w:p w14:paraId="151F96B0" w14:textId="77777777" w:rsidR="00C82D22" w:rsidRDefault="00C82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3B3CA" w14:textId="77777777" w:rsidR="00C82D22" w:rsidRDefault="00C82D22">
      <w:r>
        <w:separator/>
      </w:r>
    </w:p>
  </w:footnote>
  <w:footnote w:type="continuationSeparator" w:id="0">
    <w:p w14:paraId="42EBCD18" w14:textId="77777777" w:rsidR="00C82D22" w:rsidRDefault="00C82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47DAA"/>
    <w:rsid w:val="00056024"/>
    <w:rsid w:val="00082226"/>
    <w:rsid w:val="000825C8"/>
    <w:rsid w:val="0008747E"/>
    <w:rsid w:val="0009056E"/>
    <w:rsid w:val="00095AE1"/>
    <w:rsid w:val="00097340"/>
    <w:rsid w:val="000A286A"/>
    <w:rsid w:val="000A6B6C"/>
    <w:rsid w:val="000B0DBB"/>
    <w:rsid w:val="000C3FCD"/>
    <w:rsid w:val="000C67E6"/>
    <w:rsid w:val="00103B2C"/>
    <w:rsid w:val="00111E71"/>
    <w:rsid w:val="00120477"/>
    <w:rsid w:val="00127C6A"/>
    <w:rsid w:val="00132D7C"/>
    <w:rsid w:val="001363FE"/>
    <w:rsid w:val="00157C21"/>
    <w:rsid w:val="00166443"/>
    <w:rsid w:val="0017132B"/>
    <w:rsid w:val="00194959"/>
    <w:rsid w:val="001A4959"/>
    <w:rsid w:val="001A7E59"/>
    <w:rsid w:val="001F11D0"/>
    <w:rsid w:val="001F4CA3"/>
    <w:rsid w:val="001F612A"/>
    <w:rsid w:val="00200691"/>
    <w:rsid w:val="00211396"/>
    <w:rsid w:val="00226AE6"/>
    <w:rsid w:val="0023271D"/>
    <w:rsid w:val="00234BA2"/>
    <w:rsid w:val="00245B34"/>
    <w:rsid w:val="0024694F"/>
    <w:rsid w:val="00263355"/>
    <w:rsid w:val="00271826"/>
    <w:rsid w:val="00273792"/>
    <w:rsid w:val="00281443"/>
    <w:rsid w:val="0028630F"/>
    <w:rsid w:val="002A24E9"/>
    <w:rsid w:val="002B4D1A"/>
    <w:rsid w:val="002C15D0"/>
    <w:rsid w:val="002D4AC8"/>
    <w:rsid w:val="00320D78"/>
    <w:rsid w:val="0033052F"/>
    <w:rsid w:val="00334F4D"/>
    <w:rsid w:val="00380FE5"/>
    <w:rsid w:val="003924DD"/>
    <w:rsid w:val="00394FCB"/>
    <w:rsid w:val="003963F4"/>
    <w:rsid w:val="003A0BF2"/>
    <w:rsid w:val="003B5254"/>
    <w:rsid w:val="003B75A6"/>
    <w:rsid w:val="003C254C"/>
    <w:rsid w:val="003D05C1"/>
    <w:rsid w:val="003D62D9"/>
    <w:rsid w:val="003E4DF8"/>
    <w:rsid w:val="004061CA"/>
    <w:rsid w:val="00415689"/>
    <w:rsid w:val="004438F5"/>
    <w:rsid w:val="004440CB"/>
    <w:rsid w:val="00461B96"/>
    <w:rsid w:val="004713D2"/>
    <w:rsid w:val="004831A6"/>
    <w:rsid w:val="0048323D"/>
    <w:rsid w:val="0048586F"/>
    <w:rsid w:val="004A6A73"/>
    <w:rsid w:val="004E3B77"/>
    <w:rsid w:val="004E7192"/>
    <w:rsid w:val="004F696C"/>
    <w:rsid w:val="00520716"/>
    <w:rsid w:val="00521639"/>
    <w:rsid w:val="00532BB7"/>
    <w:rsid w:val="005332E4"/>
    <w:rsid w:val="0053550C"/>
    <w:rsid w:val="00555018"/>
    <w:rsid w:val="005645F8"/>
    <w:rsid w:val="005723DC"/>
    <w:rsid w:val="005B0FCC"/>
    <w:rsid w:val="006210DC"/>
    <w:rsid w:val="00622CBF"/>
    <w:rsid w:val="0062463F"/>
    <w:rsid w:val="006360CA"/>
    <w:rsid w:val="0064349D"/>
    <w:rsid w:val="00653EED"/>
    <w:rsid w:val="00685549"/>
    <w:rsid w:val="00685E66"/>
    <w:rsid w:val="006B7365"/>
    <w:rsid w:val="006C2D81"/>
    <w:rsid w:val="006C7DF8"/>
    <w:rsid w:val="006E117A"/>
    <w:rsid w:val="00701E8A"/>
    <w:rsid w:val="007157E1"/>
    <w:rsid w:val="00750FC8"/>
    <w:rsid w:val="00751101"/>
    <w:rsid w:val="007533D0"/>
    <w:rsid w:val="00753AE8"/>
    <w:rsid w:val="00755069"/>
    <w:rsid w:val="00766276"/>
    <w:rsid w:val="00766DBE"/>
    <w:rsid w:val="00776B4F"/>
    <w:rsid w:val="007A2D91"/>
    <w:rsid w:val="007A55B8"/>
    <w:rsid w:val="007B0660"/>
    <w:rsid w:val="007D79CD"/>
    <w:rsid w:val="007E3868"/>
    <w:rsid w:val="007F319A"/>
    <w:rsid w:val="00810A2B"/>
    <w:rsid w:val="00812114"/>
    <w:rsid w:val="00820C41"/>
    <w:rsid w:val="00840CFE"/>
    <w:rsid w:val="00850256"/>
    <w:rsid w:val="0088232A"/>
    <w:rsid w:val="0088422E"/>
    <w:rsid w:val="00890109"/>
    <w:rsid w:val="00897A48"/>
    <w:rsid w:val="008B1A96"/>
    <w:rsid w:val="008E4CB4"/>
    <w:rsid w:val="00921932"/>
    <w:rsid w:val="0093686F"/>
    <w:rsid w:val="00942B62"/>
    <w:rsid w:val="00942FD4"/>
    <w:rsid w:val="009465D8"/>
    <w:rsid w:val="00950A21"/>
    <w:rsid w:val="00951997"/>
    <w:rsid w:val="00954D07"/>
    <w:rsid w:val="00981479"/>
    <w:rsid w:val="00990352"/>
    <w:rsid w:val="009A30EC"/>
    <w:rsid w:val="009A6FE0"/>
    <w:rsid w:val="009B6C1A"/>
    <w:rsid w:val="009C1832"/>
    <w:rsid w:val="009C6482"/>
    <w:rsid w:val="009E08CC"/>
    <w:rsid w:val="00A020D4"/>
    <w:rsid w:val="00A03122"/>
    <w:rsid w:val="00A03405"/>
    <w:rsid w:val="00A03EE3"/>
    <w:rsid w:val="00A1528A"/>
    <w:rsid w:val="00A33918"/>
    <w:rsid w:val="00A7629F"/>
    <w:rsid w:val="00A92E6D"/>
    <w:rsid w:val="00A949B9"/>
    <w:rsid w:val="00AB157A"/>
    <w:rsid w:val="00AB30DB"/>
    <w:rsid w:val="00AB6466"/>
    <w:rsid w:val="00AC4643"/>
    <w:rsid w:val="00AD1ED1"/>
    <w:rsid w:val="00AF0CEE"/>
    <w:rsid w:val="00AF1038"/>
    <w:rsid w:val="00B00154"/>
    <w:rsid w:val="00B029E2"/>
    <w:rsid w:val="00B065ED"/>
    <w:rsid w:val="00B10ED1"/>
    <w:rsid w:val="00B12489"/>
    <w:rsid w:val="00B55910"/>
    <w:rsid w:val="00B5646B"/>
    <w:rsid w:val="00B667AD"/>
    <w:rsid w:val="00B84C38"/>
    <w:rsid w:val="00B86C00"/>
    <w:rsid w:val="00B90C26"/>
    <w:rsid w:val="00B93A37"/>
    <w:rsid w:val="00B947F6"/>
    <w:rsid w:val="00BA6830"/>
    <w:rsid w:val="00BD5873"/>
    <w:rsid w:val="00BF16AA"/>
    <w:rsid w:val="00BF7436"/>
    <w:rsid w:val="00C04358"/>
    <w:rsid w:val="00C07469"/>
    <w:rsid w:val="00C34882"/>
    <w:rsid w:val="00C354B8"/>
    <w:rsid w:val="00C418F5"/>
    <w:rsid w:val="00C425EF"/>
    <w:rsid w:val="00C52517"/>
    <w:rsid w:val="00C604E5"/>
    <w:rsid w:val="00C60921"/>
    <w:rsid w:val="00C62936"/>
    <w:rsid w:val="00C653F2"/>
    <w:rsid w:val="00C679E6"/>
    <w:rsid w:val="00C82490"/>
    <w:rsid w:val="00C82D22"/>
    <w:rsid w:val="00C84CA8"/>
    <w:rsid w:val="00C908F9"/>
    <w:rsid w:val="00CA0917"/>
    <w:rsid w:val="00CA0992"/>
    <w:rsid w:val="00CA1099"/>
    <w:rsid w:val="00D34121"/>
    <w:rsid w:val="00D417C2"/>
    <w:rsid w:val="00D504A5"/>
    <w:rsid w:val="00D60936"/>
    <w:rsid w:val="00D709EB"/>
    <w:rsid w:val="00D74714"/>
    <w:rsid w:val="00D769A4"/>
    <w:rsid w:val="00D82F3F"/>
    <w:rsid w:val="00D921C6"/>
    <w:rsid w:val="00D958C2"/>
    <w:rsid w:val="00D95CB8"/>
    <w:rsid w:val="00DB07B5"/>
    <w:rsid w:val="00DC1B6E"/>
    <w:rsid w:val="00DC6761"/>
    <w:rsid w:val="00DD6D1E"/>
    <w:rsid w:val="00DF42E4"/>
    <w:rsid w:val="00E04AB5"/>
    <w:rsid w:val="00E054D5"/>
    <w:rsid w:val="00E057F1"/>
    <w:rsid w:val="00E111A5"/>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23CEF"/>
    <w:rsid w:val="00F60A20"/>
    <w:rsid w:val="00F864FA"/>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591</Words>
  <Characters>3365</Characters>
  <Application>Microsoft Office Word</Application>
  <DocSecurity>0</DocSecurity>
  <Lines>70</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asesora - IT</vt:lpstr>
    </vt:vector>
  </TitlesOfParts>
  <Company>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Gladys J. Burgos Torres</cp:lastModifiedBy>
  <cp:revision>5</cp:revision>
  <cp:lastPrinted>2026-01-08T13:27:00Z</cp:lastPrinted>
  <dcterms:created xsi:type="dcterms:W3CDTF">2026-01-07T17:53:00Z</dcterms:created>
  <dcterms:modified xsi:type="dcterms:W3CDTF">2026-01-08T13:48:00Z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