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906F6F1"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DB2C23">
        <w:rPr>
          <w:rFonts w:ascii="Book Antiqua" w:hAnsi="Book Antiqua"/>
          <w:lang w:val="es-ES_tradnl"/>
        </w:rPr>
        <w:t>3</w:t>
      </w:r>
      <w:r w:rsidR="00DB2C23">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2211FA1C"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8A1DDA">
        <w:rPr>
          <w:rFonts w:ascii="Book Antiqua" w:hAnsi="Book Antiqua"/>
          <w:b/>
          <w:sz w:val="52"/>
          <w:szCs w:val="52"/>
          <w:lang w:val="es-ES_tradnl"/>
        </w:rPr>
        <w:t>10</w:t>
      </w:r>
      <w:r w:rsidR="006A42A4">
        <w:rPr>
          <w:rFonts w:ascii="Book Antiqua" w:hAnsi="Book Antiqua"/>
          <w:b/>
          <w:sz w:val="52"/>
          <w:szCs w:val="52"/>
          <w:lang w:val="es-ES_tradnl"/>
        </w:rPr>
        <w:t>0</w:t>
      </w:r>
      <w:r w:rsidR="008A1DDA">
        <w:rPr>
          <w:rFonts w:ascii="Book Antiqua" w:hAnsi="Book Antiqua"/>
          <w:b/>
          <w:sz w:val="52"/>
          <w:szCs w:val="52"/>
          <w:lang w:val="es-ES_tradnl"/>
        </w:rPr>
        <w:t>5</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78294B02" w:rsidR="006705DD" w:rsidRPr="00B95434" w:rsidRDefault="00BF5631" w:rsidP="006705DD">
      <w:pPr>
        <w:jc w:val="center"/>
        <w:rPr>
          <w:rFonts w:ascii="Book Antiqua" w:hAnsi="Book Antiqua"/>
          <w:szCs w:val="24"/>
          <w:lang w:val="es-ES_tradnl"/>
        </w:rPr>
      </w:pPr>
      <w:r>
        <w:rPr>
          <w:rFonts w:ascii="Book Antiqua" w:hAnsi="Book Antiqua"/>
          <w:szCs w:val="24"/>
          <w:lang w:val="es-ES_tradnl"/>
        </w:rPr>
        <w:t>24</w:t>
      </w:r>
      <w:r w:rsidR="006705DD" w:rsidRPr="00FC11CC">
        <w:rPr>
          <w:rFonts w:ascii="Book Antiqua" w:hAnsi="Book Antiqua"/>
          <w:szCs w:val="24"/>
          <w:lang w:val="es-ES_tradnl"/>
        </w:rPr>
        <w:t xml:space="preserve"> de</w:t>
      </w:r>
      <w:r w:rsidR="00DB2C23">
        <w:rPr>
          <w:rFonts w:ascii="Book Antiqua" w:hAnsi="Book Antiqua"/>
          <w:szCs w:val="24"/>
          <w:lang w:val="es-ES_tradnl"/>
        </w:rPr>
        <w:t xml:space="preserve"> </w:t>
      </w:r>
      <w:r w:rsidR="005661BC">
        <w:rPr>
          <w:rFonts w:ascii="Book Antiqua" w:hAnsi="Book Antiqua"/>
          <w:szCs w:val="24"/>
          <w:lang w:val="es-ES_tradnl"/>
        </w:rPr>
        <w:t>abril</w:t>
      </w:r>
      <w:r w:rsidR="005E345A">
        <w:rPr>
          <w:rFonts w:ascii="Book Antiqua" w:hAnsi="Book Antiqua"/>
          <w:szCs w:val="24"/>
          <w:lang w:val="es-ES_tradnl"/>
        </w:rPr>
        <w:t xml:space="preserve"> de 202</w:t>
      </w:r>
      <w:r w:rsidR="0012106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004C1215"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8A1DDA">
        <w:rPr>
          <w:rFonts w:ascii="Book Antiqua" w:hAnsi="Book Antiqua" w:cs="Arial"/>
          <w:lang w:val="es-ES"/>
        </w:rPr>
        <w:t>10</w:t>
      </w:r>
      <w:r w:rsidR="006A42A4">
        <w:rPr>
          <w:rFonts w:ascii="Book Antiqua" w:hAnsi="Book Antiqua" w:cs="Arial"/>
          <w:lang w:val="es-ES"/>
        </w:rPr>
        <w:t>0</w:t>
      </w:r>
      <w:r w:rsidR="008A1DDA">
        <w:rPr>
          <w:rFonts w:ascii="Book Antiqua" w:hAnsi="Book Antiqua" w:cs="Arial"/>
          <w:lang w:val="es-ES"/>
        </w:rPr>
        <w:t>5</w:t>
      </w:r>
      <w:r w:rsidR="0087700A">
        <w:rPr>
          <w:rFonts w:ascii="Book Antiqua" w:hAnsi="Book Antiqua" w:cs="Arial"/>
          <w:lang w:val="es-ES"/>
        </w:rPr>
        <w:t xml:space="preserve">, tiene el honor de recomendar a este Alto Cuerpo su </w:t>
      </w:r>
      <w:r w:rsidR="00A927E0">
        <w:rPr>
          <w:rFonts w:ascii="Book Antiqua" w:hAnsi="Book Antiqua" w:cs="Arial"/>
          <w:lang w:val="es-ES"/>
        </w:rPr>
        <w:t xml:space="preserve">aprobación, </w:t>
      </w:r>
      <w:r w:rsidR="00A927E0" w:rsidRPr="009B3675">
        <w:rPr>
          <w:rFonts w:ascii="Book Antiqua" w:hAnsi="Book Antiqua" w:cs="Arial"/>
          <w:lang w:val="es-ES"/>
        </w:rPr>
        <w:t>con</w:t>
      </w:r>
      <w:r w:rsidR="009B3675" w:rsidRPr="009B3675">
        <w:rPr>
          <w:rFonts w:ascii="Book Antiqua" w:hAnsi="Book Antiqua" w:cs="Arial"/>
          <w:lang w:val="es-ES"/>
        </w:rPr>
        <w:t xml:space="preserve"> las enmiendas que se incluyen en el </w:t>
      </w:r>
      <w:proofErr w:type="spellStart"/>
      <w:r w:rsidR="009B3675" w:rsidRPr="009B3675">
        <w:rPr>
          <w:rFonts w:ascii="Book Antiqua" w:hAnsi="Book Antiqua" w:cs="Arial"/>
          <w:lang w:val="es-ES"/>
        </w:rPr>
        <w:t>entirillado</w:t>
      </w:r>
      <w:proofErr w:type="spellEnd"/>
      <w:r w:rsidR="009B3675" w:rsidRPr="009B3675">
        <w:rPr>
          <w:rFonts w:ascii="Book Antiqua" w:hAnsi="Book Antiqua" w:cs="Arial"/>
          <w:lang w:val="es-ES"/>
        </w:rPr>
        <w:t xml:space="preserve"> electrónico que acompaña este </w:t>
      </w:r>
      <w:r w:rsidR="00592412">
        <w:rPr>
          <w:rFonts w:ascii="Book Antiqua" w:hAnsi="Book Antiqua" w:cs="Arial"/>
          <w:lang w:val="es-ES"/>
        </w:rPr>
        <w:t>i</w:t>
      </w:r>
      <w:r w:rsidR="009B3675" w:rsidRPr="009B3675">
        <w:rPr>
          <w:rFonts w:ascii="Book Antiqua" w:hAnsi="Book Antiqua" w:cs="Arial"/>
          <w:lang w:val="es-ES"/>
        </w:rPr>
        <w:t xml:space="preserve">nforme. </w:t>
      </w:r>
    </w:p>
    <w:p w14:paraId="0C8A8066" w14:textId="77777777" w:rsidR="00276C3E" w:rsidRDefault="00276C3E" w:rsidP="002E0754">
      <w:pPr>
        <w:rPr>
          <w:rFonts w:ascii="Book Antiqua" w:hAnsi="Book Antiqua"/>
          <w:b/>
          <w:i/>
          <w:smallCaps/>
          <w:szCs w:val="24"/>
          <w:lang w:val="es-ES_tradnl"/>
        </w:rPr>
      </w:pPr>
      <w:bookmarkStart w:id="0" w:name="_Hlk189811370"/>
    </w:p>
    <w:p w14:paraId="2458AB3E" w14:textId="5FAD0AF7"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bookmarkEnd w:id="0"/>
    <w:p w14:paraId="68D9994E" w14:textId="77777777" w:rsidR="00AC0B45" w:rsidRPr="00AC0B45" w:rsidRDefault="00AC0B45" w:rsidP="002E0754">
      <w:pPr>
        <w:rPr>
          <w:rFonts w:ascii="Book Antiqua" w:hAnsi="Book Antiqua" w:cs="Arial"/>
          <w:lang w:val="es-ES"/>
        </w:rPr>
      </w:pPr>
    </w:p>
    <w:p w14:paraId="345E029D" w14:textId="1A16D70E" w:rsidR="00182ED3" w:rsidRPr="007E3FE5"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6A42A4">
        <w:rPr>
          <w:rFonts w:ascii="Book Antiqua" w:hAnsi="Book Antiqua" w:cs="Arial"/>
          <w:lang w:val="es-ES"/>
        </w:rPr>
        <w:t>1005</w:t>
      </w:r>
      <w:r w:rsidR="00A927E0">
        <w:rPr>
          <w:rFonts w:ascii="Book Antiqua" w:hAnsi="Book Antiqua" w:cs="Arial"/>
          <w:lang w:val="es-ES"/>
        </w:rPr>
        <w:t>,</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n radicado,</w:t>
      </w:r>
      <w:r w:rsidR="000412D4">
        <w:rPr>
          <w:rFonts w:ascii="Book Antiqua" w:hAnsi="Book Antiqua" w:cs="Arial"/>
          <w:lang w:val="es-ES"/>
        </w:rPr>
        <w:t xml:space="preserve"> busca</w:t>
      </w:r>
      <w:r w:rsidR="005661BC" w:rsidRPr="005661BC">
        <w:rPr>
          <w:rFonts w:ascii="Book Antiqua" w:hAnsi="Book Antiqua" w:cs="Arial"/>
          <w:lang w:val="es-ES"/>
        </w:rPr>
        <w:t xml:space="preserve"> </w:t>
      </w:r>
      <w:r w:rsidR="006A42A4" w:rsidRPr="006A42A4">
        <w:rPr>
          <w:rFonts w:ascii="Book Antiqua" w:hAnsi="Book Antiqua" w:cs="Arial"/>
          <w:lang w:val="es-ES"/>
        </w:rPr>
        <w:t>enmendar los Artículos 4.012A y 4.014 de la Ley 107-2020, según enmendada, conocida como el “Código Municipal de Puerto Rico”, con el fin de permitir a personas, sean estas naturales o jurídicas, con o sin fines de lucro, adquirir propiedades declaradas como estorbo público sin que se les catalogue como tercero adquirente, siempre que la propiedad sea dedicada al desarrollo de viviendas para individuos o familias de ingresos bajos, moderados o de clase media.</w:t>
      </w:r>
    </w:p>
    <w:p w14:paraId="3F6D663B" w14:textId="77777777" w:rsidR="00A76B51" w:rsidRDefault="00A76B51" w:rsidP="00A76B51">
      <w:pPr>
        <w:autoSpaceDE w:val="0"/>
        <w:autoSpaceDN w:val="0"/>
        <w:adjustRightInd w:val="0"/>
        <w:jc w:val="both"/>
        <w:rPr>
          <w:rFonts w:ascii="Book Antiqua" w:hAnsi="Book Antiqua" w:cs="Arial"/>
          <w:lang w:val="es-ES"/>
        </w:rPr>
      </w:pPr>
    </w:p>
    <w:p w14:paraId="0DF42F09" w14:textId="4B1A403A" w:rsidR="006A42A4" w:rsidRDefault="00182ED3" w:rsidP="00866FDE">
      <w:pPr>
        <w:jc w:val="both"/>
        <w:rPr>
          <w:rFonts w:ascii="Book Antiqua" w:hAnsi="Book Antiqua"/>
          <w:lang w:val="es-PR"/>
        </w:rPr>
      </w:pPr>
      <w:r w:rsidRPr="000245A3">
        <w:rPr>
          <w:rFonts w:ascii="Book Antiqua" w:hAnsi="Book Antiqua" w:cs="Arial"/>
          <w:lang w:val="es-ES"/>
        </w:rPr>
        <w:t>Según establece la Exposición de Motivos</w:t>
      </w:r>
      <w:r w:rsidR="00A927E0">
        <w:rPr>
          <w:rFonts w:ascii="Book Antiqua" w:hAnsi="Book Antiqua" w:cs="Arial"/>
          <w:lang w:val="es-ES"/>
        </w:rPr>
        <w:t>,</w:t>
      </w:r>
      <w:r w:rsidRPr="000245A3">
        <w:rPr>
          <w:rFonts w:ascii="Book Antiqua" w:hAnsi="Book Antiqua" w:cs="Arial"/>
          <w:lang w:val="es-ES"/>
        </w:rPr>
        <w:t xml:space="preserve"> </w:t>
      </w:r>
      <w:r w:rsidR="00540012">
        <w:rPr>
          <w:rFonts w:ascii="Book Antiqua" w:hAnsi="Book Antiqua"/>
          <w:lang w:val="es-PR"/>
        </w:rPr>
        <w:t>a</w:t>
      </w:r>
      <w:r w:rsidR="006A42A4" w:rsidRPr="00D30D1D">
        <w:rPr>
          <w:rFonts w:ascii="Book Antiqua" w:hAnsi="Book Antiqua"/>
          <w:lang w:val="es-PR"/>
        </w:rPr>
        <w:t xml:space="preserve"> varios años del paso del huracán María por nuestra Isla, la declaración mundial de una pandemia causada por el </w:t>
      </w:r>
      <w:r w:rsidR="00540012">
        <w:rPr>
          <w:rFonts w:ascii="Book Antiqua" w:hAnsi="Book Antiqua"/>
          <w:lang w:val="es-PR"/>
        </w:rPr>
        <w:t>COVID-19</w:t>
      </w:r>
      <w:r w:rsidR="006A42A4" w:rsidRPr="00D30D1D">
        <w:rPr>
          <w:rFonts w:ascii="Book Antiqua" w:hAnsi="Book Antiqua"/>
          <w:lang w:val="es-PR"/>
        </w:rPr>
        <w:t xml:space="preserve"> y posteriores desastres naturales, Puerto Rico se encuentra aún en etapa de recuperación. Todos estos </w:t>
      </w:r>
      <w:r w:rsidR="007E1EA6" w:rsidRPr="00D30D1D">
        <w:rPr>
          <w:rFonts w:ascii="Book Antiqua" w:hAnsi="Book Antiqua"/>
          <w:lang w:val="es-PR"/>
        </w:rPr>
        <w:t>acontecimientos,</w:t>
      </w:r>
      <w:r w:rsidR="006A42A4" w:rsidRPr="00D30D1D">
        <w:rPr>
          <w:rFonts w:ascii="Book Antiqua" w:hAnsi="Book Antiqua"/>
          <w:lang w:val="es-PR"/>
        </w:rPr>
        <w:t xml:space="preserve"> junto a una </w:t>
      </w:r>
      <w:r w:rsidR="00866FDE">
        <w:rPr>
          <w:rFonts w:ascii="Book Antiqua" w:hAnsi="Book Antiqua"/>
          <w:lang w:val="es-PR"/>
        </w:rPr>
        <w:t xml:space="preserve">difícil situación </w:t>
      </w:r>
      <w:r w:rsidR="006A42A4" w:rsidRPr="00D30D1D">
        <w:rPr>
          <w:rFonts w:ascii="Book Antiqua" w:hAnsi="Book Antiqua"/>
          <w:lang w:val="es-PR"/>
        </w:rPr>
        <w:t xml:space="preserve">económica que viene gestándose desde hace décadas, han puesto a nuestra economía en una posición que dificulta la calidad de vida de los ciudadanos en general. Como parte de esta dificultad que enfrentamos, </w:t>
      </w:r>
      <w:r w:rsidR="006A42A4">
        <w:rPr>
          <w:rFonts w:ascii="Book Antiqua" w:hAnsi="Book Antiqua"/>
          <w:lang w:val="es-PR"/>
        </w:rPr>
        <w:t>coexisten</w:t>
      </w:r>
      <w:r w:rsidR="006A42A4" w:rsidRPr="00D30D1D">
        <w:rPr>
          <w:rFonts w:ascii="Book Antiqua" w:hAnsi="Book Antiqua"/>
          <w:lang w:val="es-PR"/>
        </w:rPr>
        <w:t xml:space="preserve"> tanto el abandono de estructuras, como la escasez de vivienda asequible. Por una parte, vemos </w:t>
      </w:r>
      <w:r w:rsidR="00540012">
        <w:rPr>
          <w:rFonts w:ascii="Book Antiqua" w:hAnsi="Book Antiqua"/>
          <w:lang w:val="es-PR"/>
        </w:rPr>
        <w:t>cómo</w:t>
      </w:r>
      <w:r w:rsidR="006A42A4" w:rsidRPr="00D30D1D">
        <w:rPr>
          <w:rFonts w:ascii="Book Antiqua" w:hAnsi="Book Antiqua"/>
          <w:lang w:val="es-PR"/>
        </w:rPr>
        <w:t xml:space="preserve"> una enorme cantidad de viviendas y edificios en general se encuentran en estados deplorables a través de los distintos municipios. Ello, sin resultados evidentes de que se ejerzan los poderes delegados a los ayuntamientos a </w:t>
      </w:r>
      <w:r w:rsidR="006A42A4" w:rsidRPr="00D30D1D">
        <w:rPr>
          <w:rFonts w:ascii="Book Antiqua" w:hAnsi="Book Antiqua"/>
          <w:lang w:val="es-PR"/>
        </w:rPr>
        <w:lastRenderedPageBreak/>
        <w:t xml:space="preserve">fin de que se declaren estos como estorbos públicos y se proceda a restaurar o demoler, según sean las circunstancias de cada caso, y las condiciones particulares de la edificación de la que se trate. Por otra parte, es una incuestionable realidad que en Puerto Rico existe una escasez de viviendas de interés social en general. El problema de vivienda se empeora en la medida en que el nivel de pobreza continúe en aumento, perjudicando un sustancial sector de nuestra población. </w:t>
      </w:r>
    </w:p>
    <w:p w14:paraId="30234D96" w14:textId="77777777" w:rsidR="00866FDE" w:rsidRPr="00D30D1D" w:rsidRDefault="00866FDE" w:rsidP="00866FDE">
      <w:pPr>
        <w:jc w:val="both"/>
        <w:rPr>
          <w:rFonts w:ascii="Book Antiqua" w:hAnsi="Book Antiqua"/>
          <w:lang w:val="es-PR"/>
        </w:rPr>
      </w:pPr>
    </w:p>
    <w:p w14:paraId="5492168E" w14:textId="776DC05A" w:rsidR="006A42A4" w:rsidRDefault="006A42A4" w:rsidP="00540012">
      <w:pPr>
        <w:jc w:val="both"/>
        <w:rPr>
          <w:rFonts w:ascii="Book Antiqua" w:hAnsi="Book Antiqua"/>
          <w:lang w:val="es-PR"/>
        </w:rPr>
      </w:pPr>
      <w:r w:rsidRPr="00D30D1D">
        <w:rPr>
          <w:rFonts w:ascii="Book Antiqua" w:hAnsi="Book Antiqua"/>
          <w:lang w:val="es-PR"/>
        </w:rPr>
        <w:t>Con el propósito de atender el desafío que representan los estorbos públicos para el bienestar y la seguridad de las comunidades y la ciudadanía, la Ley 107-2020, según enmendada, conocida como el “Código Municipal de Puerto Rico” (en adelante, el “Código Municipal”), otorga a los municipios las herramientas para hacer frente a este panorama. En esencia, el Capítulo II</w:t>
      </w:r>
      <w:r>
        <w:rPr>
          <w:rFonts w:ascii="Book Antiqua" w:hAnsi="Book Antiqua"/>
          <w:lang w:val="es-PR"/>
        </w:rPr>
        <w:t xml:space="preserve"> del Libro IV</w:t>
      </w:r>
      <w:r w:rsidRPr="00D30D1D">
        <w:rPr>
          <w:rFonts w:ascii="Book Antiqua" w:hAnsi="Book Antiqua"/>
          <w:lang w:val="es-PR"/>
        </w:rPr>
        <w:t xml:space="preserve"> del Código Municipal provee un mecanismo para declarar estorbo público aquellos edificios, viviendas y solares que cumplan con los requisitos de la propia Ley para ser así calificados. El Artículo 4.008 del Código Municipal encomienda a los municipios realizar los estudios necesarios, dentro de sus límites, para identificar los inmuebles deshabitados y abandonados que por sus condiciones deban ser clasificados como estorbos públicos. Concluidos los estudios, deben identificar como posible estorbo público toda estructura o solar que sea declarada como tal, según definido en el propio Código y tramitar la declaración de estorbo público conforme a los parámetros establecidos en la misma Ley. </w:t>
      </w:r>
    </w:p>
    <w:p w14:paraId="34B6CAAF" w14:textId="77777777" w:rsidR="00540012" w:rsidRPr="00D30D1D" w:rsidRDefault="00540012" w:rsidP="00540012">
      <w:pPr>
        <w:jc w:val="both"/>
        <w:rPr>
          <w:rFonts w:ascii="Book Antiqua" w:hAnsi="Book Antiqua"/>
          <w:lang w:val="es-PR"/>
        </w:rPr>
      </w:pPr>
    </w:p>
    <w:p w14:paraId="03782CD7" w14:textId="62A6A406" w:rsidR="006A42A4" w:rsidRPr="00D30D1D" w:rsidRDefault="006A42A4" w:rsidP="006A42A4">
      <w:pPr>
        <w:jc w:val="both"/>
        <w:rPr>
          <w:rFonts w:ascii="Book Antiqua" w:hAnsi="Book Antiqua"/>
          <w:lang w:val="es-PR"/>
        </w:rPr>
      </w:pPr>
      <w:r w:rsidRPr="00D30D1D">
        <w:rPr>
          <w:rFonts w:ascii="Book Antiqua" w:hAnsi="Book Antiqua"/>
          <w:lang w:val="es-PR"/>
        </w:rPr>
        <w:t xml:space="preserve">Como </w:t>
      </w:r>
      <w:r w:rsidR="00540012" w:rsidRPr="00D30D1D">
        <w:rPr>
          <w:rFonts w:ascii="Book Antiqua" w:hAnsi="Book Antiqua"/>
          <w:lang w:val="es-PR"/>
        </w:rPr>
        <w:t>sabemos, la</w:t>
      </w:r>
      <w:r w:rsidRPr="00D30D1D">
        <w:rPr>
          <w:rFonts w:ascii="Book Antiqua" w:hAnsi="Book Antiqua"/>
          <w:lang w:val="es-PR"/>
        </w:rPr>
        <w:t xml:space="preserve"> rehabilitación y desarrollo de viviendas han sido sufragados a través de fondos federales o estatales sin que ello propenda a solucionar el problema al que hacemos referencia. En ese sentido, el procedimiento instituido en el Código Municipal para la declaración de estorbo público permite, bajo ciertas circunstancias, que el municipio en cuestión proceda con la acción judicial que corresponda para la ejecución de la propiedad y la venta en pública subasta. Posterior a ello, los municipios pueden vender, ceder, donar o arrendar estas propiedades conforme establece el Código Municipal. Siempre que el municipio no expropie inmuebles declarados como estorbo público por motivos de utilidad pública procederá a preparar un Inventario de Propiedades Declaradas como Estorbo Público. Las propiedades incluidas en el Inventario podrán ser objeto de expropiación por el municipio para su posterior transferencia a cualquier persona que esté en disposición de adquirirla para su reconstrucción y restauración o construir una nueva edificación. El municipio puede adquirir la propiedad mediante compraventa o expropiación forzosa, para lo cual debe pagar el justo valor de la propiedad. La política pública establecida en el Código Municipal con relación a los estorbos públicos es que la titularidad de estas estructuras pueda ser transferida a personas con interés legítimo sobre las mismas de forma tal que estas se mantengan en condiciones apropiadas. </w:t>
      </w:r>
    </w:p>
    <w:p w14:paraId="71F5E449" w14:textId="77777777" w:rsidR="006A42A4" w:rsidRDefault="006A42A4" w:rsidP="006A42A4">
      <w:pPr>
        <w:ind w:firstLine="720"/>
        <w:jc w:val="both"/>
        <w:rPr>
          <w:rFonts w:ascii="Book Antiqua" w:hAnsi="Book Antiqua"/>
          <w:lang w:val="es-PR"/>
        </w:rPr>
      </w:pPr>
    </w:p>
    <w:p w14:paraId="345CF31F" w14:textId="6F6ADEE5" w:rsidR="006A42A4" w:rsidRDefault="006A42A4" w:rsidP="006A42A4">
      <w:pPr>
        <w:jc w:val="both"/>
        <w:rPr>
          <w:rFonts w:ascii="Book Antiqua" w:hAnsi="Book Antiqua"/>
          <w:lang w:val="es-PR"/>
        </w:rPr>
      </w:pPr>
      <w:r w:rsidRPr="00D30D1D">
        <w:rPr>
          <w:rFonts w:ascii="Book Antiqua" w:hAnsi="Book Antiqua"/>
          <w:lang w:val="es-PR"/>
        </w:rPr>
        <w:t xml:space="preserve">Para facilitar el trámite de adquisición de los estorbos públicos, el Artículo 4.012A del Código Municipal establece un procedimiento de expropiación sumario y encomienda al </w:t>
      </w:r>
      <w:r w:rsidRPr="00D30D1D">
        <w:rPr>
          <w:rFonts w:ascii="Book Antiqua" w:hAnsi="Book Antiqua"/>
          <w:lang w:val="es-PR"/>
        </w:rPr>
        <w:lastRenderedPageBreak/>
        <w:t>municipio adoptar mediante ordenanza municipal los requisitos y normas para la transferencia o venta de las propiedades adquiridas a través de compra o el procedimiento sumario de expropiación. En aquellas instancias en que la propiedad pueda ser rehabilitada como residencia, el municipio debe considerar como primera opción a personas cuya oportunidad de adquirir una propiedad esté limitada en los procesos del mercado tradicional. Además, se prohíbe utilizar el mecanismo sumario de expropiación para beneficiar a terceros adquirentes, concepto definido como aquel que no ostenta el derecho legítimo de propiedad, como sería un heredero o dueño registral.</w:t>
      </w:r>
    </w:p>
    <w:p w14:paraId="6CE7BCE2" w14:textId="77777777" w:rsidR="006A42A4" w:rsidRPr="00D30D1D" w:rsidRDefault="006A42A4" w:rsidP="006A42A4">
      <w:pPr>
        <w:ind w:firstLine="720"/>
        <w:jc w:val="both"/>
        <w:rPr>
          <w:rFonts w:ascii="Book Antiqua" w:hAnsi="Book Antiqua"/>
          <w:lang w:val="es-PR"/>
        </w:rPr>
      </w:pPr>
    </w:p>
    <w:p w14:paraId="11461507" w14:textId="70849821" w:rsidR="006A42A4" w:rsidRDefault="006A42A4" w:rsidP="006A42A4">
      <w:pPr>
        <w:jc w:val="both"/>
        <w:rPr>
          <w:rFonts w:ascii="Book Antiqua" w:hAnsi="Book Antiqua"/>
          <w:lang w:val="es-PR"/>
        </w:rPr>
      </w:pPr>
      <w:r w:rsidRPr="00D30D1D">
        <w:rPr>
          <w:rFonts w:ascii="Book Antiqua" w:hAnsi="Book Antiqua"/>
          <w:lang w:val="es-PR"/>
        </w:rPr>
        <w:t xml:space="preserve">No obstante, a modo de excepción, durante el primer año, luego de haberse declarado la propiedad como estorbo público, no se considerarán terceros adquirentes, las personas cuyas oportunidades de adquirir una propiedad estén limitadas en los procesos del mercado tradicional. Asimismo, de haber transcurrido un (1) año desde que la propiedad fue declarada estorbo público e incluida en el inventario de propiedades así declaradas, sin que persona alguna haya demostrado interés en adquirir la mismas, el municipio puede disponer de esta de conformidad con el citado Artículo 4.012A del Código Municipal. En pro de aumentar la probabilidad de desarrollos de viviendas dirigidas a individuos o familias de ingresos bajos, moderados o de clase media, esta Asamblea Legislativa considera imperativo modificar el Artículo 4.012A del Código Municipal y permitir que </w:t>
      </w:r>
      <w:r>
        <w:rPr>
          <w:rFonts w:ascii="Book Antiqua" w:hAnsi="Book Antiqua"/>
          <w:lang w:val="es-PR"/>
        </w:rPr>
        <w:t>personas, sean estas naturales o jurídicas</w:t>
      </w:r>
      <w:r w:rsidRPr="00D30D1D">
        <w:rPr>
          <w:rFonts w:ascii="Book Antiqua" w:hAnsi="Book Antiqua"/>
          <w:i/>
          <w:iCs/>
          <w:lang w:val="es-PR"/>
        </w:rPr>
        <w:t>,</w:t>
      </w:r>
      <w:r w:rsidRPr="00D30D1D">
        <w:rPr>
          <w:rFonts w:ascii="Book Antiqua" w:hAnsi="Book Antiqua"/>
          <w:lang w:val="es-PR"/>
        </w:rPr>
        <w:t xml:space="preserve"> con o sin fines de lucro</w:t>
      </w:r>
      <w:r w:rsidRPr="00D30D1D">
        <w:rPr>
          <w:rFonts w:ascii="Book Antiqua" w:hAnsi="Book Antiqua"/>
          <w:i/>
          <w:iCs/>
          <w:lang w:val="es-PR"/>
        </w:rPr>
        <w:t>,</w:t>
      </w:r>
      <w:r w:rsidRPr="00D30D1D">
        <w:rPr>
          <w:rFonts w:ascii="Book Antiqua" w:hAnsi="Book Antiqua"/>
          <w:lang w:val="es-PR"/>
        </w:rPr>
        <w:t xml:space="preserve"> puedan adquirir propiedades declaradas como estorbo público sin tener que esperar un (1) año para ello, siempre que certifiquen que la estructura se dedicará a vivienda para individuos o familias de ingresos bajos, moderados o de clase media</w:t>
      </w:r>
      <w:r w:rsidRPr="00D30D1D">
        <w:rPr>
          <w:rFonts w:ascii="Book Antiqua" w:hAnsi="Book Antiqua"/>
          <w:color w:val="000000"/>
          <w:szCs w:val="24"/>
          <w:lang w:val="es-PR"/>
        </w:rPr>
        <w:t xml:space="preserve"> bajo criterios adoptados por los municipios mediante ordenanza</w:t>
      </w:r>
      <w:r w:rsidRPr="00D30D1D">
        <w:rPr>
          <w:rFonts w:ascii="Book Antiqua" w:hAnsi="Book Antiqua"/>
          <w:lang w:val="es-PR"/>
        </w:rPr>
        <w:t xml:space="preserve">. Igualmente, se enmienda el </w:t>
      </w:r>
      <w:r w:rsidR="003A3EE9">
        <w:rPr>
          <w:rFonts w:ascii="Book Antiqua" w:hAnsi="Book Antiqua"/>
          <w:lang w:val="es-PR"/>
        </w:rPr>
        <w:t xml:space="preserve">     </w:t>
      </w:r>
      <w:r w:rsidRPr="00D30D1D">
        <w:rPr>
          <w:rFonts w:ascii="Book Antiqua" w:hAnsi="Book Antiqua"/>
          <w:lang w:val="es-PR"/>
        </w:rPr>
        <w:t>Artículo 4.014 del Código Municipal para con ello asegurar que la adquisición que mediante est</w:t>
      </w:r>
      <w:r>
        <w:rPr>
          <w:rFonts w:ascii="Book Antiqua" w:hAnsi="Book Antiqua"/>
          <w:lang w:val="es-PR"/>
        </w:rPr>
        <w:t>a</w:t>
      </w:r>
      <w:r w:rsidRPr="00D30D1D">
        <w:rPr>
          <w:rFonts w:ascii="Book Antiqua" w:hAnsi="Book Antiqua"/>
          <w:lang w:val="es-PR"/>
        </w:rPr>
        <w:t xml:space="preserve"> Ley se habilita se utilice para los fines antes dispuestos. </w:t>
      </w:r>
    </w:p>
    <w:p w14:paraId="6FC794F0" w14:textId="48A168D0" w:rsidR="005661BC" w:rsidRPr="008A1DDA" w:rsidRDefault="005661BC" w:rsidP="006A42A4">
      <w:pPr>
        <w:pStyle w:val="NormalWeb"/>
        <w:shd w:val="clear" w:color="auto" w:fill="FFFFFF"/>
        <w:spacing w:before="0" w:beforeAutospacing="0" w:after="0" w:afterAutospacing="0"/>
        <w:jc w:val="both"/>
        <w:rPr>
          <w:rFonts w:ascii="Book Antiqua" w:hAnsi="Book Antiqua"/>
          <w:b/>
          <w:i/>
          <w:smallCaps/>
        </w:rPr>
      </w:pPr>
    </w:p>
    <w:p w14:paraId="55A1479C" w14:textId="2571CF9E" w:rsidR="002169FB" w:rsidRDefault="004D7CDB" w:rsidP="0001317F">
      <w:pPr>
        <w:jc w:val="center"/>
        <w:rPr>
          <w:rFonts w:ascii="Book Antiqua" w:hAnsi="Book Antiqua"/>
          <w:b/>
          <w:i/>
          <w:smallCaps/>
          <w:szCs w:val="24"/>
          <w:lang w:val="es-ES_tradnl"/>
        </w:rPr>
      </w:pPr>
      <w:r>
        <w:rPr>
          <w:rFonts w:ascii="Book Antiqua" w:hAnsi="Book Antiqua"/>
          <w:b/>
          <w:i/>
          <w:smallCaps/>
          <w:szCs w:val="24"/>
          <w:lang w:val="es-ES_tradnl"/>
        </w:rPr>
        <w:t>Resumen de Memoriales</w:t>
      </w:r>
      <w:r w:rsidR="009E093A">
        <w:rPr>
          <w:rFonts w:ascii="Book Antiqua" w:hAnsi="Book Antiqua"/>
          <w:b/>
          <w:i/>
          <w:smallCaps/>
          <w:szCs w:val="24"/>
          <w:lang w:val="es-ES_tradnl"/>
        </w:rPr>
        <w:t xml:space="preserve"> y Trámite Legislativo</w:t>
      </w:r>
    </w:p>
    <w:p w14:paraId="78F32474" w14:textId="508A09D8" w:rsidR="00540012" w:rsidRDefault="005616B3" w:rsidP="003A3EE9">
      <w:pPr>
        <w:spacing w:before="100" w:beforeAutospacing="1" w:after="100" w:afterAutospacing="1"/>
        <w:jc w:val="both"/>
        <w:rPr>
          <w:rFonts w:ascii="Book Antiqua" w:hAnsi="Book Antiqua"/>
          <w:bCs/>
          <w:iCs/>
          <w:szCs w:val="24"/>
          <w:lang w:val="es-ES"/>
        </w:rPr>
      </w:pPr>
      <w:r w:rsidRPr="005661BC">
        <w:rPr>
          <w:rFonts w:ascii="Book Antiqua" w:hAnsi="Book Antiqua"/>
          <w:bCs/>
          <w:iCs/>
          <w:szCs w:val="24"/>
          <w:lang w:val="es-ES"/>
        </w:rPr>
        <w:t xml:space="preserve">Durante la discusión y </w:t>
      </w:r>
      <w:r w:rsidR="00D400B4" w:rsidRPr="005661BC">
        <w:rPr>
          <w:rFonts w:ascii="Book Antiqua" w:hAnsi="Book Antiqua"/>
          <w:bCs/>
          <w:iCs/>
          <w:szCs w:val="24"/>
          <w:lang w:val="es-ES"/>
        </w:rPr>
        <w:t>análisis</w:t>
      </w:r>
      <w:r w:rsidRPr="005661BC">
        <w:rPr>
          <w:rFonts w:ascii="Book Antiqua" w:hAnsi="Book Antiqua"/>
          <w:bCs/>
          <w:iCs/>
          <w:szCs w:val="24"/>
          <w:lang w:val="es-ES"/>
        </w:rPr>
        <w:t xml:space="preserve"> legislativo de la </w:t>
      </w:r>
      <w:r w:rsidR="009E093A" w:rsidRPr="005661BC">
        <w:rPr>
          <w:rFonts w:ascii="Book Antiqua" w:hAnsi="Book Antiqua"/>
          <w:bCs/>
          <w:iCs/>
          <w:szCs w:val="24"/>
          <w:lang w:val="es-ES"/>
        </w:rPr>
        <w:t>p</w:t>
      </w:r>
      <w:r w:rsidRPr="005661BC">
        <w:rPr>
          <w:rFonts w:ascii="Book Antiqua" w:hAnsi="Book Antiqua"/>
          <w:bCs/>
          <w:iCs/>
          <w:szCs w:val="24"/>
          <w:lang w:val="es-ES"/>
        </w:rPr>
        <w:t xml:space="preserve">resente </w:t>
      </w:r>
      <w:r w:rsidR="009E093A" w:rsidRPr="005661BC">
        <w:rPr>
          <w:rFonts w:ascii="Book Antiqua" w:hAnsi="Book Antiqua"/>
          <w:bCs/>
          <w:iCs/>
          <w:szCs w:val="24"/>
          <w:lang w:val="es-ES"/>
        </w:rPr>
        <w:t xml:space="preserve">medida, </w:t>
      </w:r>
      <w:bookmarkStart w:id="1" w:name="_Hlk195509733"/>
      <w:r w:rsidR="00DB2C23" w:rsidRPr="005661BC">
        <w:rPr>
          <w:rFonts w:ascii="Book Antiqua" w:hAnsi="Book Antiqua"/>
          <w:bCs/>
          <w:iCs/>
          <w:szCs w:val="24"/>
          <w:lang w:val="es-ES"/>
        </w:rPr>
        <w:t xml:space="preserve">se </w:t>
      </w:r>
      <w:r w:rsidR="00121062" w:rsidRPr="005661BC">
        <w:rPr>
          <w:rFonts w:ascii="Book Antiqua" w:hAnsi="Book Antiqua"/>
          <w:bCs/>
          <w:iCs/>
          <w:szCs w:val="24"/>
          <w:lang w:val="es-ES"/>
        </w:rPr>
        <w:t>realizó</w:t>
      </w:r>
      <w:r w:rsidR="00DB2C23" w:rsidRPr="005661BC">
        <w:rPr>
          <w:rFonts w:ascii="Book Antiqua" w:hAnsi="Book Antiqua"/>
          <w:bCs/>
          <w:iCs/>
          <w:szCs w:val="24"/>
          <w:lang w:val="es-ES"/>
        </w:rPr>
        <w:t xml:space="preserve"> </w:t>
      </w:r>
      <w:r w:rsidR="00A927E0" w:rsidRPr="005661BC">
        <w:rPr>
          <w:rFonts w:ascii="Book Antiqua" w:hAnsi="Book Antiqua"/>
          <w:bCs/>
          <w:iCs/>
          <w:szCs w:val="24"/>
          <w:lang w:val="es-ES"/>
        </w:rPr>
        <w:t>una</w:t>
      </w:r>
      <w:r w:rsidR="00DB2C23" w:rsidRPr="005661BC">
        <w:rPr>
          <w:rFonts w:ascii="Book Antiqua" w:hAnsi="Book Antiqua"/>
          <w:bCs/>
          <w:iCs/>
          <w:szCs w:val="24"/>
          <w:lang w:val="es-ES"/>
        </w:rPr>
        <w:t xml:space="preserve"> </w:t>
      </w:r>
      <w:r w:rsidR="00592412" w:rsidRPr="005661BC">
        <w:rPr>
          <w:rFonts w:ascii="Book Antiqua" w:hAnsi="Book Antiqua"/>
          <w:bCs/>
          <w:iCs/>
          <w:szCs w:val="24"/>
          <w:lang w:val="es-ES"/>
        </w:rPr>
        <w:t>v</w:t>
      </w:r>
      <w:r w:rsidR="00DB2C23" w:rsidRPr="005661BC">
        <w:rPr>
          <w:rFonts w:ascii="Book Antiqua" w:hAnsi="Book Antiqua"/>
          <w:bCs/>
          <w:iCs/>
          <w:szCs w:val="24"/>
          <w:lang w:val="es-ES"/>
        </w:rPr>
        <w:t xml:space="preserve">ista </w:t>
      </w:r>
      <w:r w:rsidR="00592412" w:rsidRPr="005661BC">
        <w:rPr>
          <w:rFonts w:ascii="Book Antiqua" w:hAnsi="Book Antiqua"/>
          <w:bCs/>
          <w:iCs/>
          <w:szCs w:val="24"/>
          <w:lang w:val="es-ES"/>
        </w:rPr>
        <w:t>pública</w:t>
      </w:r>
      <w:r w:rsidR="00DB2C23" w:rsidRPr="005661BC">
        <w:rPr>
          <w:rFonts w:ascii="Book Antiqua" w:hAnsi="Book Antiqua"/>
          <w:bCs/>
          <w:iCs/>
          <w:szCs w:val="24"/>
          <w:lang w:val="es-ES"/>
        </w:rPr>
        <w:t xml:space="preserve"> el martes </w:t>
      </w:r>
      <w:r w:rsidR="006A42A4">
        <w:rPr>
          <w:rFonts w:ascii="Book Antiqua" w:hAnsi="Book Antiqua"/>
          <w:bCs/>
          <w:iCs/>
          <w:szCs w:val="24"/>
          <w:lang w:val="es-ES"/>
        </w:rPr>
        <w:t xml:space="preserve">24 de febrero </w:t>
      </w:r>
      <w:r w:rsidR="00DB2C23" w:rsidRPr="005661BC">
        <w:rPr>
          <w:rFonts w:ascii="Book Antiqua" w:hAnsi="Book Antiqua"/>
          <w:bCs/>
          <w:iCs/>
          <w:szCs w:val="24"/>
          <w:lang w:val="es-ES"/>
        </w:rPr>
        <w:t xml:space="preserve">de 2026, en el </w:t>
      </w:r>
      <w:r w:rsidR="003A3EE9">
        <w:rPr>
          <w:rFonts w:ascii="Book Antiqua" w:hAnsi="Book Antiqua"/>
          <w:bCs/>
          <w:iCs/>
          <w:szCs w:val="24"/>
          <w:lang w:val="es-ES"/>
        </w:rPr>
        <w:t>S</w:t>
      </w:r>
      <w:r w:rsidR="00DB2C23" w:rsidRPr="005661BC">
        <w:rPr>
          <w:rFonts w:ascii="Book Antiqua" w:hAnsi="Book Antiqua"/>
          <w:bCs/>
          <w:iCs/>
          <w:szCs w:val="24"/>
          <w:lang w:val="es-ES"/>
        </w:rPr>
        <w:t>alón</w:t>
      </w:r>
      <w:r w:rsidR="003A3EE9">
        <w:rPr>
          <w:rFonts w:ascii="Book Antiqua" w:hAnsi="Book Antiqua"/>
          <w:bCs/>
          <w:iCs/>
          <w:szCs w:val="24"/>
          <w:lang w:val="es-ES"/>
        </w:rPr>
        <w:t xml:space="preserve"> de</w:t>
      </w:r>
      <w:r w:rsidR="00DB2C23" w:rsidRPr="005661BC">
        <w:rPr>
          <w:rFonts w:ascii="Book Antiqua" w:hAnsi="Book Antiqua"/>
          <w:bCs/>
          <w:iCs/>
          <w:szCs w:val="24"/>
          <w:lang w:val="es-ES"/>
        </w:rPr>
        <w:t xml:space="preserve"> Audiencias </w:t>
      </w:r>
      <w:r w:rsidR="006A42A4">
        <w:rPr>
          <w:rFonts w:ascii="Book Antiqua" w:hAnsi="Book Antiqua"/>
          <w:bCs/>
          <w:iCs/>
          <w:szCs w:val="24"/>
          <w:lang w:val="es-ES"/>
        </w:rPr>
        <w:t>2</w:t>
      </w:r>
      <w:r w:rsidR="00DB2C23" w:rsidRPr="005661BC">
        <w:rPr>
          <w:rFonts w:ascii="Book Antiqua" w:hAnsi="Book Antiqua"/>
          <w:bCs/>
          <w:iCs/>
          <w:szCs w:val="24"/>
          <w:lang w:val="es-ES"/>
        </w:rPr>
        <w:t>, a las 10:00am</w:t>
      </w:r>
      <w:bookmarkStart w:id="2" w:name="_Hlk199336735"/>
      <w:bookmarkEnd w:id="1"/>
      <w:r w:rsidR="008A1DDA" w:rsidRPr="005661BC">
        <w:rPr>
          <w:rFonts w:ascii="Book Antiqua" w:hAnsi="Book Antiqua"/>
          <w:bCs/>
          <w:iCs/>
          <w:szCs w:val="24"/>
          <w:lang w:val="es-ES"/>
        </w:rPr>
        <w:t xml:space="preserve">. </w:t>
      </w:r>
    </w:p>
    <w:p w14:paraId="4C8C16C4" w14:textId="22CA6AF5" w:rsidR="00DB2C23" w:rsidRDefault="00DB2C23" w:rsidP="00DB2C23">
      <w:pPr>
        <w:spacing w:before="100" w:beforeAutospacing="1" w:after="100" w:afterAutospacing="1"/>
        <w:rPr>
          <w:rFonts w:ascii="Book Antiqua" w:hAnsi="Book Antiqua"/>
          <w:lang w:val="es-ES"/>
        </w:rPr>
      </w:pPr>
      <w:r w:rsidRPr="00DB2C23">
        <w:rPr>
          <w:rFonts w:ascii="Book Antiqua" w:hAnsi="Book Antiqua"/>
          <w:lang w:val="es-ES"/>
        </w:rPr>
        <w:t>La</w:t>
      </w:r>
      <w:r w:rsidR="00F36C5D">
        <w:rPr>
          <w:rFonts w:ascii="Book Antiqua" w:hAnsi="Book Antiqua"/>
          <w:lang w:val="es-ES"/>
        </w:rPr>
        <w:t xml:space="preserve"> Comisión contó con la posición de las</w:t>
      </w:r>
      <w:r w:rsidRPr="00DB2C23">
        <w:rPr>
          <w:rFonts w:ascii="Book Antiqua" w:hAnsi="Book Antiqua"/>
          <w:lang w:val="es-ES"/>
        </w:rPr>
        <w:t xml:space="preserve"> siguientes agencias: </w:t>
      </w:r>
    </w:p>
    <w:p w14:paraId="2A345B94" w14:textId="19E7B3D1" w:rsidR="00F36C5D" w:rsidRPr="00F36C5D" w:rsidRDefault="00F36C5D" w:rsidP="00F36C5D">
      <w:pPr>
        <w:pStyle w:val="ListParagraph"/>
        <w:numPr>
          <w:ilvl w:val="0"/>
          <w:numId w:val="42"/>
        </w:numPr>
        <w:spacing w:before="100" w:beforeAutospacing="1" w:after="100" w:afterAutospacing="1"/>
        <w:rPr>
          <w:rFonts w:ascii="Book Antiqua" w:hAnsi="Book Antiqua"/>
          <w:b/>
          <w:i/>
          <w:szCs w:val="24"/>
          <w:lang w:val="es-DO"/>
        </w:rPr>
      </w:pPr>
      <w:r w:rsidRPr="00F36C5D">
        <w:rPr>
          <w:rFonts w:ascii="Book Antiqua" w:hAnsi="Book Antiqua"/>
          <w:b/>
          <w:i/>
          <w:szCs w:val="24"/>
          <w:lang w:val="es-DO"/>
        </w:rPr>
        <w:t xml:space="preserve">Asociación de </w:t>
      </w:r>
      <w:proofErr w:type="gramStart"/>
      <w:r w:rsidRPr="00F36C5D">
        <w:rPr>
          <w:rFonts w:ascii="Book Antiqua" w:hAnsi="Book Antiqua"/>
          <w:b/>
          <w:i/>
          <w:szCs w:val="24"/>
          <w:lang w:val="es-DO"/>
        </w:rPr>
        <w:t>Alcaldes</w:t>
      </w:r>
      <w:proofErr w:type="gramEnd"/>
      <w:r w:rsidRPr="00F36C5D">
        <w:rPr>
          <w:rFonts w:ascii="Book Antiqua" w:hAnsi="Book Antiqua"/>
          <w:b/>
          <w:i/>
          <w:szCs w:val="24"/>
          <w:lang w:val="es-DO"/>
        </w:rPr>
        <w:t xml:space="preserve"> de Puerto Rico (AAPR) </w:t>
      </w:r>
    </w:p>
    <w:p w14:paraId="35A9F8B6" w14:textId="57DFF0CE" w:rsidR="00F36C5D" w:rsidRPr="00F36C5D" w:rsidRDefault="00F36C5D" w:rsidP="00F36C5D">
      <w:pPr>
        <w:pStyle w:val="ListParagraph"/>
        <w:numPr>
          <w:ilvl w:val="0"/>
          <w:numId w:val="42"/>
        </w:numPr>
        <w:spacing w:before="100" w:beforeAutospacing="1" w:after="100" w:afterAutospacing="1"/>
        <w:rPr>
          <w:rFonts w:ascii="Book Antiqua" w:hAnsi="Book Antiqua"/>
          <w:b/>
          <w:i/>
          <w:szCs w:val="24"/>
          <w:lang w:val="es-DO"/>
        </w:rPr>
      </w:pPr>
      <w:r w:rsidRPr="00F36C5D">
        <w:rPr>
          <w:rFonts w:ascii="Book Antiqua" w:hAnsi="Book Antiqua"/>
          <w:b/>
          <w:i/>
          <w:szCs w:val="24"/>
          <w:lang w:val="es-DO"/>
        </w:rPr>
        <w:t xml:space="preserve">Asociación de </w:t>
      </w:r>
      <w:proofErr w:type="spellStart"/>
      <w:r w:rsidRPr="00F36C5D">
        <w:rPr>
          <w:rFonts w:ascii="Book Antiqua" w:hAnsi="Book Antiqua"/>
          <w:b/>
          <w:i/>
          <w:szCs w:val="24"/>
          <w:lang w:val="es-DO"/>
        </w:rPr>
        <w:t>Realtors</w:t>
      </w:r>
      <w:proofErr w:type="spellEnd"/>
      <w:r w:rsidRPr="00F36C5D">
        <w:rPr>
          <w:rFonts w:ascii="Book Antiqua" w:hAnsi="Book Antiqua"/>
          <w:b/>
          <w:i/>
          <w:szCs w:val="24"/>
          <w:lang w:val="es-DO"/>
        </w:rPr>
        <w:t xml:space="preserve"> de Puerto Rico (PRAR) </w:t>
      </w:r>
    </w:p>
    <w:p w14:paraId="54B71D95" w14:textId="1AE89E91" w:rsidR="00F36C5D" w:rsidRPr="00F36C5D" w:rsidRDefault="00F36C5D" w:rsidP="00F36C5D">
      <w:pPr>
        <w:pStyle w:val="ListParagraph"/>
        <w:numPr>
          <w:ilvl w:val="0"/>
          <w:numId w:val="42"/>
        </w:numPr>
        <w:spacing w:before="100" w:beforeAutospacing="1" w:after="100" w:afterAutospacing="1"/>
        <w:rPr>
          <w:rFonts w:ascii="Book Antiqua" w:hAnsi="Book Antiqua"/>
          <w:b/>
          <w:i/>
          <w:szCs w:val="24"/>
          <w:lang w:val="es-DO"/>
        </w:rPr>
      </w:pPr>
      <w:r w:rsidRPr="00F36C5D">
        <w:rPr>
          <w:rFonts w:ascii="Book Antiqua" w:hAnsi="Book Antiqua"/>
          <w:b/>
          <w:i/>
          <w:szCs w:val="24"/>
          <w:lang w:val="es-DO"/>
        </w:rPr>
        <w:t xml:space="preserve">Centro de Recaudación de Ingresos Municipales (CRIM) </w:t>
      </w:r>
    </w:p>
    <w:p w14:paraId="0FF6B134" w14:textId="5CD2243A" w:rsidR="00F36C5D" w:rsidRPr="00F36C5D" w:rsidRDefault="00F36C5D" w:rsidP="00F36C5D">
      <w:pPr>
        <w:pStyle w:val="ListParagraph"/>
        <w:numPr>
          <w:ilvl w:val="0"/>
          <w:numId w:val="42"/>
        </w:numPr>
        <w:spacing w:before="100" w:beforeAutospacing="1" w:after="100" w:afterAutospacing="1"/>
        <w:rPr>
          <w:rFonts w:ascii="Book Antiqua" w:hAnsi="Book Antiqua"/>
          <w:b/>
          <w:i/>
          <w:szCs w:val="24"/>
          <w:lang w:val="es-DO"/>
        </w:rPr>
      </w:pPr>
      <w:r w:rsidRPr="00F36C5D">
        <w:rPr>
          <w:rFonts w:ascii="Book Antiqua" w:hAnsi="Book Antiqua"/>
          <w:b/>
          <w:i/>
          <w:szCs w:val="24"/>
          <w:lang w:val="es-DO"/>
        </w:rPr>
        <w:t xml:space="preserve">Departamento de Justicia (DJ) </w:t>
      </w:r>
    </w:p>
    <w:p w14:paraId="05F8C3BA" w14:textId="57115666" w:rsidR="00F36C5D" w:rsidRPr="00F36C5D" w:rsidRDefault="00F36C5D" w:rsidP="00F36C5D">
      <w:pPr>
        <w:pStyle w:val="ListParagraph"/>
        <w:numPr>
          <w:ilvl w:val="0"/>
          <w:numId w:val="42"/>
        </w:numPr>
        <w:spacing w:before="100" w:beforeAutospacing="1" w:after="100" w:afterAutospacing="1"/>
        <w:rPr>
          <w:rFonts w:ascii="Book Antiqua" w:hAnsi="Book Antiqua"/>
          <w:b/>
          <w:i/>
          <w:szCs w:val="24"/>
          <w:lang w:val="es-DO"/>
        </w:rPr>
      </w:pPr>
      <w:r w:rsidRPr="00F36C5D">
        <w:rPr>
          <w:rFonts w:ascii="Book Antiqua" w:hAnsi="Book Antiqua"/>
          <w:b/>
          <w:i/>
          <w:szCs w:val="24"/>
          <w:lang w:val="es-DO"/>
        </w:rPr>
        <w:t xml:space="preserve">Departamento de la Vivienda (DV) </w:t>
      </w:r>
    </w:p>
    <w:p w14:paraId="33797403" w14:textId="051B6C2C" w:rsidR="00F36C5D" w:rsidRPr="00F36C5D" w:rsidRDefault="00F36C5D" w:rsidP="00F36C5D">
      <w:pPr>
        <w:pStyle w:val="ListParagraph"/>
        <w:numPr>
          <w:ilvl w:val="0"/>
          <w:numId w:val="42"/>
        </w:numPr>
        <w:spacing w:before="100" w:beforeAutospacing="1" w:after="100" w:afterAutospacing="1"/>
        <w:rPr>
          <w:rFonts w:ascii="Book Antiqua" w:hAnsi="Book Antiqua"/>
          <w:b/>
          <w:i/>
          <w:szCs w:val="24"/>
          <w:lang w:val="es-DO"/>
        </w:rPr>
      </w:pPr>
      <w:r w:rsidRPr="00F36C5D">
        <w:rPr>
          <w:rFonts w:ascii="Book Antiqua" w:hAnsi="Book Antiqua"/>
          <w:b/>
          <w:i/>
          <w:szCs w:val="24"/>
          <w:lang w:val="es-DO"/>
        </w:rPr>
        <w:t xml:space="preserve">Federación de </w:t>
      </w:r>
      <w:proofErr w:type="gramStart"/>
      <w:r w:rsidRPr="00F36C5D">
        <w:rPr>
          <w:rFonts w:ascii="Book Antiqua" w:hAnsi="Book Antiqua"/>
          <w:b/>
          <w:i/>
          <w:szCs w:val="24"/>
          <w:lang w:val="es-DO"/>
        </w:rPr>
        <w:t>Alcaldes</w:t>
      </w:r>
      <w:proofErr w:type="gramEnd"/>
      <w:r w:rsidRPr="00F36C5D">
        <w:rPr>
          <w:rFonts w:ascii="Book Antiqua" w:hAnsi="Book Antiqua"/>
          <w:b/>
          <w:i/>
          <w:szCs w:val="24"/>
          <w:lang w:val="es-DO"/>
        </w:rPr>
        <w:t xml:space="preserve"> de Puerto Rico (FAPR) </w:t>
      </w:r>
    </w:p>
    <w:p w14:paraId="04ED19AF" w14:textId="35F0E7D2" w:rsidR="00F36C5D" w:rsidRPr="00F36C5D" w:rsidRDefault="00F36C5D" w:rsidP="00F36C5D">
      <w:pPr>
        <w:pStyle w:val="ListParagraph"/>
        <w:numPr>
          <w:ilvl w:val="0"/>
          <w:numId w:val="42"/>
        </w:numPr>
        <w:spacing w:before="100" w:beforeAutospacing="1" w:after="100" w:afterAutospacing="1"/>
        <w:rPr>
          <w:rFonts w:ascii="Book Antiqua" w:hAnsi="Book Antiqua"/>
          <w:b/>
          <w:i/>
          <w:szCs w:val="24"/>
          <w:lang w:val="es-DO"/>
        </w:rPr>
      </w:pPr>
      <w:r w:rsidRPr="00F36C5D">
        <w:rPr>
          <w:rFonts w:ascii="Book Antiqua" w:hAnsi="Book Antiqua"/>
          <w:b/>
          <w:i/>
          <w:szCs w:val="24"/>
          <w:lang w:val="es-DO"/>
        </w:rPr>
        <w:t>Municipio de San Juan (MSJ)</w:t>
      </w:r>
    </w:p>
    <w:bookmarkEnd w:id="2"/>
    <w:p w14:paraId="74B3B1D7" w14:textId="0EF87910" w:rsidR="0049701E" w:rsidRPr="0049701E" w:rsidRDefault="0049701E" w:rsidP="0049701E">
      <w:pPr>
        <w:pStyle w:val="NormalWeb"/>
        <w:jc w:val="both"/>
        <w:rPr>
          <w:rFonts w:ascii="Book Antiqua" w:hAnsi="Book Antiqua"/>
        </w:rPr>
      </w:pPr>
      <w:r w:rsidRPr="0049701E">
        <w:rPr>
          <w:rFonts w:ascii="Book Antiqua" w:hAnsi="Book Antiqua"/>
        </w:rPr>
        <w:lastRenderedPageBreak/>
        <w:t xml:space="preserve">La </w:t>
      </w:r>
      <w:r w:rsidRPr="0049701E">
        <w:rPr>
          <w:rFonts w:ascii="Book Antiqua" w:hAnsi="Book Antiqua"/>
          <w:b/>
          <w:bCs/>
          <w:i/>
          <w:iCs/>
        </w:rPr>
        <w:t xml:space="preserve">Asociación de </w:t>
      </w:r>
      <w:proofErr w:type="gramStart"/>
      <w:r w:rsidRPr="0049701E">
        <w:rPr>
          <w:rFonts w:ascii="Book Antiqua" w:hAnsi="Book Antiqua"/>
          <w:b/>
          <w:bCs/>
          <w:i/>
          <w:iCs/>
        </w:rPr>
        <w:t>Alcaldes</w:t>
      </w:r>
      <w:proofErr w:type="gramEnd"/>
      <w:r w:rsidRPr="0049701E">
        <w:rPr>
          <w:rFonts w:ascii="Book Antiqua" w:hAnsi="Book Antiqua"/>
          <w:b/>
          <w:bCs/>
          <w:i/>
          <w:iCs/>
        </w:rPr>
        <w:t xml:space="preserve"> de Puerto Rico (AAPR)</w:t>
      </w:r>
      <w:r w:rsidRPr="0049701E">
        <w:rPr>
          <w:rFonts w:ascii="Book Antiqua" w:hAnsi="Book Antiqua"/>
        </w:rPr>
        <w:t xml:space="preserve">, mediante memorial suscrito por su </w:t>
      </w:r>
      <w:r w:rsidR="003A3EE9" w:rsidRPr="0049701E">
        <w:rPr>
          <w:rFonts w:ascii="Book Antiqua" w:hAnsi="Book Antiqua"/>
        </w:rPr>
        <w:t>directora ejecutiva</w:t>
      </w:r>
      <w:r w:rsidRPr="0049701E">
        <w:rPr>
          <w:rFonts w:ascii="Book Antiqua" w:hAnsi="Book Antiqua"/>
        </w:rPr>
        <w:t xml:space="preserve">, Verónica Rodríguez Irizarry, con fecha del 27 de enero de 2026, </w:t>
      </w:r>
      <w:r w:rsidRPr="0049701E">
        <w:rPr>
          <w:rStyle w:val="Strong"/>
          <w:rFonts w:ascii="Book Antiqua" w:hAnsi="Book Antiqua"/>
        </w:rPr>
        <w:t>endosó el Proyecto de la Cámara 1005</w:t>
      </w:r>
      <w:r w:rsidRPr="0049701E">
        <w:rPr>
          <w:rFonts w:ascii="Book Antiqua" w:hAnsi="Book Antiqua"/>
        </w:rPr>
        <w:t>.</w:t>
      </w:r>
    </w:p>
    <w:p w14:paraId="2CBA8A08" w14:textId="77777777" w:rsidR="0049701E" w:rsidRPr="0049701E" w:rsidRDefault="0049701E" w:rsidP="0049701E">
      <w:pPr>
        <w:pStyle w:val="NormalWeb"/>
        <w:jc w:val="both"/>
        <w:rPr>
          <w:rFonts w:ascii="Book Antiqua" w:hAnsi="Book Antiqua"/>
        </w:rPr>
      </w:pPr>
      <w:r w:rsidRPr="0049701E">
        <w:rPr>
          <w:rFonts w:ascii="Book Antiqua" w:hAnsi="Book Antiqua"/>
        </w:rPr>
        <w:t xml:space="preserve">En su ponencia, la AAPR destacó que el Código Municipal de Puerto Rico ya provee a los municipios herramientas robustas para atender la problemática de los estorbos públicos, incluyendo la facultad de identificar, declarar, expropiar y disponer de propiedades abandonadas o deterioradas. Señala que estas disposiciones responden a una necesidad apremiante de atender el abandono de estructuras, el cual incide directamente en la salud, seguridad pública y disponibilidad de vivienda en Puerto Rico. </w:t>
      </w:r>
    </w:p>
    <w:p w14:paraId="0B4E1160" w14:textId="77777777" w:rsidR="0049701E" w:rsidRPr="0049701E" w:rsidRDefault="0049701E" w:rsidP="0049701E">
      <w:pPr>
        <w:pStyle w:val="NormalWeb"/>
        <w:jc w:val="both"/>
        <w:rPr>
          <w:rFonts w:ascii="Book Antiqua" w:hAnsi="Book Antiqua"/>
        </w:rPr>
      </w:pPr>
      <w:r w:rsidRPr="0049701E">
        <w:rPr>
          <w:rFonts w:ascii="Book Antiqua" w:hAnsi="Book Antiqua"/>
        </w:rPr>
        <w:t>La Asociación explicó que el procedimiento vigente permite la expropiación sumaria de propiedades declaradas como estorbos públicos y su posterior transferencia para fines de rehabilitación, reconstrucción o desarrollo. No obstante, reconoce que el marco actual impone ciertas limitaciones, particularmente en cuanto al concepto de “tercero adquirente” y los términos de espera, lo cual puede restringir el acceso oportuno a estas propiedades.</w:t>
      </w:r>
    </w:p>
    <w:p w14:paraId="4CFD59C1" w14:textId="77777777" w:rsidR="0049701E" w:rsidRPr="0049701E" w:rsidRDefault="0049701E" w:rsidP="0049701E">
      <w:pPr>
        <w:pStyle w:val="NormalWeb"/>
        <w:jc w:val="both"/>
        <w:rPr>
          <w:rFonts w:ascii="Book Antiqua" w:hAnsi="Book Antiqua"/>
        </w:rPr>
      </w:pPr>
      <w:r w:rsidRPr="0049701E">
        <w:rPr>
          <w:rFonts w:ascii="Book Antiqua" w:hAnsi="Book Antiqua"/>
        </w:rPr>
        <w:t xml:space="preserve">En ese contexto, la AAPR respaldó las enmiendas propuestas por el proyecto, las cuales permitirían que personas naturales o jurídicas, con o sin fines de lucro, puedan adquirir propiedades declaradas como estorbos públicos </w:t>
      </w:r>
      <w:r w:rsidRPr="0049701E">
        <w:rPr>
          <w:rStyle w:val="Strong"/>
          <w:rFonts w:ascii="Book Antiqua" w:hAnsi="Book Antiqua"/>
        </w:rPr>
        <w:t>sin ser consideradas terceros adquirentes</w:t>
      </w:r>
      <w:r w:rsidRPr="0049701E">
        <w:rPr>
          <w:rFonts w:ascii="Book Antiqua" w:hAnsi="Book Antiqua"/>
        </w:rPr>
        <w:t>, siempre que certifiquen que dichas propiedades serán destinadas al desarrollo de viviendas para individuos o familias de ingresos bajos, moderados o de clase media.</w:t>
      </w:r>
    </w:p>
    <w:p w14:paraId="2E691EB3" w14:textId="77777777" w:rsidR="0049701E" w:rsidRPr="0049701E" w:rsidRDefault="0049701E" w:rsidP="0049701E">
      <w:pPr>
        <w:pStyle w:val="NormalWeb"/>
        <w:jc w:val="both"/>
        <w:rPr>
          <w:rFonts w:ascii="Book Antiqua" w:hAnsi="Book Antiqua"/>
        </w:rPr>
      </w:pPr>
      <w:r w:rsidRPr="0049701E">
        <w:rPr>
          <w:rFonts w:ascii="Book Antiqua" w:hAnsi="Book Antiqua"/>
        </w:rPr>
        <w:t>Asimismo, la Asociación resaltó que la medida fortalece el rol fiscalizador de los municipios, al requerir que estos establezcan, mediante ordenanza, los criterios y salvaguardas necesarias para asegurar que las propiedades sean utilizadas conforme a los fines propuestos. De igual forma, destacó la enmienda al mecanismo de retracto convencional, que permite al municipio recuperar la propiedad en caso de incumplimiento con los fines de desarrollo de vivienda.</w:t>
      </w:r>
    </w:p>
    <w:p w14:paraId="11CB8DD9" w14:textId="43E6AAF5" w:rsidR="0049701E" w:rsidRPr="0049701E" w:rsidRDefault="007E1EA6" w:rsidP="0049701E">
      <w:pPr>
        <w:pStyle w:val="NormalWeb"/>
        <w:jc w:val="both"/>
        <w:rPr>
          <w:rFonts w:ascii="Book Antiqua" w:hAnsi="Book Antiqua"/>
        </w:rPr>
      </w:pPr>
      <w:r>
        <w:rPr>
          <w:rFonts w:ascii="Book Antiqua" w:hAnsi="Book Antiqua"/>
        </w:rPr>
        <w:t>L</w:t>
      </w:r>
      <w:r w:rsidR="0049701E" w:rsidRPr="0049701E">
        <w:rPr>
          <w:rFonts w:ascii="Book Antiqua" w:hAnsi="Book Antiqua"/>
        </w:rPr>
        <w:t xml:space="preserve">a AAPR sostuvo que la medida </w:t>
      </w:r>
      <w:r w:rsidR="0049701E" w:rsidRPr="0049701E">
        <w:rPr>
          <w:rStyle w:val="Strong"/>
          <w:rFonts w:ascii="Book Antiqua" w:hAnsi="Book Antiqua"/>
        </w:rPr>
        <w:t>amplía las oportunidades de acceso a vivienda para sectores con limitaciones en el mercado tradicional</w:t>
      </w:r>
      <w:r w:rsidR="0049701E" w:rsidRPr="0049701E">
        <w:rPr>
          <w:rFonts w:ascii="Book Antiqua" w:hAnsi="Book Antiqua"/>
        </w:rPr>
        <w:t>, a la vez que fortalece las herramientas municipales para atender la problemática de los estorbos públicos, por lo que recomendó su aprobación.</w:t>
      </w:r>
    </w:p>
    <w:p w14:paraId="1FB7EB2E" w14:textId="25854C44" w:rsidR="0049701E" w:rsidRPr="0049701E" w:rsidRDefault="0049701E" w:rsidP="0049701E">
      <w:pPr>
        <w:pStyle w:val="NormalWeb"/>
        <w:jc w:val="both"/>
        <w:rPr>
          <w:rFonts w:ascii="Book Antiqua" w:hAnsi="Book Antiqua"/>
        </w:rPr>
      </w:pPr>
      <w:r w:rsidRPr="0049701E">
        <w:rPr>
          <w:rFonts w:ascii="Book Antiqua" w:hAnsi="Book Antiqua"/>
        </w:rPr>
        <w:t xml:space="preserve">La </w:t>
      </w:r>
      <w:r w:rsidRPr="0049701E">
        <w:rPr>
          <w:rFonts w:ascii="Book Antiqua" w:hAnsi="Book Antiqua"/>
          <w:b/>
          <w:bCs/>
          <w:i/>
          <w:iCs/>
        </w:rPr>
        <w:t xml:space="preserve">Asociación de </w:t>
      </w:r>
      <w:proofErr w:type="spellStart"/>
      <w:r w:rsidRPr="0049701E">
        <w:rPr>
          <w:rFonts w:ascii="Book Antiqua" w:hAnsi="Book Antiqua"/>
          <w:b/>
          <w:bCs/>
          <w:i/>
          <w:iCs/>
        </w:rPr>
        <w:t>Realtors</w:t>
      </w:r>
      <w:proofErr w:type="spellEnd"/>
      <w:r w:rsidRPr="0049701E">
        <w:rPr>
          <w:rFonts w:ascii="Book Antiqua" w:hAnsi="Book Antiqua"/>
          <w:b/>
          <w:bCs/>
          <w:i/>
          <w:iCs/>
        </w:rPr>
        <w:t xml:space="preserve"> de Puerto Rico (PRAR),</w:t>
      </w:r>
      <w:r w:rsidRPr="0049701E">
        <w:rPr>
          <w:rFonts w:ascii="Book Antiqua" w:hAnsi="Book Antiqua"/>
        </w:rPr>
        <w:t xml:space="preserve"> mediante memorial suscrito por su </w:t>
      </w:r>
      <w:r w:rsidR="003A3EE9">
        <w:rPr>
          <w:rFonts w:ascii="Book Antiqua" w:hAnsi="Book Antiqua"/>
        </w:rPr>
        <w:t>p</w:t>
      </w:r>
      <w:r w:rsidRPr="0049701E">
        <w:rPr>
          <w:rFonts w:ascii="Book Antiqua" w:hAnsi="Book Antiqua"/>
        </w:rPr>
        <w:t xml:space="preserve">residenta, Kristina Fábregas, con fecha del 3 de marzo de 2026, </w:t>
      </w:r>
      <w:r w:rsidRPr="0049701E">
        <w:rPr>
          <w:rStyle w:val="Strong"/>
          <w:rFonts w:ascii="Book Antiqua" w:hAnsi="Book Antiqua"/>
        </w:rPr>
        <w:t>expresó una postura favorable hacia el Proyecto de la Cámara 1005</w:t>
      </w:r>
      <w:r w:rsidRPr="0049701E">
        <w:rPr>
          <w:rFonts w:ascii="Book Antiqua" w:hAnsi="Book Antiqua"/>
        </w:rPr>
        <w:t>, reconociendo su pertinencia dentro del contexto actual del mercado de vivienda en Puerto Rico.</w:t>
      </w:r>
    </w:p>
    <w:p w14:paraId="5E77E04E" w14:textId="4A75F35F" w:rsidR="0049701E" w:rsidRPr="0049701E" w:rsidRDefault="0049701E" w:rsidP="0049701E">
      <w:pPr>
        <w:pStyle w:val="NormalWeb"/>
        <w:jc w:val="both"/>
        <w:rPr>
          <w:rFonts w:ascii="Book Antiqua" w:hAnsi="Book Antiqua"/>
        </w:rPr>
      </w:pPr>
      <w:r w:rsidRPr="0049701E">
        <w:rPr>
          <w:rFonts w:ascii="Book Antiqua" w:hAnsi="Book Antiqua"/>
        </w:rPr>
        <w:lastRenderedPageBreak/>
        <w:t xml:space="preserve">En su análisis, la PRAR destacó que la medida atiende una problemática real y apremiante relacionada con la </w:t>
      </w:r>
      <w:r w:rsidRPr="0049701E">
        <w:rPr>
          <w:rStyle w:val="Strong"/>
          <w:rFonts w:ascii="Book Antiqua" w:hAnsi="Book Antiqua"/>
        </w:rPr>
        <w:t>escasez de vivienda formal para familias de ingresos bajos, moderados y de clase media</w:t>
      </w:r>
      <w:r w:rsidR="00140FC1">
        <w:rPr>
          <w:rFonts w:ascii="Book Antiqua" w:hAnsi="Book Antiqua"/>
        </w:rPr>
        <w:t xml:space="preserve">. </w:t>
      </w:r>
      <w:r w:rsidRPr="0049701E">
        <w:rPr>
          <w:rFonts w:ascii="Book Antiqua" w:hAnsi="Book Antiqua"/>
        </w:rPr>
        <w:t>En ese sentido, la Asociación valoró positivamente que el proyecto amplíe las facultades de los municipios para disponer de propiedades declaradas como estorbos públicos,</w:t>
      </w:r>
      <w:r w:rsidR="00540012">
        <w:rPr>
          <w:rFonts w:ascii="Book Antiqua" w:hAnsi="Book Antiqua"/>
        </w:rPr>
        <w:t xml:space="preserve"> </w:t>
      </w:r>
      <w:r w:rsidR="00140FC1">
        <w:rPr>
          <w:rFonts w:ascii="Book Antiqua" w:hAnsi="Book Antiqua"/>
        </w:rPr>
        <w:t>para viabilizar desarrollos residenciales que procuren atender la demanda existente de vivienda en cada municipio.</w:t>
      </w:r>
    </w:p>
    <w:p w14:paraId="37E5097F" w14:textId="77777777" w:rsidR="0049701E" w:rsidRPr="0049701E" w:rsidRDefault="0049701E" w:rsidP="0049701E">
      <w:pPr>
        <w:pStyle w:val="NormalWeb"/>
        <w:jc w:val="both"/>
        <w:rPr>
          <w:rFonts w:ascii="Book Antiqua" w:hAnsi="Book Antiqua"/>
        </w:rPr>
      </w:pPr>
      <w:r w:rsidRPr="0049701E">
        <w:rPr>
          <w:rFonts w:ascii="Book Antiqua" w:hAnsi="Book Antiqua"/>
        </w:rPr>
        <w:t>No obstante, la PRAR recomendó que la medida se armonice con el estado de derecho vigente, particularmente con la Ley Núm. 100-2025, que establece el concepto de “Vivienda de Alto Impacto Social, Económico y para Re-Población de Puerto Rico”, a los fines de mantener uniformidad en las definiciones aplicables al desarrollo de vivienda.</w:t>
      </w:r>
    </w:p>
    <w:p w14:paraId="60FF8980" w14:textId="7FE065D7" w:rsidR="0049701E" w:rsidRPr="0049701E" w:rsidRDefault="007E1EA6" w:rsidP="0049701E">
      <w:pPr>
        <w:pStyle w:val="NormalWeb"/>
        <w:jc w:val="both"/>
        <w:rPr>
          <w:rFonts w:ascii="Book Antiqua" w:hAnsi="Book Antiqua"/>
        </w:rPr>
      </w:pPr>
      <w:r>
        <w:rPr>
          <w:rFonts w:ascii="Book Antiqua" w:hAnsi="Book Antiqua"/>
        </w:rPr>
        <w:t>L</w:t>
      </w:r>
      <w:r w:rsidR="0049701E" w:rsidRPr="0049701E">
        <w:rPr>
          <w:rFonts w:ascii="Book Antiqua" w:hAnsi="Book Antiqua"/>
        </w:rPr>
        <w:t xml:space="preserve">a PRAR sostuvo que la medida </w:t>
      </w:r>
      <w:r w:rsidR="0049701E" w:rsidRPr="0049701E">
        <w:rPr>
          <w:rStyle w:val="Strong"/>
          <w:rFonts w:ascii="Book Antiqua" w:hAnsi="Book Antiqua"/>
        </w:rPr>
        <w:t>resulta meritoria y consistente con la política pública dirigida a promover el acceso a vivienda asequible</w:t>
      </w:r>
      <w:r w:rsidR="0049701E" w:rsidRPr="0049701E">
        <w:rPr>
          <w:rFonts w:ascii="Book Antiqua" w:hAnsi="Book Antiqua"/>
        </w:rPr>
        <w:t>, por lo que favorece su aprobación, sujeto a las recomendaciones señaladas.</w:t>
      </w:r>
    </w:p>
    <w:p w14:paraId="0599C24B" w14:textId="216EDCF9" w:rsidR="0049701E" w:rsidRPr="0049701E" w:rsidRDefault="0049701E" w:rsidP="0049701E">
      <w:pPr>
        <w:pStyle w:val="NormalWeb"/>
        <w:jc w:val="both"/>
        <w:rPr>
          <w:rFonts w:ascii="Book Antiqua" w:hAnsi="Book Antiqua"/>
        </w:rPr>
      </w:pPr>
      <w:r w:rsidRPr="0049701E">
        <w:rPr>
          <w:rFonts w:ascii="Book Antiqua" w:hAnsi="Book Antiqua"/>
        </w:rPr>
        <w:t xml:space="preserve">El </w:t>
      </w:r>
      <w:r w:rsidRPr="0049701E">
        <w:rPr>
          <w:rFonts w:ascii="Book Antiqua" w:hAnsi="Book Antiqua"/>
          <w:b/>
          <w:bCs/>
          <w:i/>
          <w:iCs/>
        </w:rPr>
        <w:t xml:space="preserve">Centro de Recaudación de Ingresos Municipales (CRIM), </w:t>
      </w:r>
      <w:r w:rsidRPr="0049701E">
        <w:rPr>
          <w:rFonts w:ascii="Book Antiqua" w:hAnsi="Book Antiqua"/>
        </w:rPr>
        <w:t xml:space="preserve">mediante memorial explicativo suscrito por su </w:t>
      </w:r>
      <w:r w:rsidR="003A3EE9" w:rsidRPr="0049701E">
        <w:rPr>
          <w:rFonts w:ascii="Book Antiqua" w:hAnsi="Book Antiqua"/>
        </w:rPr>
        <w:t>director ejecutivo</w:t>
      </w:r>
      <w:r w:rsidRPr="0049701E">
        <w:rPr>
          <w:rFonts w:ascii="Book Antiqua" w:hAnsi="Book Antiqua"/>
        </w:rPr>
        <w:t xml:space="preserve">, Javier J. García Cintrón, con fecha del 27 de enero de 2026, </w:t>
      </w:r>
      <w:r w:rsidRPr="0049701E">
        <w:rPr>
          <w:rStyle w:val="Strong"/>
          <w:rFonts w:ascii="Book Antiqua" w:hAnsi="Book Antiqua"/>
        </w:rPr>
        <w:t>expresó que no tiene objeción a la aprobación del Proyecto de la</w:t>
      </w:r>
      <w:r w:rsidR="003A3EE9">
        <w:rPr>
          <w:rStyle w:val="Strong"/>
          <w:rFonts w:ascii="Book Antiqua" w:hAnsi="Book Antiqua"/>
        </w:rPr>
        <w:t xml:space="preserve">   </w:t>
      </w:r>
      <w:r w:rsidRPr="0049701E">
        <w:rPr>
          <w:rStyle w:val="Strong"/>
          <w:rFonts w:ascii="Book Antiqua" w:hAnsi="Book Antiqua"/>
        </w:rPr>
        <w:t xml:space="preserve"> Cámara 1005</w:t>
      </w:r>
      <w:r w:rsidRPr="0049701E">
        <w:rPr>
          <w:rFonts w:ascii="Book Antiqua" w:hAnsi="Book Antiqua"/>
        </w:rPr>
        <w:t xml:space="preserve">. </w:t>
      </w:r>
    </w:p>
    <w:p w14:paraId="76BF6B51" w14:textId="77777777" w:rsidR="0049701E" w:rsidRPr="0049701E" w:rsidRDefault="0049701E" w:rsidP="0049701E">
      <w:pPr>
        <w:pStyle w:val="NormalWeb"/>
        <w:jc w:val="both"/>
        <w:rPr>
          <w:rFonts w:ascii="Book Antiqua" w:hAnsi="Book Antiqua"/>
        </w:rPr>
      </w:pPr>
      <w:r w:rsidRPr="0049701E">
        <w:rPr>
          <w:rFonts w:ascii="Book Antiqua" w:hAnsi="Book Antiqua"/>
        </w:rPr>
        <w:t>En su análisis, el CRIM destacó que la medida se inserta adecuadamente dentro del marco jurídico vigente del Código Municipal de Puerto Rico, el cual ya reconoce amplias facultades a los municipios para identificar, declarar, expropiar y disponer de propiedades catalogadas como estorbos públicos. En ese sentido, el proyecto amplía dicho marco al permitir que personas naturales o jurídicas, con o sin fines de lucro, puedan adquirir estas propiedades sin ser consideradas terceros adquirentes, siempre que se comprometan a destinarlas al desarrollo de vivienda para personas de ingresos bajos, moderados o de clase media.</w:t>
      </w:r>
    </w:p>
    <w:p w14:paraId="28850BD9" w14:textId="77777777" w:rsidR="0049701E" w:rsidRPr="0049701E" w:rsidRDefault="0049701E" w:rsidP="0049701E">
      <w:pPr>
        <w:pStyle w:val="NormalWeb"/>
        <w:jc w:val="both"/>
        <w:rPr>
          <w:rFonts w:ascii="Book Antiqua" w:hAnsi="Book Antiqua"/>
        </w:rPr>
      </w:pPr>
      <w:r w:rsidRPr="0049701E">
        <w:rPr>
          <w:rFonts w:ascii="Book Antiqua" w:hAnsi="Book Antiqua"/>
        </w:rPr>
        <w:t>Asimismo, el CRIM resaltó que la medida es consistente con la política pública vigente dirigida a fomentar la rehabilitación de propiedades abandonadas y atender la necesidad de vivienda asequible en Puerto Rico. En particular, señaló que la propuesta permite acelerar el proceso de disposición de estos inmuebles, eliminando el requisito de esperar un (1) año en ciertos casos, lo cual puede contribuir a una reutilización más eficiente del inventario inmobiliario en desuso.</w:t>
      </w:r>
    </w:p>
    <w:p w14:paraId="13243C68" w14:textId="77777777" w:rsidR="0049701E" w:rsidRPr="0049701E" w:rsidRDefault="0049701E" w:rsidP="0049701E">
      <w:pPr>
        <w:pStyle w:val="NormalWeb"/>
        <w:jc w:val="both"/>
        <w:rPr>
          <w:rFonts w:ascii="Book Antiqua" w:hAnsi="Book Antiqua"/>
        </w:rPr>
      </w:pPr>
      <w:r w:rsidRPr="0049701E">
        <w:rPr>
          <w:rFonts w:ascii="Book Antiqua" w:hAnsi="Book Antiqua"/>
        </w:rPr>
        <w:t xml:space="preserve">En cuanto al impacto fiscal, el CRIM concluyó que la medida </w:t>
      </w:r>
      <w:r w:rsidRPr="0049701E">
        <w:rPr>
          <w:rStyle w:val="Strong"/>
          <w:rFonts w:ascii="Book Antiqua" w:hAnsi="Book Antiqua"/>
        </w:rPr>
        <w:t>no genera efectos adversos sobre la estructura contributiva municipal ni sobre los recaudos por concepto de contribución sobre la propiedad</w:t>
      </w:r>
      <w:r w:rsidRPr="0049701E">
        <w:rPr>
          <w:rFonts w:ascii="Book Antiqua" w:hAnsi="Book Antiqua"/>
        </w:rPr>
        <w:t>. Indicó que las disposiciones actuales del Código Municipal que permiten descontar de la justa compensación las deudas contributivas, multas y gastos asociados a la propiedad permanecen intactas, por lo que los ingresos municipales continúan protegidos.</w:t>
      </w:r>
    </w:p>
    <w:p w14:paraId="702E1A93" w14:textId="6E828864" w:rsidR="0049701E" w:rsidRPr="0049701E" w:rsidRDefault="007E1EA6" w:rsidP="0049701E">
      <w:pPr>
        <w:pStyle w:val="NormalWeb"/>
        <w:jc w:val="both"/>
        <w:rPr>
          <w:rFonts w:ascii="Book Antiqua" w:hAnsi="Book Antiqua"/>
        </w:rPr>
      </w:pPr>
      <w:r>
        <w:rPr>
          <w:rFonts w:ascii="Book Antiqua" w:hAnsi="Book Antiqua"/>
        </w:rPr>
        <w:lastRenderedPageBreak/>
        <w:t>E</w:t>
      </w:r>
      <w:r w:rsidR="0049701E" w:rsidRPr="0049701E">
        <w:rPr>
          <w:rFonts w:ascii="Book Antiqua" w:hAnsi="Book Antiqua"/>
        </w:rPr>
        <w:t xml:space="preserve">l CRIM señaló que la implementación de la medida </w:t>
      </w:r>
      <w:r w:rsidR="0049701E" w:rsidRPr="0049701E">
        <w:rPr>
          <w:rStyle w:val="Strong"/>
          <w:rFonts w:ascii="Book Antiqua" w:hAnsi="Book Antiqua"/>
        </w:rPr>
        <w:t>no impone cargas administrativas adicionales significativas</w:t>
      </w:r>
      <w:r w:rsidR="0049701E" w:rsidRPr="0049701E">
        <w:rPr>
          <w:rFonts w:ascii="Book Antiqua" w:hAnsi="Book Antiqua"/>
        </w:rPr>
        <w:t>, ya que las responsabilidades principales recaen sobre los municipios, quienes deberán establecer los criterios mediante ordenanza, evaluar a los adquirentes y fiscalizar el cumplimiento del uso propuesto de las propiedades.</w:t>
      </w:r>
    </w:p>
    <w:p w14:paraId="33BE6D78" w14:textId="3FD65977" w:rsidR="0049701E" w:rsidRPr="0049701E" w:rsidRDefault="007E1EA6" w:rsidP="0049701E">
      <w:pPr>
        <w:pStyle w:val="NormalWeb"/>
        <w:jc w:val="both"/>
        <w:rPr>
          <w:rFonts w:ascii="Book Antiqua" w:hAnsi="Book Antiqua"/>
        </w:rPr>
      </w:pPr>
      <w:r>
        <w:rPr>
          <w:rFonts w:ascii="Book Antiqua" w:hAnsi="Book Antiqua"/>
        </w:rPr>
        <w:t>E</w:t>
      </w:r>
      <w:r w:rsidR="0049701E" w:rsidRPr="0049701E">
        <w:rPr>
          <w:rFonts w:ascii="Book Antiqua" w:hAnsi="Book Antiqua"/>
        </w:rPr>
        <w:t xml:space="preserve">l CRIM entiende que el Proyecto de la Cámara 1005 </w:t>
      </w:r>
      <w:r w:rsidR="0049701E" w:rsidRPr="0049701E">
        <w:rPr>
          <w:rStyle w:val="Strong"/>
          <w:rFonts w:ascii="Book Antiqua" w:hAnsi="Book Antiqua"/>
        </w:rPr>
        <w:t>es una medida positiva, compatible con el ordenamiento vigente y alineada con la política pública de vivienda y desarrollo municipal</w:t>
      </w:r>
      <w:r w:rsidR="0049701E" w:rsidRPr="0049701E">
        <w:rPr>
          <w:rFonts w:ascii="Book Antiqua" w:hAnsi="Book Antiqua"/>
        </w:rPr>
        <w:t>, por lo que no presenta objeción a su aprobación.</w:t>
      </w:r>
    </w:p>
    <w:p w14:paraId="6588BF5F" w14:textId="737057F5" w:rsidR="0049701E" w:rsidRPr="0049701E" w:rsidRDefault="0049701E" w:rsidP="0049701E">
      <w:pPr>
        <w:pStyle w:val="NormalWeb"/>
        <w:jc w:val="both"/>
        <w:rPr>
          <w:rFonts w:ascii="Book Antiqua" w:hAnsi="Book Antiqua"/>
        </w:rPr>
      </w:pPr>
      <w:r w:rsidRPr="0049701E">
        <w:rPr>
          <w:rFonts w:ascii="Book Antiqua" w:hAnsi="Book Antiqua"/>
        </w:rPr>
        <w:t xml:space="preserve">El </w:t>
      </w:r>
      <w:r w:rsidRPr="00A726BB">
        <w:rPr>
          <w:rFonts w:ascii="Book Antiqua" w:hAnsi="Book Antiqua"/>
          <w:b/>
          <w:bCs/>
          <w:i/>
          <w:iCs/>
        </w:rPr>
        <w:t>Departamento de Justicia</w:t>
      </w:r>
      <w:r w:rsidR="003A3EE9">
        <w:rPr>
          <w:rFonts w:ascii="Book Antiqua" w:hAnsi="Book Antiqua"/>
          <w:b/>
          <w:bCs/>
          <w:i/>
          <w:iCs/>
        </w:rPr>
        <w:t xml:space="preserve"> (DJ)</w:t>
      </w:r>
      <w:r w:rsidRPr="00A726BB">
        <w:rPr>
          <w:rFonts w:ascii="Book Antiqua" w:hAnsi="Book Antiqua"/>
          <w:b/>
          <w:bCs/>
          <w:i/>
          <w:iCs/>
        </w:rPr>
        <w:t>,</w:t>
      </w:r>
      <w:r w:rsidRPr="0049701E">
        <w:rPr>
          <w:rFonts w:ascii="Book Antiqua" w:hAnsi="Book Antiqua"/>
        </w:rPr>
        <w:t xml:space="preserve"> mediante memorial explicativo suscrito el 23 de febrero de 2026, </w:t>
      </w:r>
      <w:r w:rsidR="00A726BB">
        <w:rPr>
          <w:rFonts w:ascii="Book Antiqua" w:hAnsi="Book Antiqua"/>
        </w:rPr>
        <w:t xml:space="preserve">por la </w:t>
      </w:r>
      <w:proofErr w:type="gramStart"/>
      <w:r w:rsidR="003A3EE9">
        <w:rPr>
          <w:rFonts w:ascii="Book Antiqua" w:hAnsi="Book Antiqua"/>
        </w:rPr>
        <w:t>s</w:t>
      </w:r>
      <w:r w:rsidR="00A726BB">
        <w:rPr>
          <w:rFonts w:ascii="Book Antiqua" w:hAnsi="Book Antiqua"/>
        </w:rPr>
        <w:t xml:space="preserve">ub </w:t>
      </w:r>
      <w:r w:rsidR="003A3EE9">
        <w:rPr>
          <w:rFonts w:ascii="Book Antiqua" w:hAnsi="Book Antiqua"/>
        </w:rPr>
        <w:t>s</w:t>
      </w:r>
      <w:r w:rsidR="00A726BB">
        <w:rPr>
          <w:rFonts w:ascii="Book Antiqua" w:hAnsi="Book Antiqua"/>
        </w:rPr>
        <w:t>ecretaria</w:t>
      </w:r>
      <w:proofErr w:type="gramEnd"/>
      <w:r w:rsidR="00A726BB">
        <w:rPr>
          <w:rFonts w:ascii="Book Antiqua" w:hAnsi="Book Antiqua"/>
        </w:rPr>
        <w:t xml:space="preserve">, Annette Esteves Serrano, </w:t>
      </w:r>
      <w:r w:rsidRPr="0049701E">
        <w:rPr>
          <w:rStyle w:val="Strong"/>
          <w:rFonts w:ascii="Book Antiqua" w:hAnsi="Book Antiqua"/>
        </w:rPr>
        <w:t>avaló la continuación del trámite legislativo del Proyecto de la Cámara 1005</w:t>
      </w:r>
      <w:r w:rsidRPr="0049701E">
        <w:rPr>
          <w:rFonts w:ascii="Book Antiqua" w:hAnsi="Book Antiqua"/>
        </w:rPr>
        <w:t xml:space="preserve">, al concluir que la medida es consistente con el marco constitucional y legal vigente en materia municipal y de expropiación forzosa. </w:t>
      </w:r>
    </w:p>
    <w:p w14:paraId="4A229C6B" w14:textId="77777777" w:rsidR="0049701E" w:rsidRPr="0049701E" w:rsidRDefault="0049701E" w:rsidP="0049701E">
      <w:pPr>
        <w:pStyle w:val="NormalWeb"/>
        <w:jc w:val="both"/>
        <w:rPr>
          <w:rFonts w:ascii="Book Antiqua" w:hAnsi="Book Antiqua"/>
        </w:rPr>
      </w:pPr>
      <w:r w:rsidRPr="0049701E">
        <w:rPr>
          <w:rFonts w:ascii="Book Antiqua" w:hAnsi="Book Antiqua"/>
        </w:rPr>
        <w:t>En su análisis, el Departamento destacó que la Asamblea Legislativa posee amplia facultad constitucional para regular el régimen y funcionamiento de los municipios, incluyendo autorizar mecanismos que promuevan el bienestar general, como lo es la rehabilitación de propiedades declaradas estorbos públicos. Asimismo, reconoció que el Código Municipal ya establece un andamiaje jurídico robusto que permite la identificación, expropiación y disposición de este tipo de propiedades, como parte de una política pública dirigida a proteger la salud, seguridad y calidad de vida de las comunidades.</w:t>
      </w:r>
    </w:p>
    <w:p w14:paraId="2CD786D8" w14:textId="77777777" w:rsidR="0049701E" w:rsidRPr="0049701E" w:rsidRDefault="0049701E" w:rsidP="0049701E">
      <w:pPr>
        <w:pStyle w:val="NormalWeb"/>
        <w:jc w:val="both"/>
        <w:rPr>
          <w:rFonts w:ascii="Book Antiqua" w:hAnsi="Book Antiqua"/>
        </w:rPr>
      </w:pPr>
      <w:r w:rsidRPr="0049701E">
        <w:rPr>
          <w:rFonts w:ascii="Book Antiqua" w:hAnsi="Book Antiqua"/>
        </w:rPr>
        <w:t xml:space="preserve">A tales efectos, el Departamento señaló que el Proyecto de la Cámara 1005 </w:t>
      </w:r>
      <w:r w:rsidRPr="0049701E">
        <w:rPr>
          <w:rStyle w:val="Strong"/>
          <w:rFonts w:ascii="Book Antiqua" w:hAnsi="Book Antiqua"/>
        </w:rPr>
        <w:t>persigue flexibilizar el marco normativo vigente</w:t>
      </w:r>
      <w:r w:rsidRPr="0049701E">
        <w:rPr>
          <w:rFonts w:ascii="Book Antiqua" w:hAnsi="Book Antiqua"/>
        </w:rPr>
        <w:t>, al permitir que personas naturales o jurídicas —con o sin fines de lucro— puedan adquirir propiedades declaradas estorbos públicos sin ser consideradas terceros adquirentes, siempre que se comprometan a destinarlas al desarrollo de vivienda para personas o familias de ingresos bajos, moderados o de clase media. Esta flexibilización, según el análisis del Departamento, responde a la necesidad de agilizar la reutilización de estructuras abandonadas y atender la escasez de vivienda asequible en Puerto Rico.</w:t>
      </w:r>
    </w:p>
    <w:p w14:paraId="635CDB5E" w14:textId="77777777" w:rsidR="0049701E" w:rsidRPr="0049701E" w:rsidRDefault="0049701E" w:rsidP="0049701E">
      <w:pPr>
        <w:pStyle w:val="NormalWeb"/>
        <w:jc w:val="both"/>
        <w:rPr>
          <w:rFonts w:ascii="Book Antiqua" w:hAnsi="Book Antiqua"/>
        </w:rPr>
      </w:pPr>
      <w:r w:rsidRPr="0049701E">
        <w:rPr>
          <w:rFonts w:ascii="Book Antiqua" w:hAnsi="Book Antiqua"/>
        </w:rPr>
        <w:t>De igual forma, el Departamento de Justicia expresó su conformidad con la enmienda propuesta al Artículo 4.014 del Código Municipal, la cual incorpora el mecanismo de retracto convencional como herramienta de fiscalización. Bajo este esquema, los municipios podrán recuperar la propiedad en caso de incumplimiento con el propósito certificado de destinarla a vivienda asequible, lo que fortalece la protección del interés público.</w:t>
      </w:r>
    </w:p>
    <w:p w14:paraId="7C588940" w14:textId="56C98EF0" w:rsidR="0049701E" w:rsidRPr="0049701E" w:rsidRDefault="0049701E" w:rsidP="0049701E">
      <w:pPr>
        <w:pStyle w:val="NormalWeb"/>
        <w:jc w:val="both"/>
        <w:rPr>
          <w:rFonts w:ascii="Book Antiqua" w:hAnsi="Book Antiqua"/>
        </w:rPr>
      </w:pPr>
      <w:r w:rsidRPr="0049701E">
        <w:rPr>
          <w:rFonts w:ascii="Book Antiqua" w:hAnsi="Book Antiqua"/>
        </w:rPr>
        <w:t>No obstante, el D</w:t>
      </w:r>
      <w:r w:rsidR="003A3EE9">
        <w:rPr>
          <w:rFonts w:ascii="Book Antiqua" w:hAnsi="Book Antiqua"/>
        </w:rPr>
        <w:t>J</w:t>
      </w:r>
      <w:r w:rsidRPr="0049701E">
        <w:rPr>
          <w:rFonts w:ascii="Book Antiqua" w:hAnsi="Book Antiqua"/>
        </w:rPr>
        <w:t xml:space="preserve"> recomendó que se incorporen </w:t>
      </w:r>
      <w:r w:rsidRPr="0049701E">
        <w:rPr>
          <w:rStyle w:val="Strong"/>
          <w:rFonts w:ascii="Book Antiqua" w:hAnsi="Book Antiqua"/>
        </w:rPr>
        <w:t>parámetros más claros y objetivos para definir lo que constituirá un incumplimiento</w:t>
      </w:r>
      <w:r w:rsidRPr="0049701E">
        <w:rPr>
          <w:rFonts w:ascii="Book Antiqua" w:hAnsi="Book Antiqua"/>
        </w:rPr>
        <w:t xml:space="preserve">, así como criterios uniformes para determinar las categorías de ingresos bajos, moderados o de clase media, sugiriendo que se utilicen como referencia los estándares del Departamento de la Vivienda. Asimismo, </w:t>
      </w:r>
      <w:r w:rsidRPr="0049701E">
        <w:rPr>
          <w:rFonts w:ascii="Book Antiqua" w:hAnsi="Book Antiqua"/>
        </w:rPr>
        <w:lastRenderedPageBreak/>
        <w:t>propuso que se incluya la obligación de notificar a la Universidad de Puerto Rico en los procesos de declaración de estorbo público, en atención a su derecho preferente reconocido en el Código Civil.</w:t>
      </w:r>
    </w:p>
    <w:p w14:paraId="6B964FDD" w14:textId="58EAFFE6" w:rsidR="0049701E" w:rsidRPr="0049701E" w:rsidRDefault="007E1EA6" w:rsidP="0049701E">
      <w:pPr>
        <w:pStyle w:val="NormalWeb"/>
        <w:jc w:val="both"/>
        <w:rPr>
          <w:rFonts w:ascii="Book Antiqua" w:hAnsi="Book Antiqua"/>
        </w:rPr>
      </w:pPr>
      <w:r>
        <w:rPr>
          <w:rFonts w:ascii="Book Antiqua" w:hAnsi="Book Antiqua"/>
        </w:rPr>
        <w:t>E</w:t>
      </w:r>
      <w:r w:rsidR="0049701E" w:rsidRPr="0049701E">
        <w:rPr>
          <w:rFonts w:ascii="Book Antiqua" w:hAnsi="Book Antiqua"/>
        </w:rPr>
        <w:t xml:space="preserve">l Departamento de Justicia entiende que la medida </w:t>
      </w:r>
      <w:r w:rsidR="0049701E" w:rsidRPr="0049701E">
        <w:rPr>
          <w:rStyle w:val="Strong"/>
          <w:rFonts w:ascii="Book Antiqua" w:hAnsi="Book Antiqua"/>
        </w:rPr>
        <w:t>es jurídicamente viable, responde a un interés público apremiante y fortalece la política pública de vivienda asequible</w:t>
      </w:r>
      <w:r w:rsidR="0049701E" w:rsidRPr="0049701E">
        <w:rPr>
          <w:rFonts w:ascii="Book Antiqua" w:hAnsi="Book Antiqua"/>
        </w:rPr>
        <w:t>, por lo que no presenta impedimentos legales para su aprobación, sujeto a las recomendaciones técnicas señaladas.</w:t>
      </w:r>
    </w:p>
    <w:p w14:paraId="37EAD1F5" w14:textId="0CA984D2"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El </w:t>
      </w:r>
      <w:r w:rsidRPr="00A726BB">
        <w:rPr>
          <w:rFonts w:ascii="Book Antiqua" w:eastAsia="Times New Roman" w:hAnsi="Book Antiqua"/>
          <w:b/>
          <w:bCs/>
          <w:i/>
          <w:iCs/>
          <w:szCs w:val="24"/>
          <w:lang w:val="es-DO"/>
        </w:rPr>
        <w:t>Departamento de la Vivienda</w:t>
      </w:r>
      <w:r w:rsidR="003A3EE9">
        <w:rPr>
          <w:rFonts w:ascii="Book Antiqua" w:eastAsia="Times New Roman" w:hAnsi="Book Antiqua"/>
          <w:b/>
          <w:bCs/>
          <w:i/>
          <w:iCs/>
          <w:szCs w:val="24"/>
          <w:lang w:val="es-DO"/>
        </w:rPr>
        <w:t xml:space="preserve"> (DV)</w:t>
      </w:r>
      <w:r w:rsidRPr="00A726BB">
        <w:rPr>
          <w:rFonts w:ascii="Book Antiqua" w:eastAsia="Times New Roman" w:hAnsi="Book Antiqua"/>
          <w:b/>
          <w:bCs/>
          <w:i/>
          <w:iCs/>
          <w:szCs w:val="24"/>
          <w:lang w:val="es-DO"/>
        </w:rPr>
        <w:t>,</w:t>
      </w:r>
      <w:r w:rsidRPr="00A726BB">
        <w:rPr>
          <w:rFonts w:ascii="Book Antiqua" w:eastAsia="Times New Roman" w:hAnsi="Book Antiqua"/>
          <w:szCs w:val="24"/>
          <w:lang w:val="es-DO"/>
        </w:rPr>
        <w:t xml:space="preserve"> mediante memorial explicativo suscrito el 13 de febrero de 2026 por la entonces </w:t>
      </w:r>
      <w:r w:rsidR="003A3EE9">
        <w:rPr>
          <w:rFonts w:ascii="Book Antiqua" w:eastAsia="Times New Roman" w:hAnsi="Book Antiqua"/>
          <w:szCs w:val="24"/>
          <w:lang w:val="es-DO"/>
        </w:rPr>
        <w:t>s</w:t>
      </w:r>
      <w:r w:rsidRPr="00A726BB">
        <w:rPr>
          <w:rFonts w:ascii="Book Antiqua" w:eastAsia="Times New Roman" w:hAnsi="Book Antiqua"/>
          <w:szCs w:val="24"/>
          <w:lang w:val="es-DO"/>
        </w:rPr>
        <w:t xml:space="preserve">ecretaria, </w:t>
      </w:r>
      <w:r w:rsidRPr="00A726BB">
        <w:rPr>
          <w:rFonts w:ascii="Book Antiqua" w:eastAsia="Times New Roman" w:hAnsi="Book Antiqua"/>
          <w:b/>
          <w:bCs/>
          <w:szCs w:val="24"/>
          <w:lang w:val="es-DO"/>
        </w:rPr>
        <w:t>Ciary Pérez Peña</w:t>
      </w:r>
      <w:r w:rsidRPr="00A726BB">
        <w:rPr>
          <w:rFonts w:ascii="Book Antiqua" w:eastAsia="Times New Roman" w:hAnsi="Book Antiqua"/>
          <w:szCs w:val="24"/>
          <w:lang w:val="es-DO"/>
        </w:rPr>
        <w:t xml:space="preserve">, presentó sus comentarios en torno al Proyecto de la Cámara 1005. </w:t>
      </w:r>
    </w:p>
    <w:p w14:paraId="46857A19" w14:textId="1E88B855"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En su análisis, el D</w:t>
      </w:r>
      <w:r w:rsidR="003A3EE9">
        <w:rPr>
          <w:rFonts w:ascii="Book Antiqua" w:eastAsia="Times New Roman" w:hAnsi="Book Antiqua"/>
          <w:szCs w:val="24"/>
          <w:lang w:val="es-DO"/>
        </w:rPr>
        <w:t>V</w:t>
      </w:r>
      <w:r w:rsidRPr="00A726BB">
        <w:rPr>
          <w:rFonts w:ascii="Book Antiqua" w:eastAsia="Times New Roman" w:hAnsi="Book Antiqua"/>
          <w:szCs w:val="24"/>
          <w:lang w:val="es-DO"/>
        </w:rPr>
        <w:t xml:space="preserve"> reconoce como legítimo y apremiante el objetivo de política pública de aumentar el inventario de vivienda asequible en Puerto Rico, particularmente ante el problema persistente del abandono de estructuras y la limitada disponibilidad de vivienda para personas y familias de ingresos bajos, moderados y de clase media. No obstante, expresó </w:t>
      </w:r>
      <w:r w:rsidRPr="00A726BB">
        <w:rPr>
          <w:rFonts w:ascii="Book Antiqua" w:eastAsia="Times New Roman" w:hAnsi="Book Antiqua"/>
          <w:b/>
          <w:bCs/>
          <w:szCs w:val="24"/>
          <w:lang w:val="es-DO"/>
        </w:rPr>
        <w:t>reservas sustanciales en cuanto al mecanismo propuesto por la medida</w:t>
      </w:r>
      <w:r w:rsidRPr="00A726BB">
        <w:rPr>
          <w:rFonts w:ascii="Book Antiqua" w:eastAsia="Times New Roman" w:hAnsi="Book Antiqua"/>
          <w:szCs w:val="24"/>
          <w:lang w:val="es-DO"/>
        </w:rPr>
        <w:t>.</w:t>
      </w:r>
    </w:p>
    <w:p w14:paraId="09A9DF9C" w14:textId="77777777"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El Departamento destacó que el procedimiento sumario de expropiación contenido en el Código Municipal constituye una herramienta extraordinaria, diseñada con limitaciones específicas —como la prohibición de beneficiar a terceros adquirentes— para evitar la especulación inmobiliaria, el acaparamiento de propiedades y el uso indebido del poder expropiatorio. A su juicio, la propuesta legislativa altera ese balance al excluir ampliamente del concepto de “tercero adquirente” a personas naturales o jurídicas que certifiquen un uso futuro para vivienda asequible, sin establecer parámetros uniformes ni controles suficientes.</w:t>
      </w:r>
    </w:p>
    <w:p w14:paraId="54F424EF" w14:textId="77777777"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Asimismo, advirtió que la medida, según redactada, podría generar efectos no deseados, tales como:</w:t>
      </w:r>
    </w:p>
    <w:p w14:paraId="3539C6AE" w14:textId="77777777" w:rsidR="00A726BB" w:rsidRPr="00A726BB" w:rsidRDefault="00A726BB" w:rsidP="00A726BB">
      <w:pPr>
        <w:numPr>
          <w:ilvl w:val="0"/>
          <w:numId w:val="43"/>
        </w:num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favorecer a inversionistas con mayor capacidad económica (“cash </w:t>
      </w:r>
      <w:proofErr w:type="spellStart"/>
      <w:r w:rsidRPr="00A726BB">
        <w:rPr>
          <w:rFonts w:ascii="Book Antiqua" w:eastAsia="Times New Roman" w:hAnsi="Book Antiqua"/>
          <w:szCs w:val="24"/>
          <w:lang w:val="es-DO"/>
        </w:rPr>
        <w:t>buyers</w:t>
      </w:r>
      <w:proofErr w:type="spellEnd"/>
      <w:r w:rsidRPr="00A726BB">
        <w:rPr>
          <w:rFonts w:ascii="Book Antiqua" w:eastAsia="Times New Roman" w:hAnsi="Book Antiqua"/>
          <w:szCs w:val="24"/>
          <w:lang w:val="es-DO"/>
        </w:rPr>
        <w:t xml:space="preserve">”), en detrimento de compradores individuales; </w:t>
      </w:r>
    </w:p>
    <w:p w14:paraId="0487E399" w14:textId="77777777" w:rsidR="00A726BB" w:rsidRPr="00A726BB" w:rsidRDefault="00A726BB" w:rsidP="00A726BB">
      <w:pPr>
        <w:numPr>
          <w:ilvl w:val="0"/>
          <w:numId w:val="43"/>
        </w:num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permitir usos posteriores de la propiedad que no necesariamente adelanten el objetivo de vivienda asequible (por ejemplo, alquileres a corto plazo o usos comerciales); </w:t>
      </w:r>
    </w:p>
    <w:p w14:paraId="6C3304A6" w14:textId="77777777" w:rsidR="00A726BB" w:rsidRPr="00A726BB" w:rsidRDefault="00A726BB" w:rsidP="00A726BB">
      <w:pPr>
        <w:numPr>
          <w:ilvl w:val="0"/>
          <w:numId w:val="43"/>
        </w:num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trasladar el riesgo de incumplimiento a etapas posteriores a la transferencia, donde los mecanismos correctivos —como el retracto convencional— podrían resultar tardíos y complejos. </w:t>
      </w:r>
    </w:p>
    <w:p w14:paraId="7C464A9D" w14:textId="77777777"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De igual forma, el Departamento señaló que la delegación amplia a los municipios para definir criterios de elegibilidad podría provocar </w:t>
      </w:r>
      <w:r w:rsidRPr="00A726BB">
        <w:rPr>
          <w:rFonts w:ascii="Book Antiqua" w:eastAsia="Times New Roman" w:hAnsi="Book Antiqua"/>
          <w:b/>
          <w:bCs/>
          <w:szCs w:val="24"/>
          <w:lang w:val="es-DO"/>
        </w:rPr>
        <w:t xml:space="preserve">falta de uniformidad y posibles </w:t>
      </w:r>
      <w:r w:rsidRPr="00A726BB">
        <w:rPr>
          <w:rFonts w:ascii="Book Antiqua" w:eastAsia="Times New Roman" w:hAnsi="Book Antiqua"/>
          <w:b/>
          <w:bCs/>
          <w:szCs w:val="24"/>
          <w:lang w:val="es-DO"/>
        </w:rPr>
        <w:lastRenderedPageBreak/>
        <w:t>controversias por discrecionalidad</w:t>
      </w:r>
      <w:r w:rsidRPr="00A726BB">
        <w:rPr>
          <w:rFonts w:ascii="Book Antiqua" w:eastAsia="Times New Roman" w:hAnsi="Book Antiqua"/>
          <w:szCs w:val="24"/>
          <w:lang w:val="es-DO"/>
        </w:rPr>
        <w:t>, al no establecerse estándares mínimos a nivel legislativo.</w:t>
      </w:r>
    </w:p>
    <w:p w14:paraId="2FA9620C" w14:textId="77777777"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Desde una perspectiva jurídica y constitucional, enfatizó que los procesos de expropiación que culminan en la transferencia a particulares requieren claridad en cuanto al fin público que los justifica, por lo que una flexibilización amplia sin salvaguardas adecuadas podría suscitar cuestionamientos legales.</w:t>
      </w:r>
    </w:p>
    <w:p w14:paraId="10232753" w14:textId="77777777"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En consecuencia, el Departamento de la Vivienda concluyó que, </w:t>
      </w:r>
      <w:r w:rsidRPr="00A726BB">
        <w:rPr>
          <w:rFonts w:ascii="Book Antiqua" w:eastAsia="Times New Roman" w:hAnsi="Book Antiqua"/>
          <w:b/>
          <w:bCs/>
          <w:szCs w:val="24"/>
          <w:lang w:val="es-DO"/>
        </w:rPr>
        <w:t>aunque reconoce la importancia del objetivo de la medida, no favorece su aprobación en su forma actual</w:t>
      </w:r>
      <w:r w:rsidRPr="00A726BB">
        <w:rPr>
          <w:rFonts w:ascii="Book Antiqua" w:eastAsia="Times New Roman" w:hAnsi="Book Antiqua"/>
          <w:szCs w:val="24"/>
          <w:lang w:val="es-DO"/>
        </w:rPr>
        <w:t>, recomendando que cualquier intervención legislativa en esta materia sea estructurada con mayor rigor técnico, criterios uniformes y mecanismos claros de fiscalización para garantizar su efectividad y sostenibilidad.</w:t>
      </w:r>
    </w:p>
    <w:p w14:paraId="79B22DFA" w14:textId="0D417934"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La </w:t>
      </w:r>
      <w:r w:rsidRPr="00A726BB">
        <w:rPr>
          <w:rFonts w:ascii="Book Antiqua" w:eastAsia="Times New Roman" w:hAnsi="Book Antiqua"/>
          <w:b/>
          <w:bCs/>
          <w:i/>
          <w:iCs/>
          <w:szCs w:val="24"/>
          <w:lang w:val="es-DO"/>
        </w:rPr>
        <w:t xml:space="preserve">Federación de </w:t>
      </w:r>
      <w:proofErr w:type="gramStart"/>
      <w:r w:rsidRPr="00A726BB">
        <w:rPr>
          <w:rFonts w:ascii="Book Antiqua" w:eastAsia="Times New Roman" w:hAnsi="Book Antiqua"/>
          <w:b/>
          <w:bCs/>
          <w:i/>
          <w:iCs/>
          <w:szCs w:val="24"/>
          <w:lang w:val="es-DO"/>
        </w:rPr>
        <w:t>Alcaldes</w:t>
      </w:r>
      <w:proofErr w:type="gramEnd"/>
      <w:r w:rsidRPr="00A726BB">
        <w:rPr>
          <w:rFonts w:ascii="Book Antiqua" w:eastAsia="Times New Roman" w:hAnsi="Book Antiqua"/>
          <w:b/>
          <w:bCs/>
          <w:i/>
          <w:iCs/>
          <w:szCs w:val="24"/>
          <w:lang w:val="es-DO"/>
        </w:rPr>
        <w:t xml:space="preserve"> de Puerto Rico</w:t>
      </w:r>
      <w:r w:rsidR="003A3EE9">
        <w:rPr>
          <w:rFonts w:ascii="Book Antiqua" w:eastAsia="Times New Roman" w:hAnsi="Book Antiqua"/>
          <w:b/>
          <w:bCs/>
          <w:i/>
          <w:iCs/>
          <w:szCs w:val="24"/>
          <w:lang w:val="es-DO"/>
        </w:rPr>
        <w:t xml:space="preserve"> (FAPR)</w:t>
      </w:r>
      <w:r w:rsidRPr="00A726BB">
        <w:rPr>
          <w:rFonts w:ascii="Book Antiqua" w:eastAsia="Times New Roman" w:hAnsi="Book Antiqua"/>
          <w:b/>
          <w:bCs/>
          <w:i/>
          <w:iCs/>
          <w:szCs w:val="24"/>
          <w:lang w:val="es-DO"/>
        </w:rPr>
        <w:t xml:space="preserve">, </w:t>
      </w:r>
      <w:r w:rsidRPr="00A726BB">
        <w:rPr>
          <w:rFonts w:ascii="Book Antiqua" w:eastAsia="Times New Roman" w:hAnsi="Book Antiqua"/>
          <w:szCs w:val="24"/>
          <w:lang w:val="es-DO"/>
        </w:rPr>
        <w:t xml:space="preserve">mediante memorial explicativo suscrito el 23 de febrero de 2026 por su </w:t>
      </w:r>
      <w:proofErr w:type="gramStart"/>
      <w:r w:rsidRPr="00A726BB">
        <w:rPr>
          <w:rFonts w:ascii="Book Antiqua" w:eastAsia="Times New Roman" w:hAnsi="Book Antiqua"/>
          <w:szCs w:val="24"/>
          <w:lang w:val="es-DO"/>
        </w:rPr>
        <w:t>Director Ejecutivo</w:t>
      </w:r>
      <w:proofErr w:type="gramEnd"/>
      <w:r w:rsidRPr="00A726BB">
        <w:rPr>
          <w:rFonts w:ascii="Book Antiqua" w:eastAsia="Times New Roman" w:hAnsi="Book Antiqua"/>
          <w:szCs w:val="24"/>
          <w:lang w:val="es-DO"/>
        </w:rPr>
        <w:t xml:space="preserve">, Ángel M. Morales Vázquez, </w:t>
      </w:r>
      <w:r w:rsidRPr="00A726BB">
        <w:rPr>
          <w:rFonts w:ascii="Book Antiqua" w:eastAsia="Times New Roman" w:hAnsi="Book Antiqua"/>
          <w:b/>
          <w:bCs/>
          <w:szCs w:val="24"/>
          <w:lang w:val="es-DO"/>
        </w:rPr>
        <w:t>endosó el Proyecto de la Cámara 1005</w:t>
      </w:r>
      <w:r w:rsidRPr="00A726BB">
        <w:rPr>
          <w:rFonts w:ascii="Book Antiqua" w:eastAsia="Times New Roman" w:hAnsi="Book Antiqua"/>
          <w:szCs w:val="24"/>
          <w:lang w:val="es-DO"/>
        </w:rPr>
        <w:t>, al entender que la medida provee herramientas adicionales a los municipios para atender problemáticas reales relacionadas con los estorbos públicos y la escasez de vivienda.</w:t>
      </w:r>
    </w:p>
    <w:p w14:paraId="439ACCA7" w14:textId="26200B39"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En su</w:t>
      </w:r>
      <w:r w:rsidR="007E1EA6">
        <w:rPr>
          <w:rFonts w:ascii="Book Antiqua" w:eastAsia="Times New Roman" w:hAnsi="Book Antiqua"/>
          <w:szCs w:val="24"/>
          <w:lang w:val="es-DO"/>
        </w:rPr>
        <w:t xml:space="preserve"> comparecencia,</w:t>
      </w:r>
      <w:r w:rsidRPr="00A726BB">
        <w:rPr>
          <w:rFonts w:ascii="Book Antiqua" w:eastAsia="Times New Roman" w:hAnsi="Book Antiqua"/>
          <w:szCs w:val="24"/>
          <w:lang w:val="es-DO"/>
        </w:rPr>
        <w:t xml:space="preserve"> la F</w:t>
      </w:r>
      <w:r w:rsidR="003A3EE9">
        <w:rPr>
          <w:rFonts w:ascii="Book Antiqua" w:eastAsia="Times New Roman" w:hAnsi="Book Antiqua"/>
          <w:szCs w:val="24"/>
          <w:lang w:val="es-DO"/>
        </w:rPr>
        <w:t>APR</w:t>
      </w:r>
      <w:r w:rsidRPr="00A726BB">
        <w:rPr>
          <w:rFonts w:ascii="Book Antiqua" w:eastAsia="Times New Roman" w:hAnsi="Book Antiqua"/>
          <w:szCs w:val="24"/>
          <w:lang w:val="es-DO"/>
        </w:rPr>
        <w:t xml:space="preserve"> destacó que uno de los principales retos que enfrentan los municipios es el manejo de propiedades abandonadas, las cuales no solo resultan difíciles de mantener, sino que también deterioran el entorno, afectan la seguridad y generan problemas de salubridad en las comunidades. En ese contexto, la medida propone flexibilizar el marco normativo vigente para permitir que personas naturales o jurídicas —con o sin fines de lucro— puedan adquirir estas propiedades sin ser consideradas terceros adquirentes, siempre que las destinen al desarrollo de vivienda asequible.</w:t>
      </w:r>
    </w:p>
    <w:p w14:paraId="24A9EDD3" w14:textId="77777777"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La FAPR sostuvo que esta propuesta </w:t>
      </w:r>
      <w:r w:rsidRPr="00A726BB">
        <w:rPr>
          <w:rFonts w:ascii="Book Antiqua" w:eastAsia="Times New Roman" w:hAnsi="Book Antiqua"/>
          <w:b/>
          <w:bCs/>
          <w:szCs w:val="24"/>
          <w:lang w:val="es-DO"/>
        </w:rPr>
        <w:t>fortalece la autonomía municipal</w:t>
      </w:r>
      <w:r w:rsidRPr="00A726BB">
        <w:rPr>
          <w:rFonts w:ascii="Book Antiqua" w:eastAsia="Times New Roman" w:hAnsi="Book Antiqua"/>
          <w:szCs w:val="24"/>
          <w:lang w:val="es-DO"/>
        </w:rPr>
        <w:t>, al permitir que los ayuntamientos atiendan de manera más ágil y efectiva sus realidades locales. Asimismo, resaltó que facilitar la adquisición de estas propiedades para fines residenciales puede contribuir a la revitalización de comunidades afectadas por el abandono, aumentar la oferta de vivienda y promover actividad económica mediante procesos de rehabilitación y desarrollo.</w:t>
      </w:r>
    </w:p>
    <w:p w14:paraId="26157240" w14:textId="7A08C6D3"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No obstante, la F</w:t>
      </w:r>
      <w:r w:rsidR="003A3EE9">
        <w:rPr>
          <w:rFonts w:ascii="Book Antiqua" w:eastAsia="Times New Roman" w:hAnsi="Book Antiqua"/>
          <w:szCs w:val="24"/>
          <w:lang w:val="es-DO"/>
        </w:rPr>
        <w:t>APR</w:t>
      </w:r>
      <w:r w:rsidRPr="00A726BB">
        <w:rPr>
          <w:rFonts w:ascii="Book Antiqua" w:eastAsia="Times New Roman" w:hAnsi="Book Antiqua"/>
          <w:szCs w:val="24"/>
          <w:lang w:val="es-DO"/>
        </w:rPr>
        <w:t xml:space="preserve"> recomendó una </w:t>
      </w:r>
      <w:r w:rsidRPr="00A726BB">
        <w:rPr>
          <w:rFonts w:ascii="Book Antiqua" w:eastAsia="Times New Roman" w:hAnsi="Book Antiqua"/>
          <w:b/>
          <w:bCs/>
          <w:szCs w:val="24"/>
          <w:lang w:val="es-DO"/>
        </w:rPr>
        <w:t>enmienda específica al Artículo 4.014 del Código Municipal</w:t>
      </w:r>
      <w:r w:rsidRPr="00A726BB">
        <w:rPr>
          <w:rFonts w:ascii="Book Antiqua" w:eastAsia="Times New Roman" w:hAnsi="Book Antiqua"/>
          <w:szCs w:val="24"/>
          <w:lang w:val="es-DO"/>
        </w:rPr>
        <w:t>, a los fines de armonizar su contenido con otras medidas legislativas en consideración, particularmente el Proyecto del Senado 777. En esencia, propuso ajustar el lenguaje relacionado con el retracto convencional para clarificar que el municipio podrá ejercer dicho derecho cuando:</w:t>
      </w:r>
    </w:p>
    <w:p w14:paraId="1FCCB660" w14:textId="77777777" w:rsidR="00A726BB" w:rsidRPr="00A726BB" w:rsidRDefault="00A726BB" w:rsidP="00A726BB">
      <w:pPr>
        <w:numPr>
          <w:ilvl w:val="0"/>
          <w:numId w:val="44"/>
        </w:num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no se haya realizado la rehabilitación, reconstrucción, restauración o demolición de la propiedad dentro del término de un (1) año; o </w:t>
      </w:r>
    </w:p>
    <w:p w14:paraId="0B7D5267" w14:textId="77777777" w:rsidR="00A726BB" w:rsidRPr="00A726BB" w:rsidRDefault="00A726BB" w:rsidP="00A726BB">
      <w:pPr>
        <w:numPr>
          <w:ilvl w:val="0"/>
          <w:numId w:val="44"/>
        </w:num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lastRenderedPageBreak/>
        <w:t xml:space="preserve">se incumpla con el requisito de destinar la propiedad al desarrollo de vivienda para personas o familias de ingresos bajos, moderados o de clase media. </w:t>
      </w:r>
    </w:p>
    <w:p w14:paraId="61CEDE81" w14:textId="295B916D"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Según la F</w:t>
      </w:r>
      <w:r w:rsidR="003A3EE9">
        <w:rPr>
          <w:rFonts w:ascii="Book Antiqua" w:eastAsia="Times New Roman" w:hAnsi="Book Antiqua"/>
          <w:szCs w:val="24"/>
          <w:lang w:val="es-DO"/>
        </w:rPr>
        <w:t>APR</w:t>
      </w:r>
      <w:r w:rsidRPr="00A726BB">
        <w:rPr>
          <w:rFonts w:ascii="Book Antiqua" w:eastAsia="Times New Roman" w:hAnsi="Book Antiqua"/>
          <w:szCs w:val="24"/>
          <w:lang w:val="es-DO"/>
        </w:rPr>
        <w:t xml:space="preserve">, esta enmienda permitiría </w:t>
      </w:r>
      <w:r w:rsidRPr="00A726BB">
        <w:rPr>
          <w:rFonts w:ascii="Book Antiqua" w:eastAsia="Times New Roman" w:hAnsi="Book Antiqua"/>
          <w:b/>
          <w:bCs/>
          <w:szCs w:val="24"/>
          <w:lang w:val="es-DO"/>
        </w:rPr>
        <w:t>simplificar y hacer más práctico el proceso</w:t>
      </w:r>
      <w:r w:rsidRPr="00A726BB">
        <w:rPr>
          <w:rFonts w:ascii="Book Antiqua" w:eastAsia="Times New Roman" w:hAnsi="Book Antiqua"/>
          <w:szCs w:val="24"/>
          <w:lang w:val="es-DO"/>
        </w:rPr>
        <w:t>, eliminando disposiciones innecesarias y fortaleciendo la capacidad de fiscalización municipal.</w:t>
      </w:r>
    </w:p>
    <w:p w14:paraId="583AF7B1" w14:textId="286E3DC6" w:rsidR="00A726BB" w:rsidRPr="00A726BB" w:rsidRDefault="007E1EA6" w:rsidP="00A726BB">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szCs w:val="24"/>
          <w:lang w:val="es-DO"/>
        </w:rPr>
        <w:t>L</w:t>
      </w:r>
      <w:r w:rsidR="00A726BB" w:rsidRPr="00A726BB">
        <w:rPr>
          <w:rFonts w:ascii="Book Antiqua" w:eastAsia="Times New Roman" w:hAnsi="Book Antiqua"/>
          <w:szCs w:val="24"/>
          <w:lang w:val="es-DO"/>
        </w:rPr>
        <w:t xml:space="preserve">a Federación de </w:t>
      </w:r>
      <w:proofErr w:type="spellStart"/>
      <w:r w:rsidR="003A3EE9">
        <w:rPr>
          <w:rFonts w:ascii="Book Antiqua" w:eastAsia="Times New Roman" w:hAnsi="Book Antiqua"/>
          <w:szCs w:val="24"/>
          <w:lang w:val="es-DO"/>
        </w:rPr>
        <w:t>de</w:t>
      </w:r>
      <w:proofErr w:type="spellEnd"/>
      <w:r w:rsidR="003A3EE9">
        <w:rPr>
          <w:rFonts w:ascii="Book Antiqua" w:eastAsia="Times New Roman" w:hAnsi="Book Antiqua"/>
          <w:szCs w:val="24"/>
          <w:lang w:val="es-DO"/>
        </w:rPr>
        <w:t xml:space="preserve"> </w:t>
      </w:r>
      <w:proofErr w:type="gramStart"/>
      <w:r w:rsidR="003A3EE9">
        <w:rPr>
          <w:rFonts w:ascii="Book Antiqua" w:eastAsia="Times New Roman" w:hAnsi="Book Antiqua"/>
          <w:szCs w:val="24"/>
          <w:lang w:val="es-DO"/>
        </w:rPr>
        <w:t>Alcaldes</w:t>
      </w:r>
      <w:proofErr w:type="gramEnd"/>
      <w:r w:rsidR="003A3EE9">
        <w:rPr>
          <w:rFonts w:ascii="Book Antiqua" w:eastAsia="Times New Roman" w:hAnsi="Book Antiqua"/>
          <w:szCs w:val="24"/>
          <w:lang w:val="es-DO"/>
        </w:rPr>
        <w:t xml:space="preserve"> de Puerto Rico</w:t>
      </w:r>
      <w:r w:rsidR="00A726BB" w:rsidRPr="00A726BB">
        <w:rPr>
          <w:rFonts w:ascii="Book Antiqua" w:eastAsia="Times New Roman" w:hAnsi="Book Antiqua"/>
          <w:szCs w:val="24"/>
          <w:lang w:val="es-DO"/>
        </w:rPr>
        <w:t xml:space="preserve"> entiende que el Proyecto de la Cámara 1005 </w:t>
      </w:r>
      <w:r w:rsidR="00A726BB" w:rsidRPr="00A726BB">
        <w:rPr>
          <w:rFonts w:ascii="Book Antiqua" w:eastAsia="Times New Roman" w:hAnsi="Book Antiqua"/>
          <w:b/>
          <w:bCs/>
          <w:szCs w:val="24"/>
          <w:lang w:val="es-DO"/>
        </w:rPr>
        <w:t>es una medida positiva que contribuirá a reducir la problemática de los estorbos públicos, aumentar la disponibilidad de vivienda asequible, dinamizar la economía local y mejorar la calidad de vida en las comunidades</w:t>
      </w:r>
      <w:r w:rsidR="00A726BB" w:rsidRPr="00A726BB">
        <w:rPr>
          <w:rFonts w:ascii="Book Antiqua" w:eastAsia="Times New Roman" w:hAnsi="Book Antiqua"/>
          <w:szCs w:val="24"/>
          <w:lang w:val="es-DO"/>
        </w:rPr>
        <w:t>, por lo que endosa su aprobación, sujeto a la incorporación de la enmienda recomendada.</w:t>
      </w:r>
    </w:p>
    <w:p w14:paraId="2C693486" w14:textId="17B22626" w:rsidR="00A726BB" w:rsidRPr="00A726BB" w:rsidRDefault="00A726BB" w:rsidP="00A726BB">
      <w:pPr>
        <w:pStyle w:val="NormalWeb"/>
        <w:jc w:val="both"/>
        <w:rPr>
          <w:rFonts w:ascii="Book Antiqua" w:hAnsi="Book Antiqua"/>
          <w:lang w:val="es-DO"/>
        </w:rPr>
      </w:pPr>
      <w:r w:rsidRPr="00A726BB">
        <w:rPr>
          <w:rFonts w:ascii="Book Antiqua" w:hAnsi="Book Antiqua"/>
          <w:lang w:val="es-DO"/>
        </w:rPr>
        <w:t xml:space="preserve">El </w:t>
      </w:r>
      <w:r w:rsidRPr="00A726BB">
        <w:rPr>
          <w:rFonts w:ascii="Book Antiqua" w:hAnsi="Book Antiqua"/>
          <w:b/>
          <w:bCs/>
          <w:i/>
          <w:iCs/>
          <w:lang w:val="es-DO"/>
        </w:rPr>
        <w:t>Municipio Autónomo de San Juan</w:t>
      </w:r>
      <w:r w:rsidR="003A3EE9">
        <w:rPr>
          <w:rFonts w:ascii="Book Antiqua" w:hAnsi="Book Antiqua"/>
          <w:b/>
          <w:bCs/>
          <w:i/>
          <w:iCs/>
          <w:lang w:val="es-DO"/>
        </w:rPr>
        <w:t xml:space="preserve"> (MASJ)</w:t>
      </w:r>
      <w:r w:rsidRPr="00A726BB">
        <w:rPr>
          <w:rFonts w:ascii="Book Antiqua" w:hAnsi="Book Antiqua"/>
          <w:b/>
          <w:bCs/>
          <w:i/>
          <w:iCs/>
          <w:lang w:val="es-DO"/>
        </w:rPr>
        <w:t>,</w:t>
      </w:r>
      <w:r w:rsidRPr="00A726BB">
        <w:rPr>
          <w:rFonts w:ascii="Book Antiqua" w:hAnsi="Book Antiqua"/>
          <w:lang w:val="es-DO"/>
        </w:rPr>
        <w:t xml:space="preserve"> mediante memorial explicativo suscrito el 18 de febrero de 2026 por Vanessa Y. Jiménez Cuevas, </w:t>
      </w:r>
      <w:r w:rsidRPr="00A726BB">
        <w:rPr>
          <w:rStyle w:val="Strong"/>
          <w:rFonts w:ascii="Book Antiqua" w:hAnsi="Book Antiqua"/>
          <w:lang w:val="es-DO"/>
        </w:rPr>
        <w:t>endosó el Proyecto de la Cámara 1005</w:t>
      </w:r>
      <w:r w:rsidRPr="00A726BB">
        <w:rPr>
          <w:rFonts w:ascii="Book Antiqua" w:hAnsi="Book Antiqua"/>
          <w:lang w:val="es-DO"/>
        </w:rPr>
        <w:t xml:space="preserve">, al concluir que la medida fortalece las herramientas municipales para atender de forma efectiva la problemática de los estorbos públicos y la escasez de vivienda asequible. </w:t>
      </w:r>
    </w:p>
    <w:p w14:paraId="5B10D357" w14:textId="77777777" w:rsidR="00A726BB" w:rsidRPr="00A726BB" w:rsidRDefault="00A726BB" w:rsidP="00A726BB">
      <w:pPr>
        <w:pStyle w:val="NormalWeb"/>
        <w:jc w:val="both"/>
        <w:rPr>
          <w:rFonts w:ascii="Book Antiqua" w:hAnsi="Book Antiqua"/>
          <w:lang w:val="es-DO"/>
        </w:rPr>
      </w:pPr>
      <w:r w:rsidRPr="00A726BB">
        <w:rPr>
          <w:rFonts w:ascii="Book Antiqua" w:hAnsi="Book Antiqua"/>
          <w:lang w:val="es-DO"/>
        </w:rPr>
        <w:t>En su análisis, el Municipio destacó que la medida atiende dos problemáticas recurrentes en los gobiernos locales: (1) el abandono de estructuras que afectan la salud, seguridad y calidad de vida de las comunidades; y (2) la limitada disponibilidad de viviendas accesibles para personas y familias de ingresos bajos, moderados y de clase media. A tales efectos, reconoció que, aunque el Código Municipal ya provee mecanismos para la disposición de estorbos públicos, las restricciones actuales —particularmente en torno a la figura del “tercero adquirente” y los términos de espera— han limitado su efectividad práctica.</w:t>
      </w:r>
    </w:p>
    <w:p w14:paraId="2F88A891" w14:textId="00390D9E" w:rsidR="00A726BB" w:rsidRPr="00A726BB" w:rsidRDefault="007E1EA6" w:rsidP="00A726BB">
      <w:pPr>
        <w:pStyle w:val="NormalWeb"/>
        <w:jc w:val="both"/>
        <w:rPr>
          <w:rFonts w:ascii="Book Antiqua" w:hAnsi="Book Antiqua"/>
          <w:lang w:val="es-DO"/>
        </w:rPr>
      </w:pPr>
      <w:r>
        <w:rPr>
          <w:rFonts w:ascii="Book Antiqua" w:hAnsi="Book Antiqua"/>
          <w:lang w:val="es-DO"/>
        </w:rPr>
        <w:t>El</w:t>
      </w:r>
      <w:r w:rsidR="00A726BB" w:rsidRPr="00A726BB">
        <w:rPr>
          <w:rFonts w:ascii="Book Antiqua" w:hAnsi="Book Antiqua"/>
          <w:lang w:val="es-DO"/>
        </w:rPr>
        <w:t xml:space="preserve"> Municipio sostuvo que las enmiendas propuestas al Artículo 4.012A </w:t>
      </w:r>
      <w:r w:rsidR="00A726BB" w:rsidRPr="00A726BB">
        <w:rPr>
          <w:rStyle w:val="Strong"/>
          <w:rFonts w:ascii="Book Antiqua" w:hAnsi="Book Antiqua"/>
          <w:lang w:val="es-DO"/>
        </w:rPr>
        <w:t>permiten ampliar razonablemente el acceso al proceso de adquisición</w:t>
      </w:r>
      <w:r w:rsidR="00A726BB" w:rsidRPr="00A726BB">
        <w:rPr>
          <w:rFonts w:ascii="Book Antiqua" w:hAnsi="Book Antiqua"/>
          <w:lang w:val="es-DO"/>
        </w:rPr>
        <w:t>, al autorizar que personas naturales o jurídicas puedan adquirir estas propiedades sin tener que esperar el término de un (1) año, siempre que certifiquen su uso para vivienda asequible. Según expone, esta excepción no elimina las salvaguardas contra la especulación inmobiliaria, sino que crea un mecanismo dirigido a promover proyectos con un fin social definido y alineado con el interés público.</w:t>
      </w:r>
    </w:p>
    <w:p w14:paraId="28B79519" w14:textId="5A7EAE8B" w:rsidR="00A726BB" w:rsidRPr="00A726BB" w:rsidRDefault="007E1EA6" w:rsidP="00A726BB">
      <w:pPr>
        <w:pStyle w:val="NormalWeb"/>
        <w:jc w:val="both"/>
        <w:rPr>
          <w:rFonts w:ascii="Book Antiqua" w:hAnsi="Book Antiqua"/>
          <w:lang w:val="es-DO"/>
        </w:rPr>
      </w:pPr>
      <w:r>
        <w:rPr>
          <w:rFonts w:ascii="Book Antiqua" w:hAnsi="Book Antiqua"/>
          <w:lang w:val="es-DO"/>
        </w:rPr>
        <w:t>E</w:t>
      </w:r>
      <w:r w:rsidR="00A726BB" w:rsidRPr="00A726BB">
        <w:rPr>
          <w:rFonts w:ascii="Book Antiqua" w:hAnsi="Book Antiqua"/>
          <w:lang w:val="es-DO"/>
        </w:rPr>
        <w:t xml:space="preserve">l Municipio resaltó que la medida </w:t>
      </w:r>
      <w:r w:rsidR="00A726BB" w:rsidRPr="00A726BB">
        <w:rPr>
          <w:rStyle w:val="Strong"/>
          <w:rFonts w:ascii="Book Antiqua" w:hAnsi="Book Antiqua"/>
          <w:lang w:val="es-DO"/>
        </w:rPr>
        <w:t>refuerza la autonomía municipal</w:t>
      </w:r>
      <w:r w:rsidR="00A726BB" w:rsidRPr="00A726BB">
        <w:rPr>
          <w:rFonts w:ascii="Book Antiqua" w:hAnsi="Book Antiqua"/>
          <w:lang w:val="es-DO"/>
        </w:rPr>
        <w:t>, al permitir que cada ayuntamiento establezca mediante ordenanza los criterios para definir ingresos bajos, moderados o de clase media, tomando en consideración su realidad socioeconómica particular. Esto, a su juicio, evita la imposición de parámetros uniformes que podrían resultar inefectivos en distintas jurisdicciones.</w:t>
      </w:r>
    </w:p>
    <w:p w14:paraId="25DFB26E" w14:textId="77777777" w:rsidR="00A726BB" w:rsidRPr="00A726BB" w:rsidRDefault="00A726BB" w:rsidP="00A726BB">
      <w:pPr>
        <w:pStyle w:val="NormalWeb"/>
        <w:jc w:val="both"/>
        <w:rPr>
          <w:rFonts w:ascii="Book Antiqua" w:hAnsi="Book Antiqua"/>
          <w:lang w:val="es-DO"/>
        </w:rPr>
      </w:pPr>
      <w:r w:rsidRPr="00A726BB">
        <w:rPr>
          <w:rFonts w:ascii="Book Antiqua" w:hAnsi="Book Antiqua"/>
          <w:lang w:val="es-DO"/>
        </w:rPr>
        <w:t xml:space="preserve">En cuanto a la fiscalización, el Municipio enfatizó que la enmienda al Artículo 4.014 fortalece el mecanismo del </w:t>
      </w:r>
      <w:r w:rsidRPr="00A726BB">
        <w:rPr>
          <w:rStyle w:val="Strong"/>
          <w:rFonts w:ascii="Book Antiqua" w:hAnsi="Book Antiqua"/>
          <w:lang w:val="es-DO"/>
        </w:rPr>
        <w:t>retracto convencional</w:t>
      </w:r>
      <w:r w:rsidRPr="00A726BB">
        <w:rPr>
          <w:rFonts w:ascii="Book Antiqua" w:hAnsi="Book Antiqua"/>
          <w:lang w:val="es-DO"/>
        </w:rPr>
        <w:t xml:space="preserve"> como herramienta para garantizar el </w:t>
      </w:r>
      <w:r w:rsidRPr="00A726BB">
        <w:rPr>
          <w:rFonts w:ascii="Book Antiqua" w:hAnsi="Book Antiqua"/>
          <w:lang w:val="es-DO"/>
        </w:rPr>
        <w:lastRenderedPageBreak/>
        <w:t>cumplimiento con el uso propuesto de la propiedad. Este mecanismo permite a los municipios recuperar el inmueble en caso de incumplimiento, asegurando así la protección del interés público sin generar enriquecimiento injusto, ya que se limita al reembolso de los gastos conforme al Código Civil.</w:t>
      </w:r>
    </w:p>
    <w:p w14:paraId="11CCF158" w14:textId="77777777" w:rsidR="00A726BB" w:rsidRPr="00A726BB" w:rsidRDefault="00A726BB" w:rsidP="00A726BB">
      <w:pPr>
        <w:pStyle w:val="NormalWeb"/>
        <w:jc w:val="both"/>
        <w:rPr>
          <w:rFonts w:ascii="Book Antiqua" w:hAnsi="Book Antiqua"/>
          <w:lang w:val="es-DO"/>
        </w:rPr>
      </w:pPr>
      <w:r w:rsidRPr="00A726BB">
        <w:rPr>
          <w:rFonts w:ascii="Book Antiqua" w:hAnsi="Book Antiqua"/>
          <w:lang w:val="es-DO"/>
        </w:rPr>
        <w:t>De igual forma, el Municipio delineó posibles mecanismos de implementación, incluyendo la adopción de ordenanzas municipales, la creación de procesos de evaluación de solicitantes, y la imposición de requisitos de seguimiento, informes de progreso y penalidades contractuales para asegurar el cumplimiento.</w:t>
      </w:r>
    </w:p>
    <w:p w14:paraId="7E53661A" w14:textId="6970E119" w:rsidR="00A726BB" w:rsidRPr="00A726BB" w:rsidRDefault="00A726BB" w:rsidP="00A726BB">
      <w:pPr>
        <w:pStyle w:val="NormalWeb"/>
        <w:jc w:val="both"/>
        <w:rPr>
          <w:rFonts w:ascii="Book Antiqua" w:hAnsi="Book Antiqua"/>
          <w:lang w:val="es-DO"/>
        </w:rPr>
      </w:pPr>
      <w:r w:rsidRPr="00A726BB">
        <w:rPr>
          <w:rFonts w:ascii="Book Antiqua" w:hAnsi="Book Antiqua"/>
          <w:lang w:val="es-DO"/>
        </w:rPr>
        <w:t xml:space="preserve">En conclusión, el Municipio de San Juan </w:t>
      </w:r>
      <w:r w:rsidR="003027D7">
        <w:rPr>
          <w:rFonts w:ascii="Book Antiqua" w:hAnsi="Book Antiqua"/>
          <w:lang w:val="es-DO"/>
        </w:rPr>
        <w:t>expres</w:t>
      </w:r>
      <w:r w:rsidR="003A3EE9">
        <w:rPr>
          <w:rFonts w:ascii="Book Antiqua" w:hAnsi="Book Antiqua"/>
          <w:lang w:val="es-DO"/>
        </w:rPr>
        <w:t>ó</w:t>
      </w:r>
      <w:r w:rsidRPr="00A726BB">
        <w:rPr>
          <w:rFonts w:ascii="Book Antiqua" w:hAnsi="Book Antiqua"/>
          <w:lang w:val="es-DO"/>
        </w:rPr>
        <w:t xml:space="preserve"> que el Proyecto de la Cámara 1005 </w:t>
      </w:r>
      <w:r w:rsidRPr="00A726BB">
        <w:rPr>
          <w:rStyle w:val="Strong"/>
          <w:rFonts w:ascii="Book Antiqua" w:hAnsi="Book Antiqua"/>
          <w:lang w:val="es-DO"/>
        </w:rPr>
        <w:t>es una medida cónsona con la política pública vigente, que promueve la rehabilitación de propiedades abandonadas, fortalece la gestión municipal y contribuye a atender la crisis de vivienda en Puerto Rico</w:t>
      </w:r>
      <w:r w:rsidRPr="00A726BB">
        <w:rPr>
          <w:rFonts w:ascii="Book Antiqua" w:hAnsi="Book Antiqua"/>
          <w:lang w:val="es-DO"/>
        </w:rPr>
        <w:t>, por lo que endosa su aprobación.</w:t>
      </w:r>
    </w:p>
    <w:p w14:paraId="78FA60D0" w14:textId="77777777"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Posteriormente, el 20 de marzo de 2026, el Municipio Autónomo de San Juan, mediante memorial complementario suscrito nuevamente por Vanessa Y. Jiménez Cuevas, </w:t>
      </w:r>
      <w:r w:rsidRPr="00A726BB">
        <w:rPr>
          <w:rFonts w:ascii="Book Antiqua" w:eastAsia="Times New Roman" w:hAnsi="Book Antiqua"/>
          <w:b/>
          <w:bCs/>
          <w:szCs w:val="24"/>
          <w:lang w:val="es-DO"/>
        </w:rPr>
        <w:t>presentó recomendaciones adicionales dirigidas a atender aspectos técnicos y prácticos identificados en los procesos de expropiación</w:t>
      </w:r>
      <w:r w:rsidRPr="00A726BB">
        <w:rPr>
          <w:rFonts w:ascii="Book Antiqua" w:eastAsia="Times New Roman" w:hAnsi="Book Antiqua"/>
          <w:szCs w:val="24"/>
          <w:lang w:val="es-DO"/>
        </w:rPr>
        <w:t xml:space="preserve"> bajo el Código Municipal. </w:t>
      </w:r>
    </w:p>
    <w:p w14:paraId="3860FDFB" w14:textId="77777777"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En este segundo memorial, el Municipio enfocó su análisis en la necesidad de </w:t>
      </w:r>
      <w:r w:rsidRPr="00A726BB">
        <w:rPr>
          <w:rFonts w:ascii="Book Antiqua" w:eastAsia="Times New Roman" w:hAnsi="Book Antiqua"/>
          <w:b/>
          <w:bCs/>
          <w:szCs w:val="24"/>
          <w:lang w:val="es-DO"/>
        </w:rPr>
        <w:t>armonizar el procedimiento de expropiación con la realidad procesal de los tribunales</w:t>
      </w:r>
      <w:r w:rsidRPr="00A726BB">
        <w:rPr>
          <w:rFonts w:ascii="Book Antiqua" w:eastAsia="Times New Roman" w:hAnsi="Book Antiqua"/>
          <w:szCs w:val="24"/>
          <w:lang w:val="es-DO"/>
        </w:rPr>
        <w:t xml:space="preserve">, particularmente en cuanto al momento en que se perfecciona la titularidad del inmueble. Señaló que, conforme al ordenamiento jurídico vigente, la titularidad se adquiere mediante la </w:t>
      </w:r>
      <w:r w:rsidRPr="00A726BB">
        <w:rPr>
          <w:rFonts w:ascii="Book Antiqua" w:eastAsia="Times New Roman" w:hAnsi="Book Antiqua"/>
          <w:b/>
          <w:bCs/>
          <w:szCs w:val="24"/>
          <w:lang w:val="es-DO"/>
        </w:rPr>
        <w:t>investidura de título</w:t>
      </w:r>
      <w:r w:rsidRPr="00A726BB">
        <w:rPr>
          <w:rFonts w:ascii="Book Antiqua" w:eastAsia="Times New Roman" w:hAnsi="Book Antiqua"/>
          <w:szCs w:val="24"/>
          <w:lang w:val="es-DO"/>
        </w:rPr>
        <w:t>, y no necesariamente al dictarse sentencia final, la cual únicamente adjudica la justa compensación.</w:t>
      </w:r>
    </w:p>
    <w:p w14:paraId="7BFC47BE" w14:textId="77777777"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A tales efectos, el Municipio advirtió que el esquema actual del Código Municipal —al condicionar la transferencia de la propiedad a la emisión de una sentencia— </w:t>
      </w:r>
      <w:r w:rsidRPr="00A726BB">
        <w:rPr>
          <w:rFonts w:ascii="Book Antiqua" w:eastAsia="Times New Roman" w:hAnsi="Book Antiqua"/>
          <w:b/>
          <w:bCs/>
          <w:szCs w:val="24"/>
          <w:lang w:val="es-DO"/>
        </w:rPr>
        <w:t>no contempla adecuadamente escenarios en los que el municipio ya ostenta la titularidad legal del inmueble</w:t>
      </w:r>
      <w:r w:rsidRPr="00A726BB">
        <w:rPr>
          <w:rFonts w:ascii="Book Antiqua" w:eastAsia="Times New Roman" w:hAnsi="Book Antiqua"/>
          <w:szCs w:val="24"/>
          <w:lang w:val="es-DO"/>
        </w:rPr>
        <w:t>, lo que puede generar retrasos innecesarios y afectar a terceros adquirentes que han invertido recursos en el proceso.</w:t>
      </w:r>
    </w:p>
    <w:p w14:paraId="185941C2" w14:textId="77777777"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En atención a esta problemática, el Municipio recomendó varias enmiendas específicas, entre ellas:</w:t>
      </w:r>
    </w:p>
    <w:p w14:paraId="333C5B29" w14:textId="77777777" w:rsidR="00A726BB" w:rsidRPr="00A726BB" w:rsidRDefault="00A726BB" w:rsidP="00A726BB">
      <w:pPr>
        <w:numPr>
          <w:ilvl w:val="0"/>
          <w:numId w:val="45"/>
        </w:num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b/>
          <w:bCs/>
          <w:szCs w:val="24"/>
          <w:lang w:val="es-DO"/>
        </w:rPr>
        <w:t>Modificar el Artículo 4.012(d)</w:t>
      </w:r>
      <w:r w:rsidRPr="00A726BB">
        <w:rPr>
          <w:rFonts w:ascii="Book Antiqua" w:eastAsia="Times New Roman" w:hAnsi="Book Antiqua"/>
          <w:szCs w:val="24"/>
          <w:lang w:val="es-DO"/>
        </w:rPr>
        <w:t xml:space="preserve"> para aclarar que la transferencia de titularidad no estará condicionada a que el adquirente haya saldado todas las cantidades al momento de la transferencia, sino que este continuará siendo responsable de cualquier suma adeudada, pudiendo el municipio ejercer acciones de cobro correspondientes. </w:t>
      </w:r>
    </w:p>
    <w:p w14:paraId="2D8209C4" w14:textId="77777777" w:rsidR="00A726BB" w:rsidRPr="00A726BB" w:rsidRDefault="00A726BB" w:rsidP="00A726BB">
      <w:pPr>
        <w:numPr>
          <w:ilvl w:val="0"/>
          <w:numId w:val="45"/>
        </w:num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b/>
          <w:bCs/>
          <w:szCs w:val="24"/>
          <w:lang w:val="es-DO"/>
        </w:rPr>
        <w:lastRenderedPageBreak/>
        <w:t>Enmendar el Artículo 4.012(g)</w:t>
      </w:r>
      <w:r w:rsidRPr="00A726BB">
        <w:rPr>
          <w:rFonts w:ascii="Book Antiqua" w:eastAsia="Times New Roman" w:hAnsi="Book Antiqua"/>
          <w:szCs w:val="24"/>
          <w:lang w:val="es-DO"/>
        </w:rPr>
        <w:t xml:space="preserve"> para permitir que la transferencia de la propiedad ocurra </w:t>
      </w:r>
      <w:r w:rsidRPr="00A726BB">
        <w:rPr>
          <w:rFonts w:ascii="Book Antiqua" w:eastAsia="Times New Roman" w:hAnsi="Book Antiqua"/>
          <w:b/>
          <w:bCs/>
          <w:szCs w:val="24"/>
          <w:lang w:val="es-DO"/>
        </w:rPr>
        <w:t>luego de la investidura de título y la adquisición de la posesión material</w:t>
      </w:r>
      <w:r w:rsidRPr="00A726BB">
        <w:rPr>
          <w:rFonts w:ascii="Book Antiqua" w:eastAsia="Times New Roman" w:hAnsi="Book Antiqua"/>
          <w:szCs w:val="24"/>
          <w:lang w:val="es-DO"/>
        </w:rPr>
        <w:t xml:space="preserve">, en lugar de esperar a que se dicte sentencia final. </w:t>
      </w:r>
    </w:p>
    <w:p w14:paraId="70BD5DD2" w14:textId="77777777" w:rsidR="00A726BB" w:rsidRPr="00A726BB" w:rsidRDefault="00A726BB" w:rsidP="00A726BB">
      <w:pPr>
        <w:numPr>
          <w:ilvl w:val="0"/>
          <w:numId w:val="45"/>
        </w:num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b/>
          <w:bCs/>
          <w:szCs w:val="24"/>
          <w:lang w:val="es-DO"/>
        </w:rPr>
        <w:t>Revisar el Artículo 2.018(a)(10)</w:t>
      </w:r>
      <w:r w:rsidRPr="00A726BB">
        <w:rPr>
          <w:rFonts w:ascii="Book Antiqua" w:eastAsia="Times New Roman" w:hAnsi="Book Antiqua"/>
          <w:szCs w:val="24"/>
          <w:lang w:val="es-DO"/>
        </w:rPr>
        <w:t xml:space="preserve"> para reforzar que la investidura de título confiere al municipio un dominio pleno, absoluto e independiente, y que los procesos apelativos o controversias sobre justa compensación no deben impedir la transferencia ni el uso de la propiedad. </w:t>
      </w:r>
    </w:p>
    <w:p w14:paraId="2BC53548" w14:textId="77777777" w:rsidR="00A726BB" w:rsidRPr="00A726BB" w:rsidRDefault="00A726BB" w:rsidP="00A726BB">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El Municipio sostuvo que estas enmiendas </w:t>
      </w:r>
      <w:r w:rsidRPr="00A726BB">
        <w:rPr>
          <w:rFonts w:ascii="Book Antiqua" w:eastAsia="Times New Roman" w:hAnsi="Book Antiqua"/>
          <w:b/>
          <w:bCs/>
          <w:szCs w:val="24"/>
          <w:lang w:val="es-DO"/>
        </w:rPr>
        <w:t>atienden una laguna práctica en la aplicación del derecho vigente</w:t>
      </w:r>
      <w:r w:rsidRPr="00A726BB">
        <w:rPr>
          <w:rFonts w:ascii="Book Antiqua" w:eastAsia="Times New Roman" w:hAnsi="Book Antiqua"/>
          <w:szCs w:val="24"/>
          <w:lang w:val="es-DO"/>
        </w:rPr>
        <w:t>, permitiendo mayor agilidad en la disposición de propiedades declaradas estorbos públicos, reduciendo la incertidumbre jurídica y facilitando el retorno de inversión para los adquirentes, sin menoscabar los derechos de las partes en el proceso de expropiación.</w:t>
      </w:r>
    </w:p>
    <w:p w14:paraId="6EEA0A74" w14:textId="6AB4D002" w:rsidR="0049701E" w:rsidRPr="007E1EA6" w:rsidRDefault="00A726BB" w:rsidP="007E1EA6">
      <w:pPr>
        <w:spacing w:before="100" w:beforeAutospacing="1" w:after="100" w:afterAutospacing="1"/>
        <w:jc w:val="both"/>
        <w:rPr>
          <w:rFonts w:ascii="Book Antiqua" w:eastAsia="Times New Roman" w:hAnsi="Book Antiqua"/>
          <w:szCs w:val="24"/>
          <w:lang w:val="es-DO"/>
        </w:rPr>
      </w:pPr>
      <w:r w:rsidRPr="00A726BB">
        <w:rPr>
          <w:rFonts w:ascii="Book Antiqua" w:eastAsia="Times New Roman" w:hAnsi="Book Antiqua"/>
          <w:szCs w:val="24"/>
          <w:lang w:val="es-DO"/>
        </w:rPr>
        <w:t xml:space="preserve">En conclusión, el Municipio de San Juan reiteró su respaldo al Proyecto de la Cámara 1005, pero enfatizó la importancia de incorporar estas enmiendas técnicas para </w:t>
      </w:r>
      <w:r w:rsidRPr="00A726BB">
        <w:rPr>
          <w:rFonts w:ascii="Book Antiqua" w:eastAsia="Times New Roman" w:hAnsi="Book Antiqua"/>
          <w:b/>
          <w:bCs/>
          <w:szCs w:val="24"/>
          <w:lang w:val="es-DO"/>
        </w:rPr>
        <w:t>garantizar la viabilidad operativa de la medida y su correcta implementación en los tribunales y en la gestión municipal</w:t>
      </w:r>
      <w:r w:rsidRPr="00A726BB">
        <w:rPr>
          <w:rFonts w:ascii="Book Antiqua" w:eastAsia="Times New Roman" w:hAnsi="Book Antiqua"/>
          <w:szCs w:val="24"/>
          <w:lang w:val="es-DO"/>
        </w:rPr>
        <w:t>.</w:t>
      </w:r>
    </w:p>
    <w:p w14:paraId="4FF2ECB3" w14:textId="7A9CDD7D" w:rsidR="009B3675" w:rsidRPr="00BB54F0" w:rsidRDefault="009B3675" w:rsidP="009B3675">
      <w:pPr>
        <w:pStyle w:val="NormalWeb"/>
        <w:jc w:val="center"/>
        <w:rPr>
          <w:rFonts w:ascii="Book Antiqua" w:hAnsi="Book Antiqua"/>
          <w:b/>
          <w:i/>
          <w:smallCaps/>
          <w:color w:val="000000" w:themeColor="text1"/>
          <w:lang w:val="es-ES_tradnl"/>
        </w:rPr>
      </w:pPr>
      <w:r w:rsidRPr="00721BCE">
        <w:rPr>
          <w:rFonts w:ascii="Book Antiqua" w:hAnsi="Book Antiqua"/>
          <w:b/>
          <w:i/>
          <w:smallCaps/>
          <w:color w:val="000000" w:themeColor="text1"/>
          <w:lang w:val="es-ES_tradnl"/>
        </w:rPr>
        <w:t>Enmiendas Recomendadas</w:t>
      </w:r>
    </w:p>
    <w:p w14:paraId="1671D23F" w14:textId="77777777" w:rsidR="003027D7" w:rsidRDefault="003027D7" w:rsidP="003027D7">
      <w:pPr>
        <w:pStyle w:val="NormalWeb"/>
        <w:jc w:val="both"/>
        <w:rPr>
          <w:rFonts w:ascii="Book Antiqua" w:hAnsi="Book Antiqua"/>
        </w:rPr>
      </w:pPr>
      <w:r w:rsidRPr="003027D7">
        <w:rPr>
          <w:rFonts w:ascii="Book Antiqua" w:hAnsi="Book Antiqua"/>
        </w:rPr>
        <w:t xml:space="preserve">En el trámite legislativo del Proyecto de la Cámara 1005, se incorporaron enmiendas sustantivas propuestas por los deponentes con el propósito de perfeccionar la medida y asegurar su coherencia con el ordenamiento jurídico vigente. </w:t>
      </w:r>
    </w:p>
    <w:p w14:paraId="39C9C681" w14:textId="0F691BA5" w:rsidR="003027D7" w:rsidRDefault="003027D7" w:rsidP="003027D7">
      <w:pPr>
        <w:pStyle w:val="NormalWeb"/>
        <w:jc w:val="both"/>
        <w:rPr>
          <w:rFonts w:ascii="Book Antiqua" w:hAnsi="Book Antiqua"/>
        </w:rPr>
      </w:pPr>
      <w:r w:rsidRPr="003027D7">
        <w:rPr>
          <w:rFonts w:ascii="Book Antiqua" w:hAnsi="Book Antiqua"/>
        </w:rPr>
        <w:t>En primer lugar, la Federación de Alcaldes</w:t>
      </w:r>
      <w:r w:rsidR="003A3EE9">
        <w:rPr>
          <w:rFonts w:ascii="Book Antiqua" w:hAnsi="Book Antiqua"/>
        </w:rPr>
        <w:t xml:space="preserve"> de Puerto Rico</w:t>
      </w:r>
      <w:r w:rsidRPr="003027D7">
        <w:rPr>
          <w:rFonts w:ascii="Book Antiqua" w:hAnsi="Book Antiqua"/>
        </w:rPr>
        <w:t xml:space="preserve"> recomendó enmendar el Artículo 4.014 del Código Municipal para simplificar y hacer más práctico el proceso de disposición de propiedades declaradas estorbo público, proponiendo eliminar la frase “[o no haya realizado la agrupación, cuando esta fuera procedente,]” por considerarse innecesaria, así como añadir expresamente los términos “reconstrucción, restauración o demolición”, con el fin de clarificar las acciones que activan el retracto convencional y alinearlo con la realidad operativa municipal. </w:t>
      </w:r>
      <w:r>
        <w:rPr>
          <w:rFonts w:ascii="Book Antiqua" w:hAnsi="Book Antiqua"/>
        </w:rPr>
        <w:t>Lo cual hace compatible el lenguaje con las enmiendas endosadas por la Federación, en el Proyecto del Senado 777.</w:t>
      </w:r>
    </w:p>
    <w:p w14:paraId="3042A8A2" w14:textId="09489575" w:rsidR="003027D7" w:rsidRPr="003027D7" w:rsidRDefault="003027D7" w:rsidP="003027D7">
      <w:pPr>
        <w:pStyle w:val="NormalWeb"/>
        <w:jc w:val="both"/>
        <w:rPr>
          <w:rFonts w:ascii="Book Antiqua" w:hAnsi="Book Antiqua"/>
        </w:rPr>
      </w:pPr>
      <w:r w:rsidRPr="003027D7">
        <w:rPr>
          <w:rFonts w:ascii="Book Antiqua" w:hAnsi="Book Antiqua"/>
        </w:rPr>
        <w:t>Por su parte, la PRAR recomendó enmendar el Artículo 4.012A para armonizar la medida con el estado de derecho vigente, particularmente con la Ley Núm. 100-2025, incorporando el concepto de “Vivienda de Alto Impacto Social, Económico y para Re-Población de Puerto Rico”, a los fines de mantener uniformidad en las definiciones aplicables al desarrollo de vivienda</w:t>
      </w:r>
      <w:r>
        <w:rPr>
          <w:rFonts w:ascii="Book Antiqua" w:hAnsi="Book Antiqua"/>
        </w:rPr>
        <w:t xml:space="preserve">, específicamente sobre </w:t>
      </w:r>
      <w:r w:rsidRPr="003027D7">
        <w:rPr>
          <w:rFonts w:ascii="Book Antiqua" w:hAnsi="Book Antiqua"/>
        </w:rPr>
        <w:t>persona de clase media</w:t>
      </w:r>
      <w:r>
        <w:rPr>
          <w:rFonts w:ascii="Book Antiqua" w:hAnsi="Book Antiqua"/>
        </w:rPr>
        <w:t xml:space="preserve"> </w:t>
      </w:r>
      <w:r w:rsidR="003A3EE9">
        <w:rPr>
          <w:rFonts w:ascii="Book Antiqua" w:hAnsi="Book Antiqua"/>
        </w:rPr>
        <w:t>y Familia</w:t>
      </w:r>
      <w:r w:rsidRPr="003027D7">
        <w:rPr>
          <w:rFonts w:ascii="Book Antiqua" w:hAnsi="Book Antiqua"/>
        </w:rPr>
        <w:t xml:space="preserve"> de ingresos bajos o moderados.</w:t>
      </w:r>
    </w:p>
    <w:p w14:paraId="0706B74E" w14:textId="77777777" w:rsidR="00A604CA" w:rsidRDefault="003027D7" w:rsidP="003027D7">
      <w:pPr>
        <w:pStyle w:val="NormalWeb"/>
        <w:jc w:val="both"/>
        <w:rPr>
          <w:rFonts w:ascii="Book Antiqua" w:hAnsi="Book Antiqua"/>
        </w:rPr>
      </w:pPr>
      <w:r w:rsidRPr="003027D7">
        <w:rPr>
          <w:rFonts w:ascii="Book Antiqua" w:hAnsi="Book Antiqua"/>
        </w:rPr>
        <w:t xml:space="preserve">Asimismo, se acogieron las enmiendas técnicas sugeridas por el Municipio de San Juan en su memorial complementario, dirigidas a atender aspectos prácticos del proceso de </w:t>
      </w:r>
      <w:r w:rsidRPr="003027D7">
        <w:rPr>
          <w:rFonts w:ascii="Book Antiqua" w:hAnsi="Book Antiqua"/>
        </w:rPr>
        <w:lastRenderedPageBreak/>
        <w:t xml:space="preserve">expropiación. En particular, dichas recomendaciones clarifican que la titularidad del inmueble se perfecciona mediante la investidura de título y no con la sentencia final, permitiendo así que la transferencia de la propiedad al adquirente pueda realizarse una vez el municipio ha adquirido dominio y posesión material. </w:t>
      </w:r>
    </w:p>
    <w:p w14:paraId="084C2F23" w14:textId="565B48DA" w:rsidR="003027D7" w:rsidRDefault="003027D7" w:rsidP="003027D7">
      <w:pPr>
        <w:pStyle w:val="NormalWeb"/>
        <w:jc w:val="both"/>
      </w:pPr>
      <w:r w:rsidRPr="003027D7">
        <w:rPr>
          <w:rFonts w:ascii="Book Antiqua" w:hAnsi="Book Antiqua"/>
        </w:rPr>
        <w:t>Además, se ajustan disposiciones para establecer la responsabilidad continua del adquirente en el pago de cualquier diferencia en la justa compensación y se refuerzan los mecanismos de cobro y participación procesal. Estas enmiendas responden a la realidad operativa de los tribunales y buscan evitar dilaciones innecesarias en la disposición de propiedades, promoviendo mayor agilidad, certeza jurídica y viabilidad en la implementación de la medida.</w:t>
      </w:r>
      <w:r>
        <w:t xml:space="preserve"> </w:t>
      </w:r>
    </w:p>
    <w:p w14:paraId="0513540A" w14:textId="5B505C2B" w:rsidR="00721BCE" w:rsidRDefault="004000AE" w:rsidP="009962C2">
      <w:pPr>
        <w:jc w:val="center"/>
        <w:rPr>
          <w:rFonts w:ascii="Book Antiqua" w:hAnsi="Book Antiqua"/>
          <w:b/>
          <w:i/>
          <w:smallCaps/>
          <w:color w:val="000000" w:themeColor="text1"/>
          <w:szCs w:val="24"/>
          <w:lang w:val="es-ES_tradnl"/>
        </w:rPr>
      </w:pPr>
      <w:r w:rsidRPr="00FF33FB">
        <w:rPr>
          <w:rFonts w:ascii="Book Antiqua" w:hAnsi="Book Antiqua"/>
          <w:b/>
          <w:i/>
          <w:smallCaps/>
          <w:color w:val="000000" w:themeColor="text1"/>
          <w:szCs w:val="24"/>
          <w:lang w:val="es-ES_tradnl"/>
        </w:rPr>
        <w:t xml:space="preserve">Análisis </w:t>
      </w:r>
      <w:r w:rsidR="00C646DB" w:rsidRPr="00FF33FB">
        <w:rPr>
          <w:rFonts w:ascii="Book Antiqua" w:hAnsi="Book Antiqua"/>
          <w:b/>
          <w:i/>
          <w:smallCaps/>
          <w:color w:val="000000" w:themeColor="text1"/>
          <w:szCs w:val="24"/>
          <w:lang w:val="es-ES_tradnl"/>
        </w:rPr>
        <w:t>De la Medida</w:t>
      </w:r>
    </w:p>
    <w:p w14:paraId="3C849797" w14:textId="77777777" w:rsidR="00611475" w:rsidRPr="00611475" w:rsidRDefault="00611475" w:rsidP="00611475">
      <w:pPr>
        <w:pStyle w:val="NormalWeb"/>
        <w:jc w:val="both"/>
        <w:rPr>
          <w:rFonts w:ascii="Book Antiqua" w:hAnsi="Book Antiqua"/>
          <w:lang w:val="es-DO"/>
        </w:rPr>
      </w:pPr>
      <w:r w:rsidRPr="00611475">
        <w:rPr>
          <w:rFonts w:ascii="Book Antiqua" w:hAnsi="Book Antiqua"/>
          <w:lang w:val="es-DO"/>
        </w:rPr>
        <w:t xml:space="preserve">Desde una perspectiva jurídica, la medida es cónsona con la facultad constitucional de la Asamblea Legislativa para regular el régimen municipal y promover el bienestar general. Tal como fue reconocido por el Departamento de Justicia, el proyecto no crea un esquema nuevo de expropiación, sino que ajusta el alcance de disposiciones ya existentes —particularmente los Artículos 4.012A y 4.014 del Código Municipal— para viabilizar una política pública dirigida a la rehabilitación de estructuras abandonadas y el desarrollo de vivienda. </w:t>
      </w:r>
    </w:p>
    <w:p w14:paraId="45B84E0D" w14:textId="2642F6E1" w:rsidR="00611475" w:rsidRPr="00611475" w:rsidRDefault="00611475" w:rsidP="00611475">
      <w:pPr>
        <w:pStyle w:val="NormalWeb"/>
        <w:jc w:val="both"/>
        <w:rPr>
          <w:rFonts w:ascii="Book Antiqua" w:hAnsi="Book Antiqua"/>
          <w:lang w:val="es-DO"/>
        </w:rPr>
      </w:pPr>
      <w:r w:rsidRPr="00611475">
        <w:rPr>
          <w:rFonts w:ascii="Book Antiqua" w:hAnsi="Book Antiqua"/>
          <w:lang w:val="es-DO"/>
        </w:rPr>
        <w:t xml:space="preserve">En cuanto a su </w:t>
      </w:r>
      <w:r w:rsidRPr="00611475">
        <w:rPr>
          <w:rStyle w:val="Strong"/>
          <w:rFonts w:ascii="Book Antiqua" w:hAnsi="Book Antiqua"/>
          <w:b w:val="0"/>
          <w:bCs w:val="0"/>
          <w:lang w:val="es-DO"/>
        </w:rPr>
        <w:t>justificación</w:t>
      </w:r>
      <w:r w:rsidRPr="00611475">
        <w:rPr>
          <w:rFonts w:ascii="Book Antiqua" w:hAnsi="Book Antiqua"/>
          <w:lang w:val="es-DO"/>
        </w:rPr>
        <w:t xml:space="preserve">, la medida atiende una disfunción práctica del modelo vigente. Aunque los municipios cuentan con facultades para declarar, expropiar y disponer de estorbos públicos, la normativa actual contiene limitaciones —como el requisito de esperar un (1) año o la restricción relacionada al concepto de “tercero adquirente”— que han tenido el efecto de </w:t>
      </w:r>
      <w:r>
        <w:rPr>
          <w:rFonts w:ascii="Book Antiqua" w:hAnsi="Book Antiqua"/>
          <w:lang w:val="es-DO"/>
        </w:rPr>
        <w:t xml:space="preserve">afectar </w:t>
      </w:r>
      <w:r w:rsidRPr="00611475">
        <w:rPr>
          <w:rFonts w:ascii="Book Antiqua" w:hAnsi="Book Antiqua"/>
          <w:lang w:val="es-DO"/>
        </w:rPr>
        <w:t xml:space="preserve">la reutilización de propiedades abandonadas. Esta dilación incide negativamente tanto en la revitalización urbana como en la disponibilidad de vivienda. El </w:t>
      </w:r>
      <w:r w:rsidR="00540012" w:rsidRPr="00611475">
        <w:rPr>
          <w:rFonts w:ascii="Book Antiqua" w:hAnsi="Book Antiqua"/>
          <w:lang w:val="es-DO"/>
        </w:rPr>
        <w:t>proyecto, flexibiliza</w:t>
      </w:r>
      <w:r w:rsidRPr="00611475">
        <w:rPr>
          <w:rFonts w:ascii="Book Antiqua" w:hAnsi="Book Antiqua"/>
          <w:lang w:val="es-DO"/>
        </w:rPr>
        <w:t xml:space="preserve"> estas restricciones en escenarios específicos, permite adelantar el objetivo público sin menoscabar las salvaguardas</w:t>
      </w:r>
      <w:r>
        <w:rPr>
          <w:rFonts w:ascii="Book Antiqua" w:hAnsi="Book Antiqua"/>
          <w:lang w:val="es-DO"/>
        </w:rPr>
        <w:t xml:space="preserve"> del debido proceso de ley,</w:t>
      </w:r>
      <w:r w:rsidRPr="00611475">
        <w:rPr>
          <w:rFonts w:ascii="Book Antiqua" w:hAnsi="Book Antiqua"/>
          <w:lang w:val="es-DO"/>
        </w:rPr>
        <w:t xml:space="preserve"> existentes.</w:t>
      </w:r>
    </w:p>
    <w:p w14:paraId="4A972C87" w14:textId="0C6D07E4" w:rsidR="00611475" w:rsidRPr="00611475" w:rsidRDefault="00611475" w:rsidP="00611475">
      <w:pPr>
        <w:pStyle w:val="NormalWeb"/>
        <w:jc w:val="both"/>
        <w:rPr>
          <w:rFonts w:ascii="Book Antiqua" w:hAnsi="Book Antiqua"/>
          <w:lang w:val="es-DO"/>
        </w:rPr>
      </w:pPr>
      <w:r w:rsidRPr="00611475">
        <w:rPr>
          <w:rFonts w:ascii="Book Antiqua" w:hAnsi="Book Antiqua"/>
          <w:lang w:val="es-DO"/>
        </w:rPr>
        <w:t xml:space="preserve">En términos de </w:t>
      </w:r>
      <w:r w:rsidRPr="00611475">
        <w:rPr>
          <w:rStyle w:val="Strong"/>
          <w:rFonts w:ascii="Book Antiqua" w:hAnsi="Book Antiqua"/>
          <w:b w:val="0"/>
          <w:bCs w:val="0"/>
          <w:lang w:val="es-DO"/>
        </w:rPr>
        <w:t>necesidad</w:t>
      </w:r>
      <w:r w:rsidRPr="00611475">
        <w:rPr>
          <w:rFonts w:ascii="Book Antiqua" w:hAnsi="Book Antiqua"/>
          <w:b/>
          <w:bCs/>
          <w:lang w:val="es-DO"/>
        </w:rPr>
        <w:t>,</w:t>
      </w:r>
      <w:r w:rsidRPr="00611475">
        <w:rPr>
          <w:rFonts w:ascii="Book Antiqua" w:hAnsi="Book Antiqua"/>
          <w:lang w:val="es-DO"/>
        </w:rPr>
        <w:t xml:space="preserve"> la evidencia presentada ante la Comisión refleja un consenso amplio en cuanto a la magnitud del problema. Tanto la Asociación de </w:t>
      </w:r>
      <w:proofErr w:type="gramStart"/>
      <w:r w:rsidRPr="00611475">
        <w:rPr>
          <w:rFonts w:ascii="Book Antiqua" w:hAnsi="Book Antiqua"/>
          <w:lang w:val="es-DO"/>
        </w:rPr>
        <w:t>Alcaldes</w:t>
      </w:r>
      <w:proofErr w:type="gramEnd"/>
      <w:r w:rsidR="003A3EE9">
        <w:rPr>
          <w:rFonts w:ascii="Book Antiqua" w:hAnsi="Book Antiqua"/>
          <w:lang w:val="es-DO"/>
        </w:rPr>
        <w:t xml:space="preserve"> Puerto</w:t>
      </w:r>
      <w:r w:rsidRPr="00611475">
        <w:rPr>
          <w:rFonts w:ascii="Book Antiqua" w:hAnsi="Book Antiqua"/>
          <w:lang w:val="es-DO"/>
        </w:rPr>
        <w:t xml:space="preserve"> Rico como la Federación de </w:t>
      </w:r>
      <w:proofErr w:type="gramStart"/>
      <w:r w:rsidR="003A3EE9" w:rsidRPr="00611475">
        <w:rPr>
          <w:rFonts w:ascii="Book Antiqua" w:hAnsi="Book Antiqua"/>
          <w:lang w:val="es-DO"/>
        </w:rPr>
        <w:t>Alcaldes</w:t>
      </w:r>
      <w:proofErr w:type="gramEnd"/>
      <w:r w:rsidR="003A3EE9">
        <w:rPr>
          <w:rFonts w:ascii="Book Antiqua" w:hAnsi="Book Antiqua"/>
          <w:lang w:val="es-DO"/>
        </w:rPr>
        <w:t xml:space="preserve"> de Puerto Rico</w:t>
      </w:r>
      <w:r w:rsidRPr="00611475">
        <w:rPr>
          <w:rFonts w:ascii="Book Antiqua" w:hAnsi="Book Antiqua"/>
          <w:lang w:val="es-DO"/>
        </w:rPr>
        <w:t xml:space="preserve"> destacaron que el abandono de estructuras representa un problema directo de salud, seguridad pública y deterioro comunitario, mientras que entidades como la</w:t>
      </w:r>
      <w:r>
        <w:rPr>
          <w:rFonts w:ascii="Book Antiqua" w:hAnsi="Book Antiqua"/>
          <w:lang w:val="es-DO"/>
        </w:rPr>
        <w:t xml:space="preserve"> PRAR,</w:t>
      </w:r>
      <w:r w:rsidRPr="00611475">
        <w:rPr>
          <w:rFonts w:ascii="Book Antiqua" w:hAnsi="Book Antiqua"/>
          <w:lang w:val="es-DO"/>
        </w:rPr>
        <w:t xml:space="preserve"> subrayaron la insuficiencia del inventario de vivienda accesible. A su vez, el CRIM confirmó que la medida no afecta adversamente la estructura contributiva municipal ni impone cargas fiscales adicionales, lo que refuerza su viabilidad desde una perspectiva fiscal y administrativa. </w:t>
      </w:r>
    </w:p>
    <w:p w14:paraId="24940EC9" w14:textId="542EBB46" w:rsidR="00611475" w:rsidRPr="00611475" w:rsidRDefault="00611475" w:rsidP="00611475">
      <w:pPr>
        <w:pStyle w:val="NormalWeb"/>
        <w:jc w:val="both"/>
        <w:rPr>
          <w:rFonts w:ascii="Book Antiqua" w:hAnsi="Book Antiqua"/>
          <w:lang w:val="es-DO"/>
        </w:rPr>
      </w:pPr>
      <w:r w:rsidRPr="00611475">
        <w:rPr>
          <w:rFonts w:ascii="Book Antiqua" w:hAnsi="Book Antiqua"/>
          <w:lang w:val="es-DO"/>
        </w:rPr>
        <w:t xml:space="preserve">Por otro lado, el análisis del Municipio de San </w:t>
      </w:r>
      <w:r w:rsidR="003A3EE9" w:rsidRPr="00611475">
        <w:rPr>
          <w:rFonts w:ascii="Book Antiqua" w:hAnsi="Book Antiqua"/>
          <w:lang w:val="es-DO"/>
        </w:rPr>
        <w:t xml:space="preserve">Juan </w:t>
      </w:r>
      <w:r w:rsidR="003A3EE9">
        <w:rPr>
          <w:rFonts w:ascii="Book Antiqua" w:hAnsi="Book Antiqua"/>
          <w:lang w:val="es-DO"/>
        </w:rPr>
        <w:t>se</w:t>
      </w:r>
      <w:r>
        <w:rPr>
          <w:rFonts w:ascii="Book Antiqua" w:hAnsi="Book Antiqua"/>
          <w:lang w:val="es-DO"/>
        </w:rPr>
        <w:t xml:space="preserve"> centra en lo práctico</w:t>
      </w:r>
      <w:r w:rsidRPr="00611475">
        <w:rPr>
          <w:rFonts w:ascii="Book Antiqua" w:hAnsi="Book Antiqua"/>
          <w:lang w:val="es-DO"/>
        </w:rPr>
        <w:t xml:space="preserve"> </w:t>
      </w:r>
      <w:r>
        <w:rPr>
          <w:rFonts w:ascii="Book Antiqua" w:hAnsi="Book Antiqua"/>
          <w:lang w:val="es-DO"/>
        </w:rPr>
        <w:t>de la medida</w:t>
      </w:r>
      <w:r w:rsidRPr="00611475">
        <w:rPr>
          <w:rFonts w:ascii="Book Antiqua" w:hAnsi="Book Antiqua"/>
          <w:lang w:val="es-DO"/>
        </w:rPr>
        <w:t xml:space="preserve">, </w:t>
      </w:r>
      <w:r>
        <w:rPr>
          <w:rFonts w:ascii="Book Antiqua" w:hAnsi="Book Antiqua"/>
          <w:lang w:val="es-DO"/>
        </w:rPr>
        <w:t xml:space="preserve">señalando </w:t>
      </w:r>
      <w:r w:rsidRPr="00611475">
        <w:rPr>
          <w:rFonts w:ascii="Book Antiqua" w:hAnsi="Book Antiqua"/>
          <w:lang w:val="es-DO"/>
        </w:rPr>
        <w:t xml:space="preserve">que </w:t>
      </w:r>
      <w:r>
        <w:rPr>
          <w:rFonts w:ascii="Book Antiqua" w:hAnsi="Book Antiqua"/>
          <w:lang w:val="es-DO"/>
        </w:rPr>
        <w:t>algunos aspectos</w:t>
      </w:r>
      <w:r w:rsidRPr="00611475">
        <w:rPr>
          <w:rFonts w:ascii="Book Antiqua" w:hAnsi="Book Antiqua"/>
          <w:lang w:val="es-DO"/>
        </w:rPr>
        <w:t xml:space="preserve"> procesales en el Código Municipal han generado retrasos </w:t>
      </w:r>
      <w:r w:rsidRPr="00611475">
        <w:rPr>
          <w:rFonts w:ascii="Book Antiqua" w:hAnsi="Book Antiqua"/>
          <w:lang w:val="es-DO"/>
        </w:rPr>
        <w:lastRenderedPageBreak/>
        <w:t>innecesarios en la disposición de propiedades, afectando la agilidad del proceso y la certeza jurídica de los adquirentes. Las enmiendas propuestas y acogidas buscan precisamente atender estas lagunas operacionales, alineando el texto legal con la realidad procesal de los tribunales y la gestión municipal.</w:t>
      </w:r>
    </w:p>
    <w:p w14:paraId="4E995367" w14:textId="03D71B74" w:rsidR="00A76B51" w:rsidRDefault="00F04A9A" w:rsidP="00F34222">
      <w:pPr>
        <w:spacing w:before="100" w:beforeAutospacing="1" w:after="100" w:afterAutospacing="1"/>
        <w:jc w:val="center"/>
        <w:rPr>
          <w:rFonts w:ascii="Book Antiqua" w:hAnsi="Book Antiqua"/>
          <w:b/>
          <w:i/>
          <w:smallCaps/>
          <w:szCs w:val="24"/>
          <w:lang w:val="es-ES_tradnl"/>
        </w:rPr>
      </w:pPr>
      <w:r>
        <w:rPr>
          <w:rFonts w:ascii="Book Antiqua" w:hAnsi="Book Antiqua"/>
          <w:b/>
          <w:i/>
          <w:smallCaps/>
          <w:szCs w:val="24"/>
          <w:lang w:val="es-ES_tradnl"/>
        </w:rPr>
        <w:t>Impacto Fiscal</w:t>
      </w:r>
    </w:p>
    <w:p w14:paraId="32E90FA0" w14:textId="77777777" w:rsidR="00476E5E" w:rsidRDefault="008E3F18" w:rsidP="00476E5E">
      <w:pPr>
        <w:jc w:val="both"/>
        <w:rPr>
          <w:rFonts w:ascii="Book Antiqua" w:hAnsi="Book Antiqua"/>
          <w:lang w:val="es-ES"/>
        </w:rPr>
      </w:pPr>
      <w:r w:rsidRPr="008E3F18">
        <w:rPr>
          <w:rFonts w:ascii="Book Antiqua" w:hAnsi="Book Antiqua"/>
          <w:lang w:val="es-ES"/>
        </w:rPr>
        <w:t xml:space="preserve">En cumplimiento con lo dispuesto en el Artículo 1.007 de la Ley 107-2020 (21 L.P.R.A. § 7012), conocida como el </w:t>
      </w:r>
      <w:r w:rsidRPr="008E3F18">
        <w:rPr>
          <w:rStyle w:val="Emphasis"/>
          <w:rFonts w:ascii="Book Antiqua" w:hAnsi="Book Antiqua"/>
          <w:lang w:val="es-ES"/>
        </w:rPr>
        <w:t>Código Municipal de Puerto Rico</w:t>
      </w:r>
      <w:r w:rsidRPr="008E3F18">
        <w:rPr>
          <w:rFonts w:ascii="Book Antiqua" w:hAnsi="Book Antiqua"/>
          <w:lang w:val="es-ES"/>
        </w:rPr>
        <w:t xml:space="preserve">, la Comisión de Asuntos Municipales certifica que la medida legislativa bajo análisis no conlleva un impacto económico adverso sobre el presupuesto de los gobiernos municipales. </w:t>
      </w:r>
    </w:p>
    <w:p w14:paraId="27C3911D" w14:textId="77777777" w:rsidR="00476E5E" w:rsidRDefault="00476E5E" w:rsidP="00476E5E">
      <w:pPr>
        <w:jc w:val="both"/>
        <w:rPr>
          <w:rFonts w:ascii="Book Antiqua" w:hAnsi="Book Antiqua"/>
          <w:lang w:val="es-ES"/>
        </w:rPr>
      </w:pPr>
    </w:p>
    <w:p w14:paraId="7266900F" w14:textId="10053BC8" w:rsidR="003004EC" w:rsidRPr="007E1EA6" w:rsidRDefault="004000AE" w:rsidP="007E1EA6">
      <w:pPr>
        <w:jc w:val="center"/>
        <w:rPr>
          <w:rFonts w:ascii="Book Antiqua" w:hAnsi="Book Antiqua"/>
          <w:b/>
          <w:i/>
          <w:smallCaps/>
          <w:szCs w:val="24"/>
          <w:lang w:val="es-ES_tradnl"/>
        </w:rPr>
      </w:pPr>
      <w:r>
        <w:rPr>
          <w:rFonts w:ascii="Book Antiqua" w:hAnsi="Book Antiqua"/>
          <w:b/>
          <w:i/>
          <w:smallCaps/>
          <w:szCs w:val="24"/>
          <w:lang w:val="es-ES_tradnl"/>
        </w:rPr>
        <w:t>Conclusión</w:t>
      </w:r>
    </w:p>
    <w:p w14:paraId="3867B89F" w14:textId="08F4BCA2" w:rsidR="00611475" w:rsidRPr="007E1EA6" w:rsidRDefault="00611475" w:rsidP="007E1EA6">
      <w:pPr>
        <w:pStyle w:val="NormalWeb"/>
        <w:jc w:val="both"/>
        <w:rPr>
          <w:rFonts w:ascii="Book Antiqua" w:hAnsi="Book Antiqua"/>
          <w:lang w:val="es-DO"/>
        </w:rPr>
      </w:pPr>
      <w:r w:rsidRPr="00611475">
        <w:rPr>
          <w:rFonts w:ascii="Book Antiqua" w:hAnsi="Book Antiqua"/>
          <w:lang w:val="es-DO"/>
        </w:rPr>
        <w:t>En síntesis, el Proyecto de la Cámara 1005 constituye una medida necesaria, jurídicamente viable y respaldada ampliamente por los sectores comparecientes, que fortalece las herramientas municipales existentes, promueve la reutilización efectiva de propiedades abandonadas y contribuye directamente a atender la crisis de vivienda en Puerto Rico, sin imponer cargas fiscales ni alterar el estado de derecho vigente.</w:t>
      </w:r>
    </w:p>
    <w:p w14:paraId="693ABEB6" w14:textId="683445D4"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6A42A4">
        <w:rPr>
          <w:rFonts w:ascii="Book Antiqua" w:hAnsi="Book Antiqua" w:cs="Arial"/>
          <w:lang w:val="es-ES"/>
        </w:rPr>
        <w:t>1005</w:t>
      </w:r>
      <w:r w:rsidR="003004EC">
        <w:rPr>
          <w:rFonts w:ascii="Book Antiqua" w:hAnsi="Book Antiqua" w:cs="Arial"/>
          <w:lang w:val="es-ES"/>
        </w:rPr>
        <w:t xml:space="preserve">, </w:t>
      </w:r>
      <w:r w:rsidR="003004EC" w:rsidRPr="009B3675">
        <w:rPr>
          <w:rFonts w:ascii="Book Antiqua" w:hAnsi="Book Antiqua" w:cs="Arial"/>
          <w:lang w:val="es-ES"/>
        </w:rPr>
        <w:t>con</w:t>
      </w:r>
      <w:r w:rsidR="009B3675" w:rsidRPr="009B3675">
        <w:rPr>
          <w:rFonts w:ascii="Book Antiqua" w:hAnsi="Book Antiqua" w:cs="Arial"/>
          <w:lang w:val="es-ES"/>
        </w:rPr>
        <w:t xml:space="preserve"> las enmiendas que se incluyen en el </w:t>
      </w:r>
      <w:proofErr w:type="spellStart"/>
      <w:r w:rsidR="009B3675" w:rsidRPr="009B3675">
        <w:rPr>
          <w:rFonts w:ascii="Book Antiqua" w:hAnsi="Book Antiqua" w:cs="Arial"/>
          <w:lang w:val="es-ES"/>
        </w:rPr>
        <w:t>entirillado</w:t>
      </w:r>
      <w:proofErr w:type="spellEnd"/>
      <w:r w:rsidR="009B3675" w:rsidRPr="009B3675">
        <w:rPr>
          <w:rFonts w:ascii="Book Antiqua" w:hAnsi="Book Antiqua" w:cs="Arial"/>
          <w:lang w:val="es-ES"/>
        </w:rPr>
        <w:t xml:space="preserve"> electrónico que acompaña este Informe. </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Default="00AC0B45" w:rsidP="00AC0B45">
      <w:pPr>
        <w:rPr>
          <w:lang w:val="es-ES"/>
        </w:rPr>
      </w:pPr>
    </w:p>
    <w:p w14:paraId="6B458B12" w14:textId="77777777" w:rsidR="003A3EE9" w:rsidRPr="00AC0B45" w:rsidRDefault="003A3EE9"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5EDB3" w14:textId="77777777" w:rsidR="004E1947" w:rsidRDefault="004E1947" w:rsidP="006705DD">
      <w:r>
        <w:separator/>
      </w:r>
    </w:p>
  </w:endnote>
  <w:endnote w:type="continuationSeparator" w:id="0">
    <w:p w14:paraId="6243A575" w14:textId="77777777" w:rsidR="004E1947" w:rsidRDefault="004E1947"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7651B" w14:textId="77777777" w:rsidR="004E1947" w:rsidRDefault="004E1947" w:rsidP="006705DD">
      <w:r>
        <w:separator/>
      </w:r>
    </w:p>
  </w:footnote>
  <w:footnote w:type="continuationSeparator" w:id="0">
    <w:p w14:paraId="2A2442CA" w14:textId="77777777" w:rsidR="004E1947" w:rsidRDefault="004E1947"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3DD6555C"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3004EC">
      <w:rPr>
        <w:rStyle w:val="PageNumber"/>
        <w:rFonts w:ascii="Book Antiqua" w:hAnsi="Book Antiqua"/>
        <w:i/>
        <w:sz w:val="22"/>
        <w:szCs w:val="22"/>
        <w:lang w:val="es-PR"/>
      </w:rPr>
      <w:t>10</w:t>
    </w:r>
    <w:r w:rsidR="005661BC">
      <w:rPr>
        <w:rStyle w:val="PageNumber"/>
        <w:rFonts w:ascii="Book Antiqua" w:hAnsi="Book Antiqua"/>
        <w:i/>
        <w:sz w:val="22"/>
        <w:szCs w:val="22"/>
        <w:lang w:val="es-PR"/>
      </w:rPr>
      <w:t>0</w:t>
    </w:r>
    <w:r w:rsidR="00F36C5D">
      <w:rPr>
        <w:rStyle w:val="PageNumber"/>
        <w:rFonts w:ascii="Book Antiqua" w:hAnsi="Book Antiqua"/>
        <w:i/>
        <w:sz w:val="22"/>
        <w:szCs w:val="22"/>
        <w:lang w:val="es-PR"/>
      </w:rPr>
      <w:t>5</w:t>
    </w:r>
    <w:r>
      <w:rPr>
        <w:rStyle w:val="PageNumber"/>
        <w:rFonts w:ascii="Book Antiqua" w:hAnsi="Book Antiqua"/>
        <w:i/>
        <w:sz w:val="22"/>
        <w:szCs w:val="22"/>
        <w:lang w:val="es-PR"/>
      </w:rPr>
      <w:tab/>
    </w:r>
    <w:r w:rsidR="003A3EE9">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B043D"/>
    <w:multiLevelType w:val="hybridMultilevel"/>
    <w:tmpl w:val="9460CA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632E35"/>
    <w:multiLevelType w:val="multilevel"/>
    <w:tmpl w:val="C8E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7576557"/>
    <w:multiLevelType w:val="multilevel"/>
    <w:tmpl w:val="F056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0D3D2A"/>
    <w:multiLevelType w:val="hybridMultilevel"/>
    <w:tmpl w:val="71E0F8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35246B"/>
    <w:multiLevelType w:val="hybridMultilevel"/>
    <w:tmpl w:val="DCF418A6"/>
    <w:lvl w:ilvl="0" w:tplc="26B8A67E">
      <w:start w:val="1"/>
      <w:numFmt w:val="upp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3"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6A2469"/>
    <w:multiLevelType w:val="hybridMultilevel"/>
    <w:tmpl w:val="15D4D49E"/>
    <w:lvl w:ilvl="0" w:tplc="86DACA22">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6B1CD3"/>
    <w:multiLevelType w:val="hybridMultilevel"/>
    <w:tmpl w:val="A93E250E"/>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CA53925"/>
    <w:multiLevelType w:val="hybridMultilevel"/>
    <w:tmpl w:val="75886524"/>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DD95CAC"/>
    <w:multiLevelType w:val="multilevel"/>
    <w:tmpl w:val="E772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49103E17"/>
    <w:multiLevelType w:val="multilevel"/>
    <w:tmpl w:val="50229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AE725BA"/>
    <w:multiLevelType w:val="multilevel"/>
    <w:tmpl w:val="3A183E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0D15F1"/>
    <w:multiLevelType w:val="multilevel"/>
    <w:tmpl w:val="EFD6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712DBB"/>
    <w:multiLevelType w:val="hybridMultilevel"/>
    <w:tmpl w:val="2EDE881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E216019"/>
    <w:multiLevelType w:val="hybridMultilevel"/>
    <w:tmpl w:val="B2B424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3E48DF"/>
    <w:multiLevelType w:val="hybridMultilevel"/>
    <w:tmpl w:val="D23C097E"/>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0"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1B6F11"/>
    <w:multiLevelType w:val="multilevel"/>
    <w:tmpl w:val="62D2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7C501D"/>
    <w:multiLevelType w:val="hybridMultilevel"/>
    <w:tmpl w:val="696256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4"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1"/>
  </w:num>
  <w:num w:numId="2" w16cid:durableId="12457928">
    <w:abstractNumId w:val="32"/>
  </w:num>
  <w:num w:numId="3" w16cid:durableId="150217024">
    <w:abstractNumId w:val="34"/>
  </w:num>
  <w:num w:numId="4" w16cid:durableId="1144077218">
    <w:abstractNumId w:val="22"/>
  </w:num>
  <w:num w:numId="5" w16cid:durableId="1391071492">
    <w:abstractNumId w:val="37"/>
  </w:num>
  <w:num w:numId="6" w16cid:durableId="1887521205">
    <w:abstractNumId w:val="36"/>
  </w:num>
  <w:num w:numId="7" w16cid:durableId="172000890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30"/>
  </w:num>
  <w:num w:numId="9" w16cid:durableId="978419079">
    <w:abstractNumId w:val="21"/>
  </w:num>
  <w:num w:numId="10" w16cid:durableId="1431662367">
    <w:abstractNumId w:val="13"/>
  </w:num>
  <w:num w:numId="11" w16cid:durableId="745687741">
    <w:abstractNumId w:val="20"/>
  </w:num>
  <w:num w:numId="12" w16cid:durableId="788547495">
    <w:abstractNumId w:val="40"/>
  </w:num>
  <w:num w:numId="13" w16cid:durableId="953445716">
    <w:abstractNumId w:val="39"/>
  </w:num>
  <w:num w:numId="14" w16cid:durableId="194583800">
    <w:abstractNumId w:val="15"/>
  </w:num>
  <w:num w:numId="15" w16cid:durableId="523634993">
    <w:abstractNumId w:val="8"/>
  </w:num>
  <w:num w:numId="16" w16cid:durableId="640503561">
    <w:abstractNumId w:val="23"/>
  </w:num>
  <w:num w:numId="17" w16cid:durableId="558250333">
    <w:abstractNumId w:val="19"/>
  </w:num>
  <w:num w:numId="18" w16cid:durableId="544635036">
    <w:abstractNumId w:val="44"/>
  </w:num>
  <w:num w:numId="19" w16cid:durableId="328294607">
    <w:abstractNumId w:val="42"/>
  </w:num>
  <w:num w:numId="20" w16cid:durableId="1746873194">
    <w:abstractNumId w:val="9"/>
  </w:num>
  <w:num w:numId="21" w16cid:durableId="796483149">
    <w:abstractNumId w:val="25"/>
  </w:num>
  <w:num w:numId="22" w16cid:durableId="2005666296">
    <w:abstractNumId w:val="5"/>
  </w:num>
  <w:num w:numId="23" w16cid:durableId="1935046073">
    <w:abstractNumId w:val="35"/>
  </w:num>
  <w:num w:numId="24" w16cid:durableId="1003436762">
    <w:abstractNumId w:val="3"/>
  </w:num>
  <w:num w:numId="25" w16cid:durableId="363680753">
    <w:abstractNumId w:val="11"/>
  </w:num>
  <w:num w:numId="26" w16cid:durableId="819734833">
    <w:abstractNumId w:val="33"/>
  </w:num>
  <w:num w:numId="27" w16cid:durableId="319966295">
    <w:abstractNumId w:val="0"/>
  </w:num>
  <w:num w:numId="28" w16cid:durableId="1320692743">
    <w:abstractNumId w:val="7"/>
  </w:num>
  <w:num w:numId="29" w16cid:durableId="1485123259">
    <w:abstractNumId w:val="24"/>
  </w:num>
  <w:num w:numId="30" w16cid:durableId="994458932">
    <w:abstractNumId w:val="41"/>
  </w:num>
  <w:num w:numId="31" w16cid:durableId="1152524602">
    <w:abstractNumId w:val="27"/>
  </w:num>
  <w:num w:numId="32" w16cid:durableId="2128505462">
    <w:abstractNumId w:val="2"/>
  </w:num>
  <w:num w:numId="33" w16cid:durableId="2058430843">
    <w:abstractNumId w:val="28"/>
  </w:num>
  <w:num w:numId="34" w16cid:durableId="1740865236">
    <w:abstractNumId w:val="38"/>
  </w:num>
  <w:num w:numId="35" w16cid:durableId="1029069065">
    <w:abstractNumId w:val="43"/>
  </w:num>
  <w:num w:numId="36" w16cid:durableId="297496150">
    <w:abstractNumId w:val="17"/>
  </w:num>
  <w:num w:numId="37" w16cid:durableId="2012371553">
    <w:abstractNumId w:val="12"/>
  </w:num>
  <w:num w:numId="38" w16cid:durableId="1867980670">
    <w:abstractNumId w:val="31"/>
  </w:num>
  <w:num w:numId="39" w16cid:durableId="325211694">
    <w:abstractNumId w:val="29"/>
  </w:num>
  <w:num w:numId="40" w16cid:durableId="1164323603">
    <w:abstractNumId w:val="10"/>
  </w:num>
  <w:num w:numId="41" w16cid:durableId="157304764">
    <w:abstractNumId w:val="14"/>
  </w:num>
  <w:num w:numId="42" w16cid:durableId="1902668225">
    <w:abstractNumId w:val="16"/>
  </w:num>
  <w:num w:numId="43" w16cid:durableId="1044866197">
    <w:abstractNumId w:val="6"/>
  </w:num>
  <w:num w:numId="44" w16cid:durableId="83573246">
    <w:abstractNumId w:val="18"/>
  </w:num>
  <w:num w:numId="45" w16cid:durableId="8073592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45A3"/>
    <w:rsid w:val="0003506B"/>
    <w:rsid w:val="00040D4F"/>
    <w:rsid w:val="000412D4"/>
    <w:rsid w:val="0004232E"/>
    <w:rsid w:val="00046F97"/>
    <w:rsid w:val="000549AC"/>
    <w:rsid w:val="00055E65"/>
    <w:rsid w:val="00057481"/>
    <w:rsid w:val="0006127A"/>
    <w:rsid w:val="0006657A"/>
    <w:rsid w:val="00071193"/>
    <w:rsid w:val="000711C1"/>
    <w:rsid w:val="00075649"/>
    <w:rsid w:val="00076BE2"/>
    <w:rsid w:val="00084B35"/>
    <w:rsid w:val="000862D3"/>
    <w:rsid w:val="00093070"/>
    <w:rsid w:val="00093599"/>
    <w:rsid w:val="000A0DD0"/>
    <w:rsid w:val="000A1C03"/>
    <w:rsid w:val="000A3551"/>
    <w:rsid w:val="000A36B0"/>
    <w:rsid w:val="000A3926"/>
    <w:rsid w:val="000A3F06"/>
    <w:rsid w:val="000A55EE"/>
    <w:rsid w:val="000D4ACC"/>
    <w:rsid w:val="000E328C"/>
    <w:rsid w:val="000F7B85"/>
    <w:rsid w:val="00103081"/>
    <w:rsid w:val="00103ADD"/>
    <w:rsid w:val="00104793"/>
    <w:rsid w:val="00113F55"/>
    <w:rsid w:val="00115CCE"/>
    <w:rsid w:val="00121062"/>
    <w:rsid w:val="00126B90"/>
    <w:rsid w:val="001319DA"/>
    <w:rsid w:val="00140FC1"/>
    <w:rsid w:val="0014633D"/>
    <w:rsid w:val="00147634"/>
    <w:rsid w:val="00163B5C"/>
    <w:rsid w:val="00165840"/>
    <w:rsid w:val="0017614C"/>
    <w:rsid w:val="00176B06"/>
    <w:rsid w:val="00182ED3"/>
    <w:rsid w:val="0018793D"/>
    <w:rsid w:val="0019634E"/>
    <w:rsid w:val="001A2FCD"/>
    <w:rsid w:val="001A3733"/>
    <w:rsid w:val="001A6010"/>
    <w:rsid w:val="001B612F"/>
    <w:rsid w:val="001C6904"/>
    <w:rsid w:val="001D0ABB"/>
    <w:rsid w:val="001D3CBC"/>
    <w:rsid w:val="001E2BBC"/>
    <w:rsid w:val="001E51A0"/>
    <w:rsid w:val="001E58FE"/>
    <w:rsid w:val="00214189"/>
    <w:rsid w:val="002169FB"/>
    <w:rsid w:val="00222553"/>
    <w:rsid w:val="0022554E"/>
    <w:rsid w:val="0022643F"/>
    <w:rsid w:val="0023264E"/>
    <w:rsid w:val="002360B5"/>
    <w:rsid w:val="002370D3"/>
    <w:rsid w:val="00242B71"/>
    <w:rsid w:val="00244C04"/>
    <w:rsid w:val="00245609"/>
    <w:rsid w:val="00252693"/>
    <w:rsid w:val="002713C3"/>
    <w:rsid w:val="00276BDD"/>
    <w:rsid w:val="00276C3E"/>
    <w:rsid w:val="002808F0"/>
    <w:rsid w:val="00281A3B"/>
    <w:rsid w:val="00290C4B"/>
    <w:rsid w:val="00296D3F"/>
    <w:rsid w:val="002B3B61"/>
    <w:rsid w:val="002D1D70"/>
    <w:rsid w:val="002D4B38"/>
    <w:rsid w:val="002E0754"/>
    <w:rsid w:val="002F2860"/>
    <w:rsid w:val="002F58EB"/>
    <w:rsid w:val="002F60E4"/>
    <w:rsid w:val="002F615B"/>
    <w:rsid w:val="003004EC"/>
    <w:rsid w:val="00300512"/>
    <w:rsid w:val="003027D7"/>
    <w:rsid w:val="00304C16"/>
    <w:rsid w:val="00326892"/>
    <w:rsid w:val="00327EDE"/>
    <w:rsid w:val="00330D59"/>
    <w:rsid w:val="003403CB"/>
    <w:rsid w:val="003428AA"/>
    <w:rsid w:val="00352C61"/>
    <w:rsid w:val="00353DB9"/>
    <w:rsid w:val="00361144"/>
    <w:rsid w:val="00364DCF"/>
    <w:rsid w:val="003700E9"/>
    <w:rsid w:val="003822D7"/>
    <w:rsid w:val="00396560"/>
    <w:rsid w:val="00397AC7"/>
    <w:rsid w:val="003A3EE9"/>
    <w:rsid w:val="003A69EF"/>
    <w:rsid w:val="003A6E4E"/>
    <w:rsid w:val="003B644B"/>
    <w:rsid w:val="003B766F"/>
    <w:rsid w:val="003C1FA6"/>
    <w:rsid w:val="003D07D2"/>
    <w:rsid w:val="003E4264"/>
    <w:rsid w:val="003F0372"/>
    <w:rsid w:val="003F2DE1"/>
    <w:rsid w:val="003F46BE"/>
    <w:rsid w:val="003F4C87"/>
    <w:rsid w:val="003F7352"/>
    <w:rsid w:val="003F7F49"/>
    <w:rsid w:val="004000AE"/>
    <w:rsid w:val="0040062C"/>
    <w:rsid w:val="00403A15"/>
    <w:rsid w:val="00415E27"/>
    <w:rsid w:val="0042474F"/>
    <w:rsid w:val="004315C4"/>
    <w:rsid w:val="00437BDC"/>
    <w:rsid w:val="00440C62"/>
    <w:rsid w:val="00451E85"/>
    <w:rsid w:val="004538A3"/>
    <w:rsid w:val="00462A7C"/>
    <w:rsid w:val="004641B9"/>
    <w:rsid w:val="00465358"/>
    <w:rsid w:val="004663D5"/>
    <w:rsid w:val="004719B8"/>
    <w:rsid w:val="00473250"/>
    <w:rsid w:val="004733FF"/>
    <w:rsid w:val="00476E5E"/>
    <w:rsid w:val="00487F38"/>
    <w:rsid w:val="0049701E"/>
    <w:rsid w:val="004A40A5"/>
    <w:rsid w:val="004C0E27"/>
    <w:rsid w:val="004D44C1"/>
    <w:rsid w:val="004D66E8"/>
    <w:rsid w:val="004D7CDB"/>
    <w:rsid w:val="004E1947"/>
    <w:rsid w:val="004F0D7E"/>
    <w:rsid w:val="0050015A"/>
    <w:rsid w:val="0050357A"/>
    <w:rsid w:val="005054AB"/>
    <w:rsid w:val="00513DA9"/>
    <w:rsid w:val="0052307A"/>
    <w:rsid w:val="0052341B"/>
    <w:rsid w:val="00531976"/>
    <w:rsid w:val="00540012"/>
    <w:rsid w:val="00540C4E"/>
    <w:rsid w:val="005453CE"/>
    <w:rsid w:val="005616B3"/>
    <w:rsid w:val="00565C58"/>
    <w:rsid w:val="005661BC"/>
    <w:rsid w:val="005670CC"/>
    <w:rsid w:val="00575591"/>
    <w:rsid w:val="00584F82"/>
    <w:rsid w:val="005852B6"/>
    <w:rsid w:val="005865D6"/>
    <w:rsid w:val="00592412"/>
    <w:rsid w:val="00592912"/>
    <w:rsid w:val="00593EDF"/>
    <w:rsid w:val="00594C0D"/>
    <w:rsid w:val="00597725"/>
    <w:rsid w:val="005C2A30"/>
    <w:rsid w:val="005C5D02"/>
    <w:rsid w:val="005C6005"/>
    <w:rsid w:val="005D4247"/>
    <w:rsid w:val="005E345A"/>
    <w:rsid w:val="005F2117"/>
    <w:rsid w:val="005F3B18"/>
    <w:rsid w:val="00602E0C"/>
    <w:rsid w:val="00610D55"/>
    <w:rsid w:val="00611475"/>
    <w:rsid w:val="006116B8"/>
    <w:rsid w:val="0061277B"/>
    <w:rsid w:val="00613523"/>
    <w:rsid w:val="00620546"/>
    <w:rsid w:val="00623B5D"/>
    <w:rsid w:val="00624B6C"/>
    <w:rsid w:val="00625848"/>
    <w:rsid w:val="00633B31"/>
    <w:rsid w:val="0064216A"/>
    <w:rsid w:val="00642D73"/>
    <w:rsid w:val="00647E72"/>
    <w:rsid w:val="00650E7C"/>
    <w:rsid w:val="00651F6C"/>
    <w:rsid w:val="00653D18"/>
    <w:rsid w:val="00663552"/>
    <w:rsid w:val="006679D2"/>
    <w:rsid w:val="006705DD"/>
    <w:rsid w:val="00677ADE"/>
    <w:rsid w:val="006A2E89"/>
    <w:rsid w:val="006A42A4"/>
    <w:rsid w:val="006A627D"/>
    <w:rsid w:val="006B0E23"/>
    <w:rsid w:val="006C6F08"/>
    <w:rsid w:val="006D2DAD"/>
    <w:rsid w:val="006E01C3"/>
    <w:rsid w:val="00716C4C"/>
    <w:rsid w:val="00716D4F"/>
    <w:rsid w:val="007202AB"/>
    <w:rsid w:val="00721BCE"/>
    <w:rsid w:val="00726C66"/>
    <w:rsid w:val="0073521E"/>
    <w:rsid w:val="00744889"/>
    <w:rsid w:val="007526B6"/>
    <w:rsid w:val="007540B2"/>
    <w:rsid w:val="00757B0E"/>
    <w:rsid w:val="0076466B"/>
    <w:rsid w:val="0076672E"/>
    <w:rsid w:val="00766BC6"/>
    <w:rsid w:val="007751EF"/>
    <w:rsid w:val="007767FD"/>
    <w:rsid w:val="00787CC3"/>
    <w:rsid w:val="00796D86"/>
    <w:rsid w:val="007A3330"/>
    <w:rsid w:val="007A442F"/>
    <w:rsid w:val="007A52BD"/>
    <w:rsid w:val="007B1F4C"/>
    <w:rsid w:val="007B284B"/>
    <w:rsid w:val="007B6A57"/>
    <w:rsid w:val="007B737C"/>
    <w:rsid w:val="007B75B4"/>
    <w:rsid w:val="007C1FB4"/>
    <w:rsid w:val="007C5402"/>
    <w:rsid w:val="007D483B"/>
    <w:rsid w:val="007D502B"/>
    <w:rsid w:val="007E1EA6"/>
    <w:rsid w:val="007E3FE5"/>
    <w:rsid w:val="007F6BCF"/>
    <w:rsid w:val="0080494A"/>
    <w:rsid w:val="00814719"/>
    <w:rsid w:val="0083160D"/>
    <w:rsid w:val="00832BE1"/>
    <w:rsid w:val="00835666"/>
    <w:rsid w:val="008516DF"/>
    <w:rsid w:val="00855DDC"/>
    <w:rsid w:val="008605D1"/>
    <w:rsid w:val="0086119E"/>
    <w:rsid w:val="00866623"/>
    <w:rsid w:val="00866FDE"/>
    <w:rsid w:val="00873014"/>
    <w:rsid w:val="00874229"/>
    <w:rsid w:val="0087700A"/>
    <w:rsid w:val="008945B2"/>
    <w:rsid w:val="008A1DDA"/>
    <w:rsid w:val="008A3BFF"/>
    <w:rsid w:val="008B131A"/>
    <w:rsid w:val="008B5837"/>
    <w:rsid w:val="008C4E1E"/>
    <w:rsid w:val="008D3AED"/>
    <w:rsid w:val="008E3F18"/>
    <w:rsid w:val="008E3FE1"/>
    <w:rsid w:val="008E4C98"/>
    <w:rsid w:val="008F2ADC"/>
    <w:rsid w:val="008F3240"/>
    <w:rsid w:val="00916851"/>
    <w:rsid w:val="0091696B"/>
    <w:rsid w:val="009170EF"/>
    <w:rsid w:val="00920655"/>
    <w:rsid w:val="00922DA1"/>
    <w:rsid w:val="009375FE"/>
    <w:rsid w:val="00944B6E"/>
    <w:rsid w:val="00950543"/>
    <w:rsid w:val="00953576"/>
    <w:rsid w:val="0095762D"/>
    <w:rsid w:val="009770B8"/>
    <w:rsid w:val="0098155A"/>
    <w:rsid w:val="00986544"/>
    <w:rsid w:val="00986838"/>
    <w:rsid w:val="009912EA"/>
    <w:rsid w:val="009915D8"/>
    <w:rsid w:val="00995340"/>
    <w:rsid w:val="009962C2"/>
    <w:rsid w:val="009A0D8D"/>
    <w:rsid w:val="009A24F9"/>
    <w:rsid w:val="009A375D"/>
    <w:rsid w:val="009B3675"/>
    <w:rsid w:val="009D798F"/>
    <w:rsid w:val="009D7A6C"/>
    <w:rsid w:val="009D7AE4"/>
    <w:rsid w:val="009E093A"/>
    <w:rsid w:val="009E097D"/>
    <w:rsid w:val="009E291B"/>
    <w:rsid w:val="009F1CEE"/>
    <w:rsid w:val="00A00B79"/>
    <w:rsid w:val="00A06D24"/>
    <w:rsid w:val="00A2744F"/>
    <w:rsid w:val="00A30BC4"/>
    <w:rsid w:val="00A3336A"/>
    <w:rsid w:val="00A338D0"/>
    <w:rsid w:val="00A42BD2"/>
    <w:rsid w:val="00A51AED"/>
    <w:rsid w:val="00A56BC5"/>
    <w:rsid w:val="00A604CA"/>
    <w:rsid w:val="00A608EE"/>
    <w:rsid w:val="00A726BB"/>
    <w:rsid w:val="00A73459"/>
    <w:rsid w:val="00A76B51"/>
    <w:rsid w:val="00A85717"/>
    <w:rsid w:val="00A927E0"/>
    <w:rsid w:val="00AA4EE8"/>
    <w:rsid w:val="00AC0B45"/>
    <w:rsid w:val="00AC6688"/>
    <w:rsid w:val="00AD7C3F"/>
    <w:rsid w:val="00AE53C7"/>
    <w:rsid w:val="00AE7201"/>
    <w:rsid w:val="00AF630A"/>
    <w:rsid w:val="00B11907"/>
    <w:rsid w:val="00B24635"/>
    <w:rsid w:val="00B25CAC"/>
    <w:rsid w:val="00B34FF4"/>
    <w:rsid w:val="00B41353"/>
    <w:rsid w:val="00B41EA0"/>
    <w:rsid w:val="00B64DBC"/>
    <w:rsid w:val="00B656A1"/>
    <w:rsid w:val="00B65D50"/>
    <w:rsid w:val="00B66415"/>
    <w:rsid w:val="00B67267"/>
    <w:rsid w:val="00B75683"/>
    <w:rsid w:val="00B76FC7"/>
    <w:rsid w:val="00B921EB"/>
    <w:rsid w:val="00B95434"/>
    <w:rsid w:val="00B958BB"/>
    <w:rsid w:val="00B97282"/>
    <w:rsid w:val="00BB04FE"/>
    <w:rsid w:val="00BB54F0"/>
    <w:rsid w:val="00BC1282"/>
    <w:rsid w:val="00BC4AEA"/>
    <w:rsid w:val="00BD740D"/>
    <w:rsid w:val="00BE62B2"/>
    <w:rsid w:val="00BF2933"/>
    <w:rsid w:val="00BF30CB"/>
    <w:rsid w:val="00BF3E46"/>
    <w:rsid w:val="00BF4C79"/>
    <w:rsid w:val="00BF5631"/>
    <w:rsid w:val="00BF76DF"/>
    <w:rsid w:val="00C0097E"/>
    <w:rsid w:val="00C030CA"/>
    <w:rsid w:val="00C0489D"/>
    <w:rsid w:val="00C04CC4"/>
    <w:rsid w:val="00C05074"/>
    <w:rsid w:val="00C06BB6"/>
    <w:rsid w:val="00C20727"/>
    <w:rsid w:val="00C23448"/>
    <w:rsid w:val="00C2466C"/>
    <w:rsid w:val="00C3342E"/>
    <w:rsid w:val="00C364C6"/>
    <w:rsid w:val="00C445E0"/>
    <w:rsid w:val="00C54F93"/>
    <w:rsid w:val="00C55349"/>
    <w:rsid w:val="00C646DB"/>
    <w:rsid w:val="00C70147"/>
    <w:rsid w:val="00C72ADD"/>
    <w:rsid w:val="00C72BDF"/>
    <w:rsid w:val="00C746E5"/>
    <w:rsid w:val="00C868AA"/>
    <w:rsid w:val="00C93A19"/>
    <w:rsid w:val="00C971D6"/>
    <w:rsid w:val="00CA25B9"/>
    <w:rsid w:val="00CA25DD"/>
    <w:rsid w:val="00CB506C"/>
    <w:rsid w:val="00CB59F2"/>
    <w:rsid w:val="00CB7443"/>
    <w:rsid w:val="00CC0AC2"/>
    <w:rsid w:val="00CC169F"/>
    <w:rsid w:val="00CD6F6C"/>
    <w:rsid w:val="00CD7998"/>
    <w:rsid w:val="00CD7C8F"/>
    <w:rsid w:val="00CE50B0"/>
    <w:rsid w:val="00CE6859"/>
    <w:rsid w:val="00CE732F"/>
    <w:rsid w:val="00CE7FD0"/>
    <w:rsid w:val="00CF3279"/>
    <w:rsid w:val="00CF40DD"/>
    <w:rsid w:val="00D07AF6"/>
    <w:rsid w:val="00D10164"/>
    <w:rsid w:val="00D33C52"/>
    <w:rsid w:val="00D36F4D"/>
    <w:rsid w:val="00D400B4"/>
    <w:rsid w:val="00D46E38"/>
    <w:rsid w:val="00D54D79"/>
    <w:rsid w:val="00D66F82"/>
    <w:rsid w:val="00D75329"/>
    <w:rsid w:val="00D83BC1"/>
    <w:rsid w:val="00D905F2"/>
    <w:rsid w:val="00DA02ED"/>
    <w:rsid w:val="00DA09E1"/>
    <w:rsid w:val="00DA7015"/>
    <w:rsid w:val="00DB2939"/>
    <w:rsid w:val="00DB2C23"/>
    <w:rsid w:val="00DD3A6C"/>
    <w:rsid w:val="00DD419A"/>
    <w:rsid w:val="00DE2021"/>
    <w:rsid w:val="00E104AB"/>
    <w:rsid w:val="00E1059A"/>
    <w:rsid w:val="00E227DF"/>
    <w:rsid w:val="00E27A93"/>
    <w:rsid w:val="00E3046D"/>
    <w:rsid w:val="00E304DB"/>
    <w:rsid w:val="00E3239A"/>
    <w:rsid w:val="00E46361"/>
    <w:rsid w:val="00E47CDB"/>
    <w:rsid w:val="00E501A0"/>
    <w:rsid w:val="00E53603"/>
    <w:rsid w:val="00E61D3F"/>
    <w:rsid w:val="00E662B1"/>
    <w:rsid w:val="00E66D25"/>
    <w:rsid w:val="00E70E1E"/>
    <w:rsid w:val="00E7435A"/>
    <w:rsid w:val="00E77106"/>
    <w:rsid w:val="00E8150B"/>
    <w:rsid w:val="00E87DFC"/>
    <w:rsid w:val="00E946CD"/>
    <w:rsid w:val="00EA0424"/>
    <w:rsid w:val="00EA1A07"/>
    <w:rsid w:val="00EA3EBA"/>
    <w:rsid w:val="00EA5C52"/>
    <w:rsid w:val="00EA7DC1"/>
    <w:rsid w:val="00EB166E"/>
    <w:rsid w:val="00EB1E3E"/>
    <w:rsid w:val="00EC506A"/>
    <w:rsid w:val="00EC6777"/>
    <w:rsid w:val="00EC745B"/>
    <w:rsid w:val="00ED418B"/>
    <w:rsid w:val="00ED6D04"/>
    <w:rsid w:val="00EE5D67"/>
    <w:rsid w:val="00EE6494"/>
    <w:rsid w:val="00EF07C1"/>
    <w:rsid w:val="00F043A8"/>
    <w:rsid w:val="00F04A9A"/>
    <w:rsid w:val="00F11058"/>
    <w:rsid w:val="00F173C8"/>
    <w:rsid w:val="00F179C6"/>
    <w:rsid w:val="00F21142"/>
    <w:rsid w:val="00F21769"/>
    <w:rsid w:val="00F24049"/>
    <w:rsid w:val="00F34222"/>
    <w:rsid w:val="00F36C5D"/>
    <w:rsid w:val="00F44081"/>
    <w:rsid w:val="00F46A5B"/>
    <w:rsid w:val="00F4737F"/>
    <w:rsid w:val="00F664B4"/>
    <w:rsid w:val="00F745F6"/>
    <w:rsid w:val="00F907CB"/>
    <w:rsid w:val="00FC11CC"/>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8E3F1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qFormat/>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qFormat/>
    <w:rsid w:val="0050357A"/>
    <w:rPr>
      <w:sz w:val="24"/>
      <w:szCs w:val="24"/>
      <w:lang w:val="es-PR"/>
    </w:rPr>
  </w:style>
  <w:style w:type="character" w:styleId="FootnoteReference">
    <w:name w:val="footnote reference"/>
    <w:basedOn w:val="DefaultParagraphFont"/>
    <w:uiPriority w:val="99"/>
    <w:unhideWhenUsed/>
    <w:qFormat/>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8E3F1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175729554">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98613740">
      <w:bodyDiv w:val="1"/>
      <w:marLeft w:val="0"/>
      <w:marRight w:val="0"/>
      <w:marTop w:val="0"/>
      <w:marBottom w:val="0"/>
      <w:divBdr>
        <w:top w:val="none" w:sz="0" w:space="0" w:color="auto"/>
        <w:left w:val="none" w:sz="0" w:space="0" w:color="auto"/>
        <w:bottom w:val="none" w:sz="0" w:space="0" w:color="auto"/>
        <w:right w:val="none" w:sz="0" w:space="0" w:color="auto"/>
      </w:divBdr>
    </w:div>
    <w:div w:id="309336393">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86686283">
      <w:bodyDiv w:val="1"/>
      <w:marLeft w:val="0"/>
      <w:marRight w:val="0"/>
      <w:marTop w:val="0"/>
      <w:marBottom w:val="0"/>
      <w:divBdr>
        <w:top w:val="none" w:sz="0" w:space="0" w:color="auto"/>
        <w:left w:val="none" w:sz="0" w:space="0" w:color="auto"/>
        <w:bottom w:val="none" w:sz="0" w:space="0" w:color="auto"/>
        <w:right w:val="none" w:sz="0" w:space="0" w:color="auto"/>
      </w:divBdr>
      <w:divsChild>
        <w:div w:id="41479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938610496">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35946686">
      <w:bodyDiv w:val="1"/>
      <w:marLeft w:val="0"/>
      <w:marRight w:val="0"/>
      <w:marTop w:val="0"/>
      <w:marBottom w:val="0"/>
      <w:divBdr>
        <w:top w:val="none" w:sz="0" w:space="0" w:color="auto"/>
        <w:left w:val="none" w:sz="0" w:space="0" w:color="auto"/>
        <w:bottom w:val="none" w:sz="0" w:space="0" w:color="auto"/>
        <w:right w:val="none" w:sz="0" w:space="0" w:color="auto"/>
      </w:divBdr>
      <w:divsChild>
        <w:div w:id="197729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26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29539304">
      <w:bodyDiv w:val="1"/>
      <w:marLeft w:val="0"/>
      <w:marRight w:val="0"/>
      <w:marTop w:val="0"/>
      <w:marBottom w:val="0"/>
      <w:divBdr>
        <w:top w:val="none" w:sz="0" w:space="0" w:color="auto"/>
        <w:left w:val="none" w:sz="0" w:space="0" w:color="auto"/>
        <w:bottom w:val="none" w:sz="0" w:space="0" w:color="auto"/>
        <w:right w:val="none" w:sz="0" w:space="0" w:color="auto"/>
      </w:divBdr>
      <w:divsChild>
        <w:div w:id="6085864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379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5624668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06008042">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5037</Words>
  <Characters>28714</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2025-02-07T13:22:00Z</cp:lastPrinted>
  <dcterms:created xsi:type="dcterms:W3CDTF">2026-04-24T13:14:00Z</dcterms:created>
  <dcterms:modified xsi:type="dcterms:W3CDTF">2026-04-24T13:14:00Z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