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19D60" w14:textId="77777777" w:rsidR="00471383" w:rsidRPr="00F46A63" w:rsidRDefault="00CA0EA7" w:rsidP="00F46A63">
      <w:pPr>
        <w:suppressLineNumbers/>
        <w:jc w:val="center"/>
        <w:rPr>
          <w:rFonts w:ascii="Book Antiqua" w:hAnsi="Book Antiqua"/>
          <w:sz w:val="28"/>
          <w:szCs w:val="28"/>
          <w:lang w:val="es-ES_tradnl"/>
        </w:rPr>
      </w:pPr>
      <w:r w:rsidRPr="00F46A63">
        <w:rPr>
          <w:rFonts w:ascii="Book Antiqua" w:hAnsi="Book Antiqua"/>
          <w:sz w:val="28"/>
          <w:szCs w:val="28"/>
          <w:lang w:val="es-ES_tradnl"/>
        </w:rPr>
        <w:t>GOBIERNO</w:t>
      </w:r>
      <w:r w:rsidR="004A3264" w:rsidRPr="00F46A63">
        <w:rPr>
          <w:rFonts w:ascii="Book Antiqua" w:hAnsi="Book Antiqua"/>
          <w:sz w:val="28"/>
          <w:szCs w:val="28"/>
          <w:lang w:val="es-ES_tradnl"/>
        </w:rPr>
        <w:t xml:space="preserve"> DE PUERTO RICO</w:t>
      </w:r>
    </w:p>
    <w:p w14:paraId="707F5658" w14:textId="77777777" w:rsidR="00471383" w:rsidRPr="002C44F0" w:rsidRDefault="00471383" w:rsidP="00F46A63">
      <w:pPr>
        <w:suppressLineNumbers/>
        <w:jc w:val="center"/>
        <w:rPr>
          <w:rFonts w:ascii="Book Antiqua" w:hAnsi="Book Antiqua"/>
          <w:lang w:val="es-ES_tradnl"/>
        </w:rPr>
      </w:pPr>
    </w:p>
    <w:p w14:paraId="60207284" w14:textId="29CD0BEA" w:rsidR="00471383" w:rsidRPr="002C44F0" w:rsidRDefault="00757781" w:rsidP="00F46A63">
      <w:pPr>
        <w:pStyle w:val="Title2"/>
        <w:suppressLineNumbers/>
        <w:jc w:val="center"/>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471383" w:rsidRPr="002C44F0">
        <w:rPr>
          <w:rFonts w:ascii="Book Antiqua" w:hAnsi="Book Antiqua"/>
          <w:vertAlign w:val="superscript"/>
          <w:lang w:val="es-ES_tradnl"/>
        </w:rPr>
        <w:t>a.</w:t>
      </w:r>
      <w:r w:rsidR="00471383" w:rsidRPr="002C44F0">
        <w:rPr>
          <w:rFonts w:ascii="Book Antiqua" w:hAnsi="Book Antiqua"/>
          <w:lang w:val="es-ES_tradnl"/>
        </w:rPr>
        <w:tab/>
        <w:t>Asamblea</w:t>
      </w:r>
      <w:r w:rsidR="00471383" w:rsidRPr="002C44F0">
        <w:rPr>
          <w:rFonts w:ascii="Book Antiqua" w:hAnsi="Book Antiqua"/>
          <w:lang w:val="es-ES_tradnl"/>
        </w:rPr>
        <w:tab/>
      </w:r>
      <w:r w:rsidR="00F92970" w:rsidRPr="002C44F0">
        <w:rPr>
          <w:rFonts w:ascii="Book Antiqua" w:hAnsi="Book Antiqua"/>
          <w:lang w:val="es-ES_tradnl"/>
        </w:rPr>
        <w:t>3</w:t>
      </w:r>
      <w:r w:rsidR="00F92970" w:rsidRPr="002C44F0">
        <w:rPr>
          <w:rFonts w:ascii="Book Antiqua" w:hAnsi="Book Antiqua"/>
          <w:vertAlign w:val="superscript"/>
          <w:lang w:val="es-ES_tradnl"/>
        </w:rPr>
        <w:t>r</w:t>
      </w:r>
      <w:r w:rsidR="00471383" w:rsidRPr="002C44F0">
        <w:rPr>
          <w:rFonts w:ascii="Book Antiqua" w:hAnsi="Book Antiqua"/>
          <w:vertAlign w:val="superscript"/>
          <w:lang w:val="es-ES_tradnl"/>
        </w:rPr>
        <w:t>a.</w:t>
      </w:r>
      <w:r w:rsidR="00471383" w:rsidRPr="002C44F0">
        <w:rPr>
          <w:rFonts w:ascii="Book Antiqua" w:hAnsi="Book Antiqua"/>
          <w:lang w:val="es-ES_tradnl"/>
        </w:rPr>
        <w:tab/>
        <w:t>Sesión</w:t>
      </w:r>
    </w:p>
    <w:p w14:paraId="57D6183B" w14:textId="77777777" w:rsidR="00471383" w:rsidRPr="002C44F0" w:rsidRDefault="00956595" w:rsidP="00F46A63">
      <w:pPr>
        <w:pStyle w:val="Title2"/>
        <w:suppressLineNumbers/>
        <w:jc w:val="center"/>
        <w:rPr>
          <w:rFonts w:ascii="Book Antiqua" w:hAnsi="Book Antiqua"/>
          <w:lang w:val="es-ES_tradnl"/>
        </w:rPr>
      </w:pPr>
      <w:r w:rsidRPr="002C44F0">
        <w:rPr>
          <w:rFonts w:ascii="Book Antiqua" w:hAnsi="Book Antiqua"/>
          <w:lang w:val="es-ES_tradnl"/>
        </w:rPr>
        <w:t xml:space="preserve">           </w:t>
      </w:r>
      <w:r w:rsidR="003569F7" w:rsidRPr="002C44F0">
        <w:rPr>
          <w:rFonts w:ascii="Book Antiqua" w:hAnsi="Book Antiqua"/>
          <w:lang w:val="es-ES_tradnl"/>
        </w:rPr>
        <w:t xml:space="preserve">     </w:t>
      </w:r>
      <w:r w:rsidR="00471383" w:rsidRPr="002C44F0">
        <w:rPr>
          <w:rFonts w:ascii="Book Antiqua" w:hAnsi="Book Antiqua"/>
          <w:lang w:val="es-ES_tradnl"/>
        </w:rPr>
        <w:t>Legislativa</w:t>
      </w:r>
      <w:r w:rsidR="00471383" w:rsidRPr="002C44F0">
        <w:rPr>
          <w:rFonts w:ascii="Book Antiqua" w:hAnsi="Book Antiqua"/>
          <w:lang w:val="es-ES_tradnl"/>
        </w:rPr>
        <w:tab/>
      </w:r>
      <w:r w:rsidR="00471383" w:rsidRPr="002C44F0">
        <w:rPr>
          <w:rFonts w:ascii="Book Antiqua" w:hAnsi="Book Antiqua"/>
          <w:lang w:val="es-ES_tradnl"/>
        </w:rPr>
        <w:tab/>
      </w:r>
      <w:r w:rsidR="00A33CE0" w:rsidRPr="002C44F0">
        <w:rPr>
          <w:rFonts w:ascii="Book Antiqua" w:hAnsi="Book Antiqua"/>
          <w:lang w:val="es-ES_tradnl"/>
        </w:rPr>
        <w:t xml:space="preserve">     </w:t>
      </w:r>
      <w:r w:rsidR="00471383" w:rsidRPr="002C44F0">
        <w:rPr>
          <w:rFonts w:ascii="Book Antiqua" w:hAnsi="Book Antiqua"/>
          <w:lang w:val="es-ES_tradnl"/>
        </w:rPr>
        <w:t>Ordinaria</w:t>
      </w:r>
    </w:p>
    <w:p w14:paraId="4B6C66F3" w14:textId="77777777" w:rsidR="00471383" w:rsidRPr="002C44F0" w:rsidRDefault="00471383" w:rsidP="00F46A63">
      <w:pPr>
        <w:suppressLineNumbers/>
        <w:jc w:val="center"/>
        <w:rPr>
          <w:rFonts w:ascii="Book Antiqua" w:hAnsi="Book Antiqua"/>
          <w:lang w:val="es-ES_tradnl"/>
        </w:rPr>
      </w:pPr>
    </w:p>
    <w:p w14:paraId="18B6581D" w14:textId="161BB66E" w:rsidR="00471383" w:rsidRDefault="00757781" w:rsidP="00F46A63">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C08FF9C" w14:textId="77777777" w:rsidR="00F46A63" w:rsidRPr="00F46A63" w:rsidRDefault="00F46A63" w:rsidP="00F46A63">
      <w:pPr>
        <w:suppressLineNumbers/>
        <w:jc w:val="center"/>
        <w:rPr>
          <w:rFonts w:ascii="Book Antiqua" w:hAnsi="Book Antiqua"/>
          <w:b/>
          <w:szCs w:val="24"/>
          <w:lang w:val="es-ES_tradnl"/>
        </w:rPr>
      </w:pPr>
    </w:p>
    <w:p w14:paraId="265F103A" w14:textId="22B6B039" w:rsidR="00471383" w:rsidRDefault="00471383" w:rsidP="00F46A63">
      <w:pPr>
        <w:suppressLineNumbers/>
        <w:jc w:val="center"/>
        <w:rPr>
          <w:rFonts w:ascii="Book Antiqua" w:hAnsi="Book Antiqua"/>
          <w:b/>
          <w:sz w:val="52"/>
          <w:lang w:val="es-ES_tradnl"/>
        </w:rPr>
      </w:pPr>
      <w:r w:rsidRPr="002C44F0">
        <w:rPr>
          <w:rFonts w:ascii="Book Antiqua" w:hAnsi="Book Antiqua"/>
          <w:b/>
          <w:sz w:val="52"/>
          <w:lang w:val="es-ES_tradnl"/>
        </w:rPr>
        <w:t>P. de</w:t>
      </w:r>
      <w:r w:rsidR="002106F3">
        <w:rPr>
          <w:rFonts w:ascii="Book Antiqua" w:hAnsi="Book Antiqua"/>
          <w:b/>
          <w:sz w:val="52"/>
          <w:lang w:val="es-ES_tradnl"/>
        </w:rPr>
        <w:t xml:space="preserve"> </w:t>
      </w:r>
      <w:r w:rsidRPr="002C44F0">
        <w:rPr>
          <w:rFonts w:ascii="Book Antiqua" w:hAnsi="Book Antiqua"/>
          <w:b/>
          <w:sz w:val="52"/>
          <w:lang w:val="es-ES_tradnl"/>
        </w:rPr>
        <w:t>l</w:t>
      </w:r>
      <w:r w:rsidR="002106F3">
        <w:rPr>
          <w:rFonts w:ascii="Book Antiqua" w:hAnsi="Book Antiqua"/>
          <w:b/>
          <w:sz w:val="52"/>
          <w:lang w:val="es-ES_tradnl"/>
        </w:rPr>
        <w:t>a</w:t>
      </w:r>
      <w:r w:rsidRPr="002C44F0">
        <w:rPr>
          <w:rFonts w:ascii="Book Antiqua" w:hAnsi="Book Antiqua"/>
          <w:b/>
          <w:sz w:val="52"/>
          <w:lang w:val="es-ES_tradnl"/>
        </w:rPr>
        <w:t xml:space="preserve"> </w:t>
      </w:r>
      <w:r w:rsidR="00757781">
        <w:rPr>
          <w:rFonts w:ascii="Book Antiqua" w:hAnsi="Book Antiqua"/>
          <w:b/>
          <w:sz w:val="52"/>
          <w:lang w:val="es-ES_tradnl"/>
        </w:rPr>
        <w:t>C</w:t>
      </w:r>
      <w:r w:rsidRPr="002C44F0">
        <w:rPr>
          <w:rFonts w:ascii="Book Antiqua" w:hAnsi="Book Antiqua"/>
          <w:b/>
          <w:sz w:val="52"/>
          <w:lang w:val="es-ES_tradnl"/>
        </w:rPr>
        <w:t>.</w:t>
      </w:r>
      <w:r w:rsidR="00F46A63">
        <w:rPr>
          <w:rFonts w:ascii="Book Antiqua" w:hAnsi="Book Antiqua"/>
          <w:b/>
          <w:sz w:val="52"/>
          <w:lang w:val="es-ES_tradnl"/>
        </w:rPr>
        <w:t xml:space="preserve"> 1010</w:t>
      </w:r>
    </w:p>
    <w:p w14:paraId="2AFD3887" w14:textId="77777777" w:rsidR="00F46A63" w:rsidRPr="00F46A63" w:rsidRDefault="00F46A63" w:rsidP="00F46A63">
      <w:pPr>
        <w:suppressLineNumbers/>
        <w:jc w:val="center"/>
        <w:rPr>
          <w:rFonts w:ascii="Book Antiqua" w:hAnsi="Book Antiqua"/>
          <w:b/>
          <w:szCs w:val="24"/>
          <w:lang w:val="es-ES_tradnl"/>
        </w:rPr>
      </w:pPr>
    </w:p>
    <w:p w14:paraId="27FE43AF" w14:textId="524DEDF5" w:rsidR="00471383" w:rsidRDefault="00F46A63" w:rsidP="00F46A63">
      <w:pPr>
        <w:suppressLineNumbers/>
        <w:jc w:val="center"/>
        <w:rPr>
          <w:rFonts w:ascii="Book Antiqua" w:hAnsi="Book Antiqua"/>
          <w:lang w:val="es-ES_tradnl"/>
        </w:rPr>
      </w:pPr>
      <w:r>
        <w:rPr>
          <w:rFonts w:ascii="Book Antiqua" w:hAnsi="Book Antiqua"/>
          <w:lang w:val="es-ES_tradnl"/>
        </w:rPr>
        <w:t xml:space="preserve">8 </w:t>
      </w:r>
      <w:r w:rsidR="00757781">
        <w:rPr>
          <w:rFonts w:ascii="Book Antiqua" w:hAnsi="Book Antiqua"/>
          <w:lang w:val="es-ES_tradnl"/>
        </w:rPr>
        <w:t xml:space="preserve">DE </w:t>
      </w:r>
      <w:r w:rsidR="0011154C">
        <w:rPr>
          <w:rFonts w:ascii="Book Antiqua" w:hAnsi="Book Antiqua"/>
          <w:lang w:val="es-ES_tradnl"/>
        </w:rPr>
        <w:t>ENERO</w:t>
      </w:r>
      <w:r w:rsidR="00757781">
        <w:rPr>
          <w:rFonts w:ascii="Book Antiqua" w:hAnsi="Book Antiqua"/>
          <w:lang w:val="es-ES_tradnl"/>
        </w:rPr>
        <w:t xml:space="preserve"> DE 202</w:t>
      </w:r>
      <w:r w:rsidR="0011154C">
        <w:rPr>
          <w:rFonts w:ascii="Book Antiqua" w:hAnsi="Book Antiqua"/>
          <w:lang w:val="es-ES_tradnl"/>
        </w:rPr>
        <w:t>6</w:t>
      </w:r>
    </w:p>
    <w:p w14:paraId="5A98E8AB" w14:textId="77777777" w:rsidR="00F46A63" w:rsidRPr="002C44F0" w:rsidRDefault="00F46A63" w:rsidP="00F46A63">
      <w:pPr>
        <w:suppressLineNumbers/>
        <w:jc w:val="center"/>
        <w:rPr>
          <w:rFonts w:ascii="Book Antiqua" w:hAnsi="Book Antiqua"/>
          <w:lang w:val="es-ES_tradnl"/>
        </w:rPr>
      </w:pPr>
    </w:p>
    <w:p w14:paraId="60775668" w14:textId="073EFCDC" w:rsidR="00471383" w:rsidRDefault="00471383" w:rsidP="00F46A63">
      <w:pPr>
        <w:suppressLineNumbers/>
        <w:jc w:val="center"/>
        <w:rPr>
          <w:rFonts w:ascii="Book Antiqua" w:hAnsi="Book Antiqua"/>
          <w:i/>
          <w:iCs/>
          <w:lang w:val="es-ES_tradnl"/>
        </w:rPr>
      </w:pPr>
      <w:r w:rsidRPr="002C44F0">
        <w:rPr>
          <w:rFonts w:ascii="Book Antiqua" w:hAnsi="Book Antiqua"/>
          <w:lang w:val="es-ES_tradnl"/>
        </w:rPr>
        <w:t xml:space="preserve">Presentado por </w:t>
      </w:r>
      <w:r w:rsidR="00757781">
        <w:rPr>
          <w:rFonts w:ascii="Book Antiqua" w:hAnsi="Book Antiqua"/>
          <w:lang w:val="es-ES_tradnl"/>
        </w:rPr>
        <w:t>el</w:t>
      </w:r>
      <w:r w:rsidRPr="002C44F0">
        <w:rPr>
          <w:rFonts w:ascii="Book Antiqua" w:hAnsi="Book Antiqua"/>
          <w:lang w:val="es-ES_tradnl"/>
        </w:rPr>
        <w:t xml:space="preserve"> </w:t>
      </w:r>
      <w:r w:rsidR="00757781">
        <w:rPr>
          <w:rFonts w:ascii="Book Antiqua" w:hAnsi="Book Antiqua"/>
          <w:lang w:val="es-ES_tradnl"/>
        </w:rPr>
        <w:t xml:space="preserve">representante </w:t>
      </w:r>
      <w:r w:rsidR="00757781" w:rsidRPr="00757781">
        <w:rPr>
          <w:rFonts w:ascii="Book Antiqua" w:hAnsi="Book Antiqua"/>
          <w:i/>
          <w:iCs/>
          <w:lang w:val="es-ES_tradnl"/>
        </w:rPr>
        <w:t>Parés Otero</w:t>
      </w:r>
    </w:p>
    <w:p w14:paraId="7BB991B0" w14:textId="77777777" w:rsidR="00757781" w:rsidRPr="002C44F0" w:rsidRDefault="00757781" w:rsidP="00F46A63">
      <w:pPr>
        <w:suppressLineNumbers/>
        <w:jc w:val="center"/>
        <w:rPr>
          <w:rFonts w:ascii="Book Antiqua" w:hAnsi="Book Antiqua"/>
          <w:i/>
          <w:lang w:val="es-ES_tradnl"/>
        </w:rPr>
      </w:pPr>
    </w:p>
    <w:p w14:paraId="5D3AB8B5" w14:textId="4483BCF1" w:rsidR="00471383" w:rsidRPr="00A6606D" w:rsidRDefault="00471383" w:rsidP="00F46A63">
      <w:pPr>
        <w:suppressLineNumbers/>
        <w:jc w:val="center"/>
        <w:rPr>
          <w:rFonts w:ascii="Book Antiqua" w:hAnsi="Book Antiqua"/>
          <w:iCs/>
          <w:lang w:val="es-ES"/>
        </w:rPr>
      </w:pPr>
      <w:r w:rsidRPr="00757781">
        <w:rPr>
          <w:rFonts w:ascii="Book Antiqua" w:hAnsi="Book Antiqua"/>
          <w:iCs/>
          <w:lang w:val="es-ES_tradnl"/>
        </w:rPr>
        <w:t>Referido a</w:t>
      </w:r>
      <w:r w:rsidR="00A6606D">
        <w:rPr>
          <w:rFonts w:ascii="Book Antiqua" w:hAnsi="Book Antiqua"/>
          <w:iCs/>
          <w:lang w:val="es-ES_tradnl"/>
        </w:rPr>
        <w:t xml:space="preserve"> la Comisi</w:t>
      </w:r>
      <w:r w:rsidR="00A6606D" w:rsidRPr="00A6606D">
        <w:rPr>
          <w:rFonts w:ascii="Book Antiqua" w:hAnsi="Book Antiqua"/>
          <w:iCs/>
          <w:lang w:val="es-ES"/>
        </w:rPr>
        <w:t>ón d</w:t>
      </w:r>
      <w:r w:rsidR="00A6606D">
        <w:rPr>
          <w:rFonts w:ascii="Book Antiqua" w:hAnsi="Book Antiqua"/>
          <w:iCs/>
          <w:lang w:val="es-ES"/>
        </w:rPr>
        <w:t>e Asuntos del Consumidor</w:t>
      </w:r>
    </w:p>
    <w:p w14:paraId="30CCEB4B" w14:textId="77777777" w:rsidR="00471383" w:rsidRPr="002C44F0" w:rsidRDefault="00471383" w:rsidP="00F46A63">
      <w:pPr>
        <w:suppressLineNumbers/>
        <w:jc w:val="center"/>
        <w:rPr>
          <w:rFonts w:ascii="Book Antiqua" w:hAnsi="Book Antiqua"/>
          <w:lang w:val="es-ES_tradnl"/>
        </w:rPr>
      </w:pPr>
    </w:p>
    <w:p w14:paraId="406B7988" w14:textId="77777777" w:rsidR="00471AA9" w:rsidRDefault="00471383" w:rsidP="00F46A63">
      <w:pPr>
        <w:suppressLineNumbers/>
        <w:jc w:val="center"/>
        <w:rPr>
          <w:rFonts w:ascii="Book Antiqua" w:hAnsi="Book Antiqua"/>
          <w:b/>
          <w:sz w:val="28"/>
          <w:szCs w:val="22"/>
          <w:lang w:val="es-ES_tradnl"/>
        </w:rPr>
      </w:pPr>
      <w:r w:rsidRPr="00F46A63">
        <w:rPr>
          <w:rFonts w:ascii="Book Antiqua" w:hAnsi="Book Antiqua"/>
          <w:b/>
          <w:sz w:val="28"/>
          <w:szCs w:val="22"/>
          <w:lang w:val="es-ES_tradnl"/>
        </w:rPr>
        <w:t>LEY</w:t>
      </w:r>
    </w:p>
    <w:p w14:paraId="5406BA80" w14:textId="77777777" w:rsidR="00F46A63" w:rsidRPr="002C44F0" w:rsidRDefault="00F46A63" w:rsidP="00F46A63">
      <w:pPr>
        <w:suppressLineNumbers/>
        <w:jc w:val="center"/>
        <w:rPr>
          <w:rFonts w:ascii="Book Antiqua" w:hAnsi="Book Antiqua"/>
          <w:b/>
          <w:lang w:val="es-ES_tradnl"/>
        </w:rPr>
      </w:pPr>
    </w:p>
    <w:p w14:paraId="762235B6" w14:textId="31E47722" w:rsidR="00F761B9" w:rsidRDefault="00F761B9" w:rsidP="00F46A63">
      <w:pPr>
        <w:suppressLineNumbers/>
        <w:ind w:left="432" w:hanging="432"/>
        <w:jc w:val="both"/>
        <w:rPr>
          <w:rFonts w:ascii="Book Antiqua" w:hAnsi="Book Antiqua"/>
          <w:lang w:val="es-ES_tradnl"/>
        </w:rPr>
      </w:pPr>
      <w:r w:rsidRPr="002C44F0">
        <w:rPr>
          <w:rFonts w:ascii="Book Antiqua" w:hAnsi="Book Antiqua"/>
          <w:lang w:val="es-ES_tradnl"/>
        </w:rPr>
        <w:t xml:space="preserve">Para </w:t>
      </w:r>
      <w:r w:rsidR="00CE17F8" w:rsidRPr="002C44F0">
        <w:rPr>
          <w:rFonts w:ascii="Book Antiqua" w:hAnsi="Book Antiqua"/>
          <w:lang w:val="es-ES_tradnl"/>
        </w:rPr>
        <w:t>derog</w:t>
      </w:r>
      <w:r w:rsidRPr="002C44F0">
        <w:rPr>
          <w:rFonts w:ascii="Book Antiqua" w:hAnsi="Book Antiqua"/>
          <w:lang w:val="es-ES_tradnl"/>
        </w:rPr>
        <w:t xml:space="preserve">ar </w:t>
      </w:r>
      <w:r w:rsidR="00AC4809" w:rsidRPr="002C44F0">
        <w:rPr>
          <w:rFonts w:ascii="Book Antiqua" w:hAnsi="Book Antiqua"/>
          <w:lang w:val="es-ES_tradnl"/>
        </w:rPr>
        <w:t>el</w:t>
      </w:r>
      <w:r w:rsidR="000B1C7D" w:rsidRPr="002C44F0">
        <w:rPr>
          <w:rFonts w:ascii="Book Antiqua" w:hAnsi="Book Antiqua"/>
          <w:lang w:val="es-PR"/>
        </w:rPr>
        <w:t xml:space="preserve"> Artículo 65</w:t>
      </w:r>
      <w:r w:rsidR="00CE17F8" w:rsidRPr="002C44F0">
        <w:rPr>
          <w:rFonts w:ascii="Book Antiqua" w:hAnsi="Book Antiqua"/>
          <w:lang w:val="es-PR"/>
        </w:rPr>
        <w:t>, añadir un nuevo Artículo</w:t>
      </w:r>
      <w:r w:rsidR="000B1C7D" w:rsidRPr="002C44F0">
        <w:rPr>
          <w:rFonts w:ascii="Book Antiqua" w:hAnsi="Book Antiqua"/>
          <w:lang w:val="es-PR"/>
        </w:rPr>
        <w:t xml:space="preserve"> </w:t>
      </w:r>
      <w:r w:rsidR="00CE17F8" w:rsidRPr="002C44F0">
        <w:rPr>
          <w:rFonts w:ascii="Book Antiqua" w:hAnsi="Book Antiqua"/>
          <w:lang w:val="es-PR"/>
        </w:rPr>
        <w:t>65 y añadir</w:t>
      </w:r>
      <w:r w:rsidR="000B1C7D" w:rsidRPr="002C44F0">
        <w:rPr>
          <w:rFonts w:ascii="Book Antiqua" w:hAnsi="Book Antiqua"/>
          <w:szCs w:val="24"/>
          <w:lang w:val="es-PR"/>
        </w:rPr>
        <w:t xml:space="preserve"> un nuevo Artículo 66A</w:t>
      </w:r>
      <w:r w:rsidR="000B1C7D" w:rsidRPr="002C44F0">
        <w:rPr>
          <w:rFonts w:ascii="Book Antiqua" w:hAnsi="Book Antiqua"/>
          <w:lang w:val="es-PR"/>
        </w:rPr>
        <w:t xml:space="preserve"> </w:t>
      </w:r>
      <w:r w:rsidR="005E4B78" w:rsidRPr="002C44F0">
        <w:rPr>
          <w:rFonts w:ascii="Book Antiqua" w:hAnsi="Book Antiqua"/>
          <w:lang w:val="es-PR"/>
        </w:rPr>
        <w:t>a</w:t>
      </w:r>
      <w:r w:rsidR="000B1C7D" w:rsidRPr="002C44F0">
        <w:rPr>
          <w:rFonts w:ascii="Book Antiqua" w:hAnsi="Book Antiqua"/>
          <w:lang w:val="es-PR"/>
        </w:rPr>
        <w:t xml:space="preserve"> la Ley de Condominios de Puerto Rico, Ley Núm. 129 de 16 de agosto de 2020</w:t>
      </w:r>
      <w:r w:rsidR="00D326F8" w:rsidRPr="002C44F0">
        <w:rPr>
          <w:rFonts w:ascii="Book Antiqua" w:hAnsi="Book Antiqua"/>
          <w:lang w:val="es-ES_tradnl"/>
        </w:rPr>
        <w:t xml:space="preserve">, </w:t>
      </w:r>
      <w:r w:rsidRPr="002C44F0">
        <w:rPr>
          <w:rFonts w:ascii="Book Antiqua" w:hAnsi="Book Antiqua"/>
          <w:lang w:val="es-ES_tradnl"/>
        </w:rPr>
        <w:t>a los fines</w:t>
      </w:r>
      <w:r w:rsidR="008B372A" w:rsidRPr="002C44F0">
        <w:rPr>
          <w:rFonts w:ascii="Book Antiqua" w:hAnsi="Book Antiqua"/>
          <w:lang w:val="es-ES_tradnl"/>
        </w:rPr>
        <w:t xml:space="preserve"> de</w:t>
      </w:r>
      <w:r w:rsidRPr="002C44F0">
        <w:rPr>
          <w:rFonts w:ascii="Book Antiqua" w:hAnsi="Book Antiqua"/>
          <w:lang w:val="es-ES_tradnl"/>
        </w:rPr>
        <w:t xml:space="preserve"> </w:t>
      </w:r>
      <w:r w:rsidR="00CE17F8" w:rsidRPr="002C44F0">
        <w:rPr>
          <w:rFonts w:ascii="Book Antiqua" w:hAnsi="Book Antiqua"/>
          <w:lang w:val="es-ES_tradnl"/>
        </w:rPr>
        <w:t>aclarar la jurisdicción del Departamento de Asuntos del Consumidor</w:t>
      </w:r>
      <w:r w:rsidR="00757781">
        <w:rPr>
          <w:rFonts w:ascii="Book Antiqua" w:hAnsi="Book Antiqua"/>
          <w:lang w:val="es-ES_tradnl"/>
        </w:rPr>
        <w:t xml:space="preserve"> (</w:t>
      </w:r>
      <w:r w:rsidR="00CE17F8" w:rsidRPr="002C44F0">
        <w:rPr>
          <w:rFonts w:ascii="Book Antiqua" w:hAnsi="Book Antiqua"/>
          <w:lang w:val="es-ES_tradnl"/>
        </w:rPr>
        <w:t>DAC</w:t>
      </w:r>
      <w:r w:rsidR="00757781">
        <w:rPr>
          <w:rFonts w:ascii="Book Antiqua" w:hAnsi="Book Antiqua"/>
          <w:lang w:val="es-ES_tradnl"/>
        </w:rPr>
        <w:t>O)</w:t>
      </w:r>
      <w:r w:rsidR="00CE17F8" w:rsidRPr="002C44F0">
        <w:rPr>
          <w:rFonts w:ascii="Book Antiqua" w:hAnsi="Book Antiqua"/>
          <w:lang w:val="es-ES_tradnl"/>
        </w:rPr>
        <w:t>, y del Tribunal de Primera Instancias para atender las controversias que se susciten bajo dicha Ley; y establecer un nuevo</w:t>
      </w:r>
      <w:r w:rsidR="000B1C7D" w:rsidRPr="002C44F0">
        <w:rPr>
          <w:rFonts w:ascii="Book Antiqua" w:hAnsi="Book Antiqua"/>
          <w:lang w:val="es-ES_tradnl"/>
        </w:rPr>
        <w:t xml:space="preserve"> </w:t>
      </w:r>
      <w:r w:rsidR="000B1C7D" w:rsidRPr="002C44F0">
        <w:rPr>
          <w:rFonts w:ascii="Book Antiqua" w:hAnsi="Book Antiqua"/>
          <w:szCs w:val="24"/>
          <w:lang w:val="es-PR"/>
        </w:rPr>
        <w:t xml:space="preserve">Proceso Adjudicativo Expedito Alterno </w:t>
      </w:r>
      <w:r w:rsidR="00CE17F8" w:rsidRPr="002C44F0">
        <w:rPr>
          <w:rFonts w:ascii="Book Antiqua" w:hAnsi="Book Antiqua"/>
          <w:szCs w:val="24"/>
          <w:lang w:val="es-PR"/>
        </w:rPr>
        <w:t>ante DAC</w:t>
      </w:r>
      <w:r w:rsidR="00757781">
        <w:rPr>
          <w:rFonts w:ascii="Book Antiqua" w:hAnsi="Book Antiqua"/>
          <w:szCs w:val="24"/>
          <w:lang w:val="es-PR"/>
        </w:rPr>
        <w:t>O</w:t>
      </w:r>
      <w:r w:rsidR="00CE17F8" w:rsidRPr="002C44F0">
        <w:rPr>
          <w:rFonts w:ascii="Book Antiqua" w:hAnsi="Book Antiqua"/>
          <w:szCs w:val="24"/>
          <w:lang w:val="es-PR"/>
        </w:rPr>
        <w:t xml:space="preserve"> </w:t>
      </w:r>
      <w:r w:rsidR="000B1C7D" w:rsidRPr="002C44F0">
        <w:rPr>
          <w:rFonts w:ascii="Book Antiqua" w:hAnsi="Book Antiqua"/>
          <w:szCs w:val="24"/>
          <w:lang w:val="es-PR"/>
        </w:rPr>
        <w:t xml:space="preserve">para </w:t>
      </w:r>
      <w:r w:rsidR="00CE17F8" w:rsidRPr="002C44F0">
        <w:rPr>
          <w:rFonts w:ascii="Book Antiqua" w:hAnsi="Book Antiqua"/>
          <w:szCs w:val="24"/>
          <w:lang w:val="es-PR"/>
        </w:rPr>
        <w:t xml:space="preserve">atender </w:t>
      </w:r>
      <w:r w:rsidR="000B1C7D" w:rsidRPr="002C44F0">
        <w:rPr>
          <w:rFonts w:ascii="Book Antiqua" w:hAnsi="Book Antiqua"/>
          <w:bCs/>
          <w:szCs w:val="24"/>
          <w:lang w:val="es-PR"/>
        </w:rPr>
        <w:t>la impugnación</w:t>
      </w:r>
      <w:r w:rsidR="00D30FE5" w:rsidRPr="002C44F0">
        <w:rPr>
          <w:rFonts w:ascii="Book Antiqua" w:hAnsi="Book Antiqua"/>
          <w:bCs/>
          <w:szCs w:val="24"/>
          <w:lang w:val="es-PR"/>
        </w:rPr>
        <w:t xml:space="preserve"> </w:t>
      </w:r>
      <w:r w:rsidR="00CE17F8" w:rsidRPr="002C44F0">
        <w:rPr>
          <w:rFonts w:ascii="Book Antiqua" w:hAnsi="Book Antiqua"/>
          <w:bCs/>
          <w:szCs w:val="24"/>
          <w:lang w:val="es-PR"/>
        </w:rPr>
        <w:t>de</w:t>
      </w:r>
      <w:r w:rsidR="00296A2A" w:rsidRPr="002C44F0">
        <w:rPr>
          <w:rFonts w:ascii="Book Antiqua" w:hAnsi="Book Antiqua"/>
          <w:bCs/>
          <w:szCs w:val="24"/>
          <w:lang w:val="es-PR"/>
        </w:rPr>
        <w:t xml:space="preserve"> acuerdo</w:t>
      </w:r>
      <w:r w:rsidR="00CE17F8" w:rsidRPr="002C44F0">
        <w:rPr>
          <w:rFonts w:ascii="Book Antiqua" w:hAnsi="Book Antiqua"/>
          <w:bCs/>
          <w:szCs w:val="24"/>
          <w:lang w:val="es-PR"/>
        </w:rPr>
        <w:t>s</w:t>
      </w:r>
      <w:r w:rsidR="00296A2A" w:rsidRPr="002C44F0">
        <w:rPr>
          <w:rFonts w:ascii="Book Antiqua" w:hAnsi="Book Antiqua"/>
          <w:bCs/>
          <w:szCs w:val="24"/>
          <w:lang w:val="es-PR"/>
        </w:rPr>
        <w:t>, determinaci</w:t>
      </w:r>
      <w:r w:rsidR="00CE17F8" w:rsidRPr="002C44F0">
        <w:rPr>
          <w:rFonts w:ascii="Book Antiqua" w:hAnsi="Book Antiqua"/>
          <w:bCs/>
          <w:szCs w:val="24"/>
          <w:lang w:val="es-PR"/>
        </w:rPr>
        <w:t>ones</w:t>
      </w:r>
      <w:r w:rsidR="00296A2A" w:rsidRPr="002C44F0">
        <w:rPr>
          <w:rFonts w:ascii="Book Antiqua" w:hAnsi="Book Antiqua"/>
          <w:bCs/>
          <w:szCs w:val="24"/>
          <w:lang w:val="es-PR"/>
        </w:rPr>
        <w:t>, omisi</w:t>
      </w:r>
      <w:r w:rsidR="00CE17F8" w:rsidRPr="002C44F0">
        <w:rPr>
          <w:rFonts w:ascii="Book Antiqua" w:hAnsi="Book Antiqua"/>
          <w:bCs/>
          <w:szCs w:val="24"/>
          <w:lang w:val="es-PR"/>
        </w:rPr>
        <w:t>ones</w:t>
      </w:r>
      <w:r w:rsidR="00296A2A" w:rsidRPr="002C44F0">
        <w:rPr>
          <w:rFonts w:ascii="Book Antiqua" w:hAnsi="Book Antiqua"/>
          <w:bCs/>
          <w:szCs w:val="24"/>
          <w:lang w:val="es-PR"/>
        </w:rPr>
        <w:t xml:space="preserve"> o actuaci</w:t>
      </w:r>
      <w:r w:rsidR="00CE17F8" w:rsidRPr="002C44F0">
        <w:rPr>
          <w:rFonts w:ascii="Book Antiqua" w:hAnsi="Book Antiqua"/>
          <w:bCs/>
          <w:szCs w:val="24"/>
          <w:lang w:val="es-PR"/>
        </w:rPr>
        <w:t>ones</w:t>
      </w:r>
      <w:r w:rsidR="00296A2A" w:rsidRPr="002C44F0">
        <w:rPr>
          <w:rFonts w:ascii="Book Antiqua" w:hAnsi="Book Antiqua"/>
          <w:bCs/>
          <w:szCs w:val="24"/>
          <w:lang w:val="es-PR"/>
        </w:rPr>
        <w:t xml:space="preserve"> del Consejo de Titulares, de la Junta de Directores, del director, presidente o del secretario de la Junta de Directores</w:t>
      </w:r>
      <w:r w:rsidR="00CE17F8" w:rsidRPr="002C44F0">
        <w:rPr>
          <w:rFonts w:ascii="Book Antiqua" w:hAnsi="Book Antiqua"/>
          <w:bCs/>
          <w:szCs w:val="24"/>
          <w:lang w:val="es-PR"/>
        </w:rPr>
        <w:t xml:space="preserve"> </w:t>
      </w:r>
      <w:r w:rsidR="00296A2A" w:rsidRPr="002C44F0">
        <w:rPr>
          <w:rFonts w:ascii="Book Antiqua" w:hAnsi="Book Antiqua"/>
          <w:bCs/>
          <w:szCs w:val="24"/>
          <w:lang w:val="es-PR"/>
        </w:rPr>
        <w:t xml:space="preserve"> o del Síndico </w:t>
      </w:r>
      <w:r w:rsidR="000B1C7D" w:rsidRPr="002C44F0">
        <w:rPr>
          <w:rFonts w:ascii="Book Antiqua" w:hAnsi="Book Antiqua"/>
          <w:szCs w:val="24"/>
          <w:lang w:val="es-PR"/>
        </w:rPr>
        <w:t>en los condominios</w:t>
      </w:r>
      <w:r w:rsidR="000C6FD0" w:rsidRPr="002C44F0">
        <w:rPr>
          <w:rFonts w:ascii="Book Antiqua" w:hAnsi="Book Antiqua"/>
          <w:lang w:val="es-PR"/>
        </w:rPr>
        <w:t xml:space="preserve"> con al menos un apartamento de uso residencial</w:t>
      </w:r>
      <w:r w:rsidR="004A19FE" w:rsidRPr="002C44F0">
        <w:rPr>
          <w:rFonts w:ascii="Book Antiqua" w:hAnsi="Book Antiqua"/>
          <w:lang w:val="es-ES_tradnl"/>
        </w:rPr>
        <w:t xml:space="preserve">; </w:t>
      </w:r>
      <w:r w:rsidR="00804699" w:rsidRPr="002C44F0">
        <w:rPr>
          <w:rFonts w:ascii="Book Antiqua" w:hAnsi="Book Antiqua"/>
          <w:lang w:val="es-ES_tradnl"/>
        </w:rPr>
        <w:t xml:space="preserve">y </w:t>
      </w:r>
      <w:r w:rsidR="004A19FE" w:rsidRPr="002C44F0">
        <w:rPr>
          <w:rFonts w:ascii="Book Antiqua" w:hAnsi="Book Antiqua"/>
          <w:lang w:val="es-ES_tradnl"/>
        </w:rPr>
        <w:t>para otros fines</w:t>
      </w:r>
      <w:r w:rsidR="00804699" w:rsidRPr="002C44F0">
        <w:rPr>
          <w:rFonts w:ascii="Book Antiqua" w:hAnsi="Book Antiqua"/>
          <w:lang w:val="es-ES_tradnl"/>
        </w:rPr>
        <w:t xml:space="preserve"> relacionados</w:t>
      </w:r>
      <w:r w:rsidRPr="002C44F0">
        <w:rPr>
          <w:rFonts w:ascii="Book Antiqua" w:hAnsi="Book Antiqua"/>
          <w:lang w:val="es-ES_tradnl"/>
        </w:rPr>
        <w:t>.</w:t>
      </w:r>
    </w:p>
    <w:p w14:paraId="3A9F7A74" w14:textId="77777777" w:rsidR="00F46A63" w:rsidRPr="002C44F0" w:rsidRDefault="00F46A63" w:rsidP="00F46A63">
      <w:pPr>
        <w:suppressLineNumbers/>
        <w:ind w:left="432" w:hanging="432"/>
        <w:jc w:val="both"/>
        <w:rPr>
          <w:rFonts w:ascii="Book Antiqua" w:hAnsi="Book Antiqua"/>
          <w:lang w:val="es-ES_tradnl"/>
        </w:rPr>
      </w:pPr>
    </w:p>
    <w:p w14:paraId="1973891F" w14:textId="77777777" w:rsidR="0005276F" w:rsidRPr="00F46A63" w:rsidRDefault="00471383" w:rsidP="00F46A63">
      <w:pPr>
        <w:suppressLineNumbers/>
        <w:jc w:val="center"/>
        <w:rPr>
          <w:rFonts w:ascii="Book Antiqua" w:hAnsi="Book Antiqua"/>
          <w:bCs/>
          <w:lang w:val="es-ES_tradnl"/>
        </w:rPr>
      </w:pPr>
      <w:r w:rsidRPr="00F46A63">
        <w:rPr>
          <w:rFonts w:ascii="Book Antiqua" w:hAnsi="Book Antiqua"/>
          <w:bCs/>
          <w:lang w:val="es-ES_tradnl"/>
        </w:rPr>
        <w:t>EXPOSICIÓN DE MOTIVOS</w:t>
      </w:r>
    </w:p>
    <w:p w14:paraId="00602370" w14:textId="77777777" w:rsidR="0026494C" w:rsidRPr="002C44F0" w:rsidRDefault="0026494C" w:rsidP="00F46A63">
      <w:pPr>
        <w:suppressLineNumbers/>
        <w:ind w:firstLine="706"/>
        <w:jc w:val="both"/>
        <w:rPr>
          <w:rFonts w:ascii="Book Antiqua" w:hAnsi="Book Antiqua"/>
          <w:lang w:val="es-ES_tradnl"/>
        </w:rPr>
      </w:pPr>
    </w:p>
    <w:p w14:paraId="033C2382" w14:textId="77777777" w:rsidR="00F92970" w:rsidRDefault="00F92970" w:rsidP="00F46A63">
      <w:pPr>
        <w:suppressLineNumbers/>
        <w:ind w:firstLine="708"/>
        <w:jc w:val="both"/>
        <w:rPr>
          <w:rFonts w:ascii="Book Antiqua" w:hAnsi="Book Antiqua"/>
          <w:bCs/>
          <w:lang w:val="es-PR"/>
        </w:rPr>
      </w:pPr>
      <w:r w:rsidRPr="002C44F0">
        <w:rPr>
          <w:rFonts w:ascii="Book Antiqua" w:hAnsi="Book Antiqua"/>
          <w:lang w:val="es-PR"/>
        </w:rPr>
        <w:t>La Ley de Condominios de Puerto Rico se aprobó con el propósito de viabilizar la propiedad individual sobre un apartamento de un edificio o inmueble sometido al régimen de propiedad horizontal. De esta manera, se garantizó el derecho del titular al pleno disfrute de su apartamento y de las áreas comunes, salvaguardando a la vez que con ello no se menoscabara el derecho de los demás titulares al disfrute de sus respectivas propiedades.</w:t>
      </w:r>
      <w:r w:rsidR="00D50565" w:rsidRPr="002C44F0">
        <w:rPr>
          <w:rFonts w:ascii="Book Antiqua" w:hAnsi="Book Antiqua"/>
          <w:vertAlign w:val="superscript"/>
          <w:lang w:val="es-PR"/>
        </w:rPr>
        <w:footnoteReference w:id="1"/>
      </w:r>
      <w:r w:rsidRPr="002C44F0">
        <w:rPr>
          <w:rFonts w:ascii="Book Antiqua" w:hAnsi="Book Antiqua"/>
          <w:bCs/>
          <w:lang w:val="es-PR"/>
        </w:rPr>
        <w:t xml:space="preserve"> E</w:t>
      </w:r>
      <w:r w:rsidRPr="002C44F0">
        <w:rPr>
          <w:rFonts w:ascii="Book Antiqua" w:hAnsi="Book Antiqua"/>
          <w:lang w:val="es-PR"/>
        </w:rPr>
        <w:t>l estatuto</w:t>
      </w:r>
      <w:r w:rsidR="003F7213" w:rsidRPr="002C44F0">
        <w:rPr>
          <w:rFonts w:ascii="Book Antiqua" w:hAnsi="Book Antiqua"/>
          <w:bCs/>
          <w:lang w:val="es-PR"/>
        </w:rPr>
        <w:t xml:space="preserve"> además</w:t>
      </w:r>
      <w:r w:rsidRPr="002C44F0">
        <w:rPr>
          <w:rFonts w:ascii="Book Antiqua" w:hAnsi="Book Antiqua"/>
          <w:bCs/>
          <w:lang w:val="es-PR"/>
        </w:rPr>
        <w:t xml:space="preserve"> pretendió disponer los mecanismos necesarios para que los titulares de apartamentos destinados a vivienda pudieran resolver los conflictos inevitables que surgen al residir en una estructura con elementos comunes y diversos </w:t>
      </w:r>
      <w:r w:rsidRPr="002C44F0">
        <w:rPr>
          <w:rFonts w:ascii="Book Antiqua" w:hAnsi="Book Antiqua"/>
          <w:bCs/>
          <w:lang w:val="es-PR"/>
        </w:rPr>
        <w:lastRenderedPageBreak/>
        <w:t>titulares. Para ello, entre sus principios básicos</w:t>
      </w:r>
      <w:r w:rsidR="00143F51" w:rsidRPr="002C44F0">
        <w:rPr>
          <w:rFonts w:ascii="Book Antiqua" w:hAnsi="Book Antiqua"/>
          <w:bCs/>
          <w:lang w:val="es-PR"/>
        </w:rPr>
        <w:t xml:space="preserve"> se</w:t>
      </w:r>
      <w:r w:rsidRPr="002C44F0">
        <w:rPr>
          <w:rFonts w:ascii="Book Antiqua" w:hAnsi="Book Antiqua"/>
          <w:bCs/>
          <w:lang w:val="es-PR"/>
        </w:rPr>
        <w:t xml:space="preserve"> </w:t>
      </w:r>
      <w:r w:rsidR="00D50565" w:rsidRPr="002C44F0">
        <w:rPr>
          <w:rFonts w:ascii="Book Antiqua" w:hAnsi="Book Antiqua"/>
          <w:bCs/>
          <w:lang w:val="es-PR"/>
        </w:rPr>
        <w:t>design</w:t>
      </w:r>
      <w:r w:rsidRPr="002C44F0">
        <w:rPr>
          <w:rFonts w:ascii="Book Antiqua" w:hAnsi="Book Antiqua"/>
          <w:bCs/>
          <w:lang w:val="es-PR"/>
        </w:rPr>
        <w:t>ó</w:t>
      </w:r>
      <w:r w:rsidR="00D50565" w:rsidRPr="002C44F0">
        <w:rPr>
          <w:rFonts w:ascii="Book Antiqua" w:hAnsi="Book Antiqua"/>
          <w:bCs/>
          <w:lang w:val="es-PR"/>
        </w:rPr>
        <w:t xml:space="preserve"> al Departamento de Asuntos del Consumidor, DACo</w:t>
      </w:r>
      <w:r w:rsidR="00143F51" w:rsidRPr="002C44F0">
        <w:rPr>
          <w:rFonts w:ascii="Book Antiqua" w:hAnsi="Book Antiqua"/>
          <w:bCs/>
          <w:lang w:val="es-PR"/>
        </w:rPr>
        <w:t>,</w:t>
      </w:r>
      <w:r w:rsidR="003F7213" w:rsidRPr="002C44F0">
        <w:rPr>
          <w:rFonts w:ascii="Book Antiqua" w:hAnsi="Book Antiqua"/>
          <w:bCs/>
          <w:lang w:val="es-PR"/>
        </w:rPr>
        <w:t xml:space="preserve"> como foro especializado para atender con agilidad estos conflictos</w:t>
      </w:r>
      <w:r w:rsidRPr="002C44F0">
        <w:rPr>
          <w:rFonts w:ascii="Book Antiqua" w:hAnsi="Book Antiqua"/>
          <w:bCs/>
          <w:lang w:val="es-PR"/>
        </w:rPr>
        <w:t>.</w:t>
      </w:r>
      <w:r w:rsidRPr="002C44F0">
        <w:rPr>
          <w:rFonts w:ascii="Book Antiqua" w:hAnsi="Book Antiqua"/>
          <w:bCs/>
          <w:vertAlign w:val="superscript"/>
          <w:lang w:val="es-PR"/>
        </w:rPr>
        <w:footnoteReference w:id="2"/>
      </w:r>
      <w:r w:rsidRPr="002C44F0">
        <w:rPr>
          <w:rFonts w:ascii="Book Antiqua" w:hAnsi="Book Antiqua"/>
          <w:bCs/>
          <w:lang w:val="es-PR"/>
        </w:rPr>
        <w:t xml:space="preserve"> </w:t>
      </w:r>
      <w:r w:rsidR="00D50565" w:rsidRPr="002C44F0">
        <w:rPr>
          <w:rFonts w:ascii="Book Antiqua" w:hAnsi="Book Antiqua"/>
          <w:bCs/>
          <w:lang w:val="es-PR"/>
        </w:rPr>
        <w:t>La Ley</w:t>
      </w:r>
      <w:r w:rsidRPr="002C44F0">
        <w:rPr>
          <w:rFonts w:ascii="Book Antiqua" w:hAnsi="Book Antiqua"/>
          <w:bCs/>
          <w:lang w:val="es-PR"/>
        </w:rPr>
        <w:t xml:space="preserve"> dispuso, además, que</w:t>
      </w:r>
      <w:r w:rsidRPr="002C44F0">
        <w:rPr>
          <w:rFonts w:ascii="Book Antiqua" w:hAnsi="Book Antiqua"/>
          <w:b/>
          <w:bCs/>
          <w:lang w:val="es-PR"/>
        </w:rPr>
        <w:t xml:space="preserve"> </w:t>
      </w:r>
      <w:r w:rsidRPr="002C44F0">
        <w:rPr>
          <w:rFonts w:ascii="Book Antiqua" w:hAnsi="Book Antiqua"/>
          <w:bCs/>
          <w:lang w:val="es-PR"/>
        </w:rPr>
        <w:t>el DACo contaría con una División Especial de Adjudicac</w:t>
      </w:r>
      <w:r w:rsidR="00D50565" w:rsidRPr="002C44F0">
        <w:rPr>
          <w:rFonts w:ascii="Book Antiqua" w:hAnsi="Book Antiqua"/>
          <w:bCs/>
          <w:lang w:val="es-PR"/>
        </w:rPr>
        <w:t>ión de Querellas de Condominios</w:t>
      </w:r>
      <w:r w:rsidRPr="002C44F0">
        <w:rPr>
          <w:rFonts w:ascii="Book Antiqua" w:hAnsi="Book Antiqua"/>
          <w:bCs/>
          <w:lang w:val="es-PR"/>
        </w:rPr>
        <w:t xml:space="preserve"> para atender todo lo relacionado a los condominios en los que existía por lo menos un apartamento dedicado a vivienda. La División contaría con el personal necesario para la pronta atención de las querellas presentadas al amparo de la Ley.</w:t>
      </w:r>
      <w:r w:rsidR="00D50565" w:rsidRPr="002C44F0">
        <w:rPr>
          <w:rStyle w:val="FootnoteReference"/>
          <w:rFonts w:ascii="Book Antiqua" w:hAnsi="Book Antiqua"/>
          <w:bCs/>
          <w:lang w:val="es-PR"/>
        </w:rPr>
        <w:footnoteReference w:id="3"/>
      </w:r>
    </w:p>
    <w:p w14:paraId="67C33CED" w14:textId="77777777" w:rsidR="00F46A63" w:rsidRPr="002C44F0" w:rsidRDefault="00F46A63" w:rsidP="00F46A63">
      <w:pPr>
        <w:suppressLineNumbers/>
        <w:ind w:firstLine="708"/>
        <w:jc w:val="both"/>
        <w:rPr>
          <w:rFonts w:ascii="Book Antiqua" w:hAnsi="Book Antiqua"/>
          <w:bCs/>
          <w:lang w:val="es-PR"/>
        </w:rPr>
      </w:pPr>
    </w:p>
    <w:p w14:paraId="352ADEF6" w14:textId="77777777" w:rsidR="006F536F" w:rsidRDefault="00F92970" w:rsidP="00F46A63">
      <w:pPr>
        <w:suppressLineNumbers/>
        <w:ind w:firstLine="708"/>
        <w:jc w:val="both"/>
        <w:rPr>
          <w:rFonts w:ascii="Book Antiqua" w:hAnsi="Book Antiqua"/>
          <w:b/>
          <w:bCs/>
          <w:lang w:val="es-PR"/>
        </w:rPr>
      </w:pPr>
      <w:r w:rsidRPr="002C44F0">
        <w:rPr>
          <w:rFonts w:ascii="Book Antiqua" w:hAnsi="Book Antiqua"/>
          <w:bCs/>
          <w:lang w:val="es-PR"/>
        </w:rPr>
        <w:t>Al promulgarse la nueva Ley de Condominios de Puerto Rico de 2020, Ley Núm. 129 de 16 de agosto de 2020, se integraron múltiples propuestas legislativas para atemperar el estatuto a los tiempos modernos y atender la multiplicidad de problemas que se habían identificado durante la vigencia de la anterior Ley de Condominios del 1958. Como resultado, se incorporaron tendencias que se nutren de los desarrollos tecnológicos modernos, de las lecciones aprendidas como consecuencia de la crisis económica y de las situaciones de emergencia que sufrimos a consecuencia del huracán María.</w:t>
      </w:r>
      <w:r w:rsidR="00D50565" w:rsidRPr="002C44F0">
        <w:rPr>
          <w:rFonts w:ascii="Book Antiqua" w:hAnsi="Book Antiqua"/>
          <w:vertAlign w:val="superscript"/>
          <w:lang w:val="es-PR"/>
        </w:rPr>
        <w:footnoteReference w:id="4"/>
      </w:r>
      <w:r w:rsidR="003660FC" w:rsidRPr="002C44F0">
        <w:rPr>
          <w:rFonts w:ascii="Book Antiqua" w:hAnsi="Book Antiqua"/>
          <w:bCs/>
          <w:lang w:val="es-PR"/>
        </w:rPr>
        <w:t xml:space="preserve"> </w:t>
      </w:r>
      <w:r w:rsidR="000250A0" w:rsidRPr="002C44F0">
        <w:rPr>
          <w:rFonts w:ascii="Book Antiqua" w:hAnsi="Book Antiqua"/>
          <w:lang w:val="es-PR"/>
        </w:rPr>
        <w:t>E</w:t>
      </w:r>
      <w:r w:rsidRPr="002C44F0">
        <w:rPr>
          <w:rFonts w:ascii="Book Antiqua" w:hAnsi="Book Antiqua"/>
          <w:lang w:val="es-PR"/>
        </w:rPr>
        <w:t>l nuevo estatuto</w:t>
      </w:r>
      <w:r w:rsidR="00143F51" w:rsidRPr="002C44F0">
        <w:rPr>
          <w:rFonts w:ascii="Book Antiqua" w:hAnsi="Book Antiqua"/>
          <w:lang w:val="es-PR"/>
        </w:rPr>
        <w:t xml:space="preserve"> </w:t>
      </w:r>
      <w:r w:rsidRPr="002C44F0">
        <w:rPr>
          <w:rFonts w:ascii="Book Antiqua" w:hAnsi="Book Antiqua"/>
          <w:lang w:val="es-PR"/>
        </w:rPr>
        <w:t>retuvo el esquema adjudicativo para la resolución de controversias en condominios con al menos un apartamento dedicado a vivienda</w:t>
      </w:r>
      <w:r w:rsidR="000250A0" w:rsidRPr="002C44F0">
        <w:rPr>
          <w:rFonts w:ascii="Book Antiqua" w:hAnsi="Book Antiqua"/>
          <w:lang w:val="es-PR"/>
        </w:rPr>
        <w:t>, con</w:t>
      </w:r>
      <w:r w:rsidRPr="002C44F0">
        <w:rPr>
          <w:rFonts w:ascii="Book Antiqua" w:hAnsi="Book Antiqua"/>
          <w:lang w:val="es-PR"/>
        </w:rPr>
        <w:t xml:space="preserve"> el D</w:t>
      </w:r>
      <w:r w:rsidR="00143F51" w:rsidRPr="002C44F0">
        <w:rPr>
          <w:rFonts w:ascii="Book Antiqua" w:hAnsi="Book Antiqua"/>
          <w:lang w:val="es-PR"/>
        </w:rPr>
        <w:t>ACo</w:t>
      </w:r>
      <w:r w:rsidRPr="002C44F0">
        <w:rPr>
          <w:rFonts w:ascii="Book Antiqua" w:hAnsi="Book Antiqua"/>
          <w:lang w:val="es-PR"/>
        </w:rPr>
        <w:t xml:space="preserve"> como foro primario y exclusivo</w:t>
      </w:r>
      <w:r w:rsidR="006F536F" w:rsidRPr="002C44F0">
        <w:rPr>
          <w:rFonts w:ascii="Book Antiqua" w:hAnsi="Book Antiqua"/>
          <w:bCs/>
          <w:lang w:val="es-PR"/>
        </w:rPr>
        <w:t>. P</w:t>
      </w:r>
      <w:r w:rsidR="00BB7489" w:rsidRPr="002C44F0">
        <w:rPr>
          <w:rFonts w:ascii="Book Antiqua" w:hAnsi="Book Antiqua"/>
          <w:bCs/>
          <w:lang w:val="es-PR"/>
        </w:rPr>
        <w:t xml:space="preserve">or </w:t>
      </w:r>
      <w:r w:rsidR="006F536F" w:rsidRPr="002C44F0">
        <w:rPr>
          <w:rFonts w:ascii="Book Antiqua" w:hAnsi="Book Antiqua"/>
          <w:bCs/>
          <w:lang w:val="es-PR"/>
        </w:rPr>
        <w:t xml:space="preserve">esta razón, se mantiene </w:t>
      </w:r>
      <w:r w:rsidR="00BB7489" w:rsidRPr="002C44F0">
        <w:rPr>
          <w:rFonts w:ascii="Book Antiqua" w:hAnsi="Book Antiqua"/>
          <w:bCs/>
          <w:lang w:val="es-PR"/>
        </w:rPr>
        <w:t>vigente el Reglamento Sobre Condominios del DACo, Reglamento Núm. 6728 de 2 de diciembre de 2003</w:t>
      </w:r>
      <w:r w:rsidRPr="002C44F0">
        <w:rPr>
          <w:rFonts w:ascii="Book Antiqua" w:hAnsi="Book Antiqua"/>
          <w:b/>
          <w:bCs/>
          <w:lang w:val="es-PR"/>
        </w:rPr>
        <w:t xml:space="preserve">. </w:t>
      </w:r>
    </w:p>
    <w:p w14:paraId="0ACA5AFB" w14:textId="77777777" w:rsidR="00F46A63" w:rsidRPr="002C44F0" w:rsidRDefault="00F46A63" w:rsidP="00F46A63">
      <w:pPr>
        <w:suppressLineNumbers/>
        <w:ind w:firstLine="708"/>
        <w:jc w:val="both"/>
        <w:rPr>
          <w:rFonts w:ascii="Book Antiqua" w:hAnsi="Book Antiqua"/>
          <w:b/>
          <w:bCs/>
          <w:lang w:val="es-PR"/>
        </w:rPr>
      </w:pPr>
    </w:p>
    <w:p w14:paraId="48B85613" w14:textId="77777777" w:rsidR="00F92970" w:rsidRDefault="006F536F" w:rsidP="00F46A63">
      <w:pPr>
        <w:suppressLineNumbers/>
        <w:ind w:firstLine="708"/>
        <w:jc w:val="both"/>
        <w:rPr>
          <w:rFonts w:ascii="Book Antiqua" w:hAnsi="Book Antiqua"/>
          <w:bCs/>
          <w:lang w:val="es-PR"/>
        </w:rPr>
      </w:pPr>
      <w:r w:rsidRPr="002C44F0">
        <w:rPr>
          <w:rFonts w:ascii="Book Antiqua" w:hAnsi="Book Antiqua"/>
          <w:bCs/>
          <w:lang w:val="es-PR"/>
        </w:rPr>
        <w:t>La nueva legislación</w:t>
      </w:r>
      <w:r w:rsidR="00F92970" w:rsidRPr="002C44F0">
        <w:rPr>
          <w:rFonts w:ascii="Book Antiqua" w:hAnsi="Book Antiqua"/>
          <w:bCs/>
          <w:lang w:val="es-PR"/>
        </w:rPr>
        <w:t xml:space="preserve"> </w:t>
      </w:r>
      <w:r w:rsidRPr="002C44F0">
        <w:rPr>
          <w:rFonts w:ascii="Book Antiqua" w:hAnsi="Book Antiqua"/>
          <w:bCs/>
          <w:lang w:val="es-PR"/>
        </w:rPr>
        <w:t xml:space="preserve">retuvo </w:t>
      </w:r>
      <w:r w:rsidR="00F92970" w:rsidRPr="002C44F0">
        <w:rPr>
          <w:rFonts w:ascii="Book Antiqua" w:hAnsi="Book Antiqua"/>
          <w:bCs/>
          <w:lang w:val="es-PR"/>
        </w:rPr>
        <w:t>la disposición que cre</w:t>
      </w:r>
      <w:r w:rsidRPr="002C44F0">
        <w:rPr>
          <w:rFonts w:ascii="Book Antiqua" w:hAnsi="Book Antiqua"/>
          <w:bCs/>
          <w:lang w:val="es-PR"/>
        </w:rPr>
        <w:t>a</w:t>
      </w:r>
      <w:r w:rsidR="00F92970" w:rsidRPr="002C44F0">
        <w:rPr>
          <w:rFonts w:ascii="Book Antiqua" w:hAnsi="Book Antiqua"/>
          <w:bCs/>
          <w:lang w:val="es-PR"/>
        </w:rPr>
        <w:t xml:space="preserve"> la División Especial de Adjudicación de Querellas de Condominios</w:t>
      </w:r>
      <w:r w:rsidRPr="002C44F0">
        <w:rPr>
          <w:rFonts w:ascii="Book Antiqua" w:hAnsi="Book Antiqua"/>
          <w:bCs/>
          <w:lang w:val="es-PR"/>
        </w:rPr>
        <w:t>. Al igual, se mantiene al</w:t>
      </w:r>
      <w:r w:rsidR="00BB7489" w:rsidRPr="002C44F0">
        <w:rPr>
          <w:rFonts w:ascii="Book Antiqua" w:hAnsi="Book Antiqua"/>
          <w:bCs/>
          <w:lang w:val="es-PR"/>
        </w:rPr>
        <w:t xml:space="preserve"> directriz </w:t>
      </w:r>
      <w:r w:rsidRPr="002C44F0">
        <w:rPr>
          <w:rFonts w:ascii="Book Antiqua" w:hAnsi="Book Antiqua"/>
          <w:bCs/>
          <w:lang w:val="es-PR"/>
        </w:rPr>
        <w:t xml:space="preserve">en cuanto a </w:t>
      </w:r>
      <w:r w:rsidR="00BB7489" w:rsidRPr="002C44F0">
        <w:rPr>
          <w:rFonts w:ascii="Book Antiqua" w:hAnsi="Book Antiqua"/>
          <w:bCs/>
          <w:lang w:val="es-PR"/>
        </w:rPr>
        <w:t>que dicha División</w:t>
      </w:r>
      <w:r w:rsidR="00F92970" w:rsidRPr="002C44F0">
        <w:rPr>
          <w:rFonts w:ascii="Book Antiqua" w:hAnsi="Book Antiqua"/>
          <w:bCs/>
          <w:lang w:val="es-PR"/>
        </w:rPr>
        <w:t xml:space="preserve"> </w:t>
      </w:r>
      <w:r w:rsidRPr="002C44F0">
        <w:rPr>
          <w:rFonts w:ascii="Book Antiqua" w:hAnsi="Book Antiqua"/>
          <w:bCs/>
          <w:lang w:val="es-PR"/>
        </w:rPr>
        <w:t>deberá contar</w:t>
      </w:r>
      <w:r w:rsidR="00F92970" w:rsidRPr="002C44F0">
        <w:rPr>
          <w:rFonts w:ascii="Book Antiqua" w:hAnsi="Book Antiqua"/>
          <w:bCs/>
          <w:lang w:val="es-PR"/>
        </w:rPr>
        <w:t xml:space="preserve"> con el personal necesario para la </w:t>
      </w:r>
      <w:r w:rsidR="00F92970" w:rsidRPr="002C44F0">
        <w:rPr>
          <w:rFonts w:ascii="Book Antiqua" w:hAnsi="Book Antiqua"/>
          <w:b/>
          <w:bCs/>
          <w:lang w:val="es-PR"/>
        </w:rPr>
        <w:t>pronta atención</w:t>
      </w:r>
      <w:r w:rsidR="00F92970" w:rsidRPr="002C44F0">
        <w:rPr>
          <w:rFonts w:ascii="Book Antiqua" w:hAnsi="Book Antiqua"/>
          <w:bCs/>
          <w:lang w:val="es-PR"/>
        </w:rPr>
        <w:t xml:space="preserve"> de las querellas presentadas por los titulares de apartamentos contra el Consejo de Titulares o el Agente Administrador, o por la Junta de Directores al amparo de la Ley y de otras leyes especiales aplicables.</w:t>
      </w:r>
      <w:r w:rsidR="00F92970" w:rsidRPr="002C44F0">
        <w:rPr>
          <w:rFonts w:ascii="Book Antiqua" w:hAnsi="Book Antiqua"/>
          <w:bCs/>
          <w:vertAlign w:val="superscript"/>
          <w:lang w:val="es-PR"/>
        </w:rPr>
        <w:footnoteReference w:id="5"/>
      </w:r>
      <w:r w:rsidRPr="002C44F0">
        <w:rPr>
          <w:rFonts w:ascii="Book Antiqua" w:hAnsi="Book Antiqua"/>
          <w:bCs/>
          <w:lang w:val="es-PR"/>
        </w:rPr>
        <w:t xml:space="preserve"> Pero l</w:t>
      </w:r>
      <w:r w:rsidR="00F92970" w:rsidRPr="002C44F0">
        <w:rPr>
          <w:rFonts w:ascii="Book Antiqua" w:hAnsi="Book Antiqua"/>
          <w:bCs/>
          <w:lang w:val="es-PR"/>
        </w:rPr>
        <w:t>a experiencia ha sido otra. La dilación en la resolución de las controversias presentadas por los titulares</w:t>
      </w:r>
      <w:r w:rsidR="00BB7489" w:rsidRPr="002C44F0">
        <w:rPr>
          <w:rFonts w:ascii="Book Antiqua" w:hAnsi="Book Antiqua"/>
          <w:bCs/>
          <w:lang w:val="es-PR"/>
        </w:rPr>
        <w:t xml:space="preserve"> de apartamentos dedicados a vivienda</w:t>
      </w:r>
      <w:r w:rsidR="00F92970" w:rsidRPr="002C44F0">
        <w:rPr>
          <w:rFonts w:ascii="Book Antiqua" w:hAnsi="Book Antiqua"/>
          <w:bCs/>
          <w:lang w:val="es-PR"/>
        </w:rPr>
        <w:t xml:space="preserve"> contra los Consejos de Titulares o las Juntas de Directores es causa de quejas constantes</w:t>
      </w:r>
      <w:r w:rsidRPr="002C44F0">
        <w:rPr>
          <w:rFonts w:ascii="Book Antiqua" w:hAnsi="Book Antiqua"/>
          <w:bCs/>
          <w:lang w:val="es-PR"/>
        </w:rPr>
        <w:t>.</w:t>
      </w:r>
      <w:r w:rsidR="00F92970" w:rsidRPr="002C44F0">
        <w:rPr>
          <w:rFonts w:ascii="Book Antiqua" w:hAnsi="Book Antiqua"/>
          <w:bCs/>
          <w:lang w:val="es-PR"/>
        </w:rPr>
        <w:t xml:space="preserve"> </w:t>
      </w:r>
      <w:r w:rsidRPr="002C44F0">
        <w:rPr>
          <w:rFonts w:ascii="Book Antiqua" w:hAnsi="Book Antiqua"/>
          <w:bCs/>
          <w:lang w:val="es-PR"/>
        </w:rPr>
        <w:t>S</w:t>
      </w:r>
      <w:r w:rsidR="00F92970" w:rsidRPr="002C44F0">
        <w:rPr>
          <w:rFonts w:ascii="Book Antiqua" w:hAnsi="Book Antiqua"/>
          <w:bCs/>
          <w:lang w:val="es-PR"/>
        </w:rPr>
        <w:t>umidos en la desesperación al verse desprovistos de un foro ágil para la solución de sus problemas</w:t>
      </w:r>
      <w:r w:rsidRPr="002C44F0">
        <w:rPr>
          <w:rFonts w:ascii="Book Antiqua" w:hAnsi="Book Antiqua"/>
          <w:bCs/>
          <w:lang w:val="es-PR"/>
        </w:rPr>
        <w:t>, estos residentes r</w:t>
      </w:r>
      <w:r w:rsidR="00F92970" w:rsidRPr="002C44F0">
        <w:rPr>
          <w:rFonts w:ascii="Book Antiqua" w:hAnsi="Book Antiqua"/>
          <w:bCs/>
          <w:lang w:val="es-PR"/>
        </w:rPr>
        <w:t>eclama</w:t>
      </w:r>
      <w:r w:rsidR="00BB7489" w:rsidRPr="002C44F0">
        <w:rPr>
          <w:rFonts w:ascii="Book Antiqua" w:hAnsi="Book Antiqua"/>
          <w:bCs/>
          <w:lang w:val="es-PR"/>
        </w:rPr>
        <w:t>n</w:t>
      </w:r>
      <w:r w:rsidR="00F92970" w:rsidRPr="002C44F0">
        <w:rPr>
          <w:rFonts w:ascii="Book Antiqua" w:hAnsi="Book Antiqua"/>
          <w:bCs/>
          <w:lang w:val="es-PR"/>
        </w:rPr>
        <w:t xml:space="preserve"> acción legislativa para que se </w:t>
      </w:r>
      <w:r w:rsidR="00BA2977" w:rsidRPr="002C44F0">
        <w:rPr>
          <w:rFonts w:ascii="Book Antiqua" w:hAnsi="Book Antiqua"/>
          <w:bCs/>
          <w:lang w:val="es-PR"/>
        </w:rPr>
        <w:t>invista</w:t>
      </w:r>
      <w:r w:rsidR="00F92970" w:rsidRPr="002C44F0">
        <w:rPr>
          <w:rFonts w:ascii="Book Antiqua" w:hAnsi="Book Antiqua"/>
          <w:bCs/>
          <w:lang w:val="es-PR"/>
        </w:rPr>
        <w:t xml:space="preserve"> </w:t>
      </w:r>
      <w:r w:rsidR="00BA2977" w:rsidRPr="002C44F0">
        <w:rPr>
          <w:rFonts w:ascii="Book Antiqua" w:hAnsi="Book Antiqua"/>
          <w:bCs/>
          <w:lang w:val="es-PR"/>
        </w:rPr>
        <w:t xml:space="preserve">al Tribunal de Primera Instancia de la </w:t>
      </w:r>
      <w:r w:rsidR="00F92970" w:rsidRPr="002C44F0">
        <w:rPr>
          <w:rFonts w:ascii="Book Antiqua" w:hAnsi="Book Antiqua"/>
          <w:bCs/>
          <w:lang w:val="es-PR"/>
        </w:rPr>
        <w:t xml:space="preserve">jurisdicción primaria sobre estos casos. </w:t>
      </w:r>
    </w:p>
    <w:p w14:paraId="093BAF4B" w14:textId="77777777" w:rsidR="00F46A63" w:rsidRPr="002C44F0" w:rsidRDefault="00F46A63" w:rsidP="00F46A63">
      <w:pPr>
        <w:suppressLineNumbers/>
        <w:ind w:firstLine="708"/>
        <w:jc w:val="both"/>
        <w:rPr>
          <w:rFonts w:ascii="Book Antiqua" w:hAnsi="Book Antiqua"/>
          <w:bCs/>
          <w:lang w:val="es-PR"/>
        </w:rPr>
      </w:pPr>
    </w:p>
    <w:p w14:paraId="62CB053C" w14:textId="77777777" w:rsidR="00F92970" w:rsidRDefault="00F92970" w:rsidP="00F46A63">
      <w:pPr>
        <w:suppressLineNumbers/>
        <w:ind w:firstLine="708"/>
        <w:jc w:val="both"/>
        <w:rPr>
          <w:rFonts w:ascii="Book Antiqua" w:hAnsi="Book Antiqua"/>
          <w:bCs/>
          <w:lang w:val="es-PR"/>
        </w:rPr>
      </w:pPr>
      <w:r w:rsidRPr="002C44F0">
        <w:rPr>
          <w:rFonts w:ascii="Book Antiqua" w:hAnsi="Book Antiqua"/>
          <w:bCs/>
          <w:lang w:val="es-PR"/>
        </w:rPr>
        <w:t xml:space="preserve">La solución </w:t>
      </w:r>
      <w:r w:rsidR="00BA2977" w:rsidRPr="002C44F0">
        <w:rPr>
          <w:rFonts w:ascii="Book Antiqua" w:hAnsi="Book Antiqua"/>
          <w:bCs/>
          <w:lang w:val="es-PR"/>
        </w:rPr>
        <w:t>a</w:t>
      </w:r>
      <w:r w:rsidR="00B7133C" w:rsidRPr="002C44F0">
        <w:rPr>
          <w:rFonts w:ascii="Book Antiqua" w:hAnsi="Book Antiqua"/>
          <w:bCs/>
          <w:lang w:val="es-PR"/>
        </w:rPr>
        <w:t>l</w:t>
      </w:r>
      <w:r w:rsidR="00BA2977" w:rsidRPr="002C44F0">
        <w:rPr>
          <w:rFonts w:ascii="Book Antiqua" w:hAnsi="Book Antiqua"/>
          <w:bCs/>
          <w:lang w:val="es-PR"/>
        </w:rPr>
        <w:t xml:space="preserve"> problema </w:t>
      </w:r>
      <w:r w:rsidRPr="002C44F0">
        <w:rPr>
          <w:rFonts w:ascii="Book Antiqua" w:hAnsi="Book Antiqua"/>
          <w:bCs/>
          <w:lang w:val="es-PR"/>
        </w:rPr>
        <w:t xml:space="preserve">no es sencilla. Mientras que entendemos claramente la necesidad de tomar acción afirmativa para </w:t>
      </w:r>
      <w:r w:rsidR="00434EFC" w:rsidRPr="002C44F0">
        <w:rPr>
          <w:rFonts w:ascii="Book Antiqua" w:hAnsi="Book Antiqua"/>
          <w:bCs/>
          <w:lang w:val="es-PR"/>
        </w:rPr>
        <w:t>agilizar los procesos ante DACo,</w:t>
      </w:r>
      <w:r w:rsidRPr="002C44F0">
        <w:rPr>
          <w:rFonts w:ascii="Book Antiqua" w:hAnsi="Book Antiqua"/>
          <w:bCs/>
          <w:lang w:val="es-PR"/>
        </w:rPr>
        <w:t xml:space="preserve"> </w:t>
      </w:r>
      <w:r w:rsidR="00434EFC" w:rsidRPr="002C44F0">
        <w:rPr>
          <w:rFonts w:ascii="Book Antiqua" w:hAnsi="Book Antiqua"/>
          <w:bCs/>
          <w:lang w:val="es-PR"/>
        </w:rPr>
        <w:t xml:space="preserve">también </w:t>
      </w:r>
      <w:r w:rsidRPr="002C44F0">
        <w:rPr>
          <w:rFonts w:ascii="Book Antiqua" w:hAnsi="Book Antiqua"/>
          <w:bCs/>
          <w:lang w:val="es-PR"/>
        </w:rPr>
        <w:t xml:space="preserve">reconocemos el valor del DACo como foro especializado en la resolución de </w:t>
      </w:r>
      <w:r w:rsidR="00B7133C" w:rsidRPr="002C44F0">
        <w:rPr>
          <w:rFonts w:ascii="Book Antiqua" w:hAnsi="Book Antiqua"/>
          <w:bCs/>
          <w:lang w:val="es-PR"/>
        </w:rPr>
        <w:t xml:space="preserve">las </w:t>
      </w:r>
      <w:r w:rsidRPr="002C44F0">
        <w:rPr>
          <w:rFonts w:ascii="Book Antiqua" w:hAnsi="Book Antiqua"/>
          <w:bCs/>
          <w:lang w:val="es-PR"/>
        </w:rPr>
        <w:t xml:space="preserve">controversias que se generan en el contexto de la propiedad horizontal. </w:t>
      </w:r>
      <w:r w:rsidR="00173834" w:rsidRPr="002C44F0">
        <w:rPr>
          <w:rFonts w:ascii="Book Antiqua" w:hAnsi="Book Antiqua"/>
          <w:bCs/>
          <w:lang w:val="es-PR"/>
        </w:rPr>
        <w:t>E</w:t>
      </w:r>
      <w:r w:rsidRPr="002C44F0">
        <w:rPr>
          <w:rFonts w:ascii="Book Antiqua" w:hAnsi="Book Antiqua"/>
          <w:bCs/>
          <w:lang w:val="es-PR"/>
        </w:rPr>
        <w:t xml:space="preserve">s imprescindible tener en cuenta que la dilación en los procedimientos puede </w:t>
      </w:r>
      <w:r w:rsidR="00434EFC" w:rsidRPr="002C44F0">
        <w:rPr>
          <w:rFonts w:ascii="Book Antiqua" w:hAnsi="Book Antiqua"/>
          <w:bCs/>
          <w:lang w:val="es-PR"/>
        </w:rPr>
        <w:t xml:space="preserve">responder a múltiples factores; entre estos, </w:t>
      </w:r>
      <w:r w:rsidRPr="002C44F0">
        <w:rPr>
          <w:rFonts w:ascii="Book Antiqua" w:hAnsi="Book Antiqua"/>
          <w:bCs/>
          <w:lang w:val="es-PR"/>
        </w:rPr>
        <w:t xml:space="preserve">la falta de la evidencia o </w:t>
      </w:r>
      <w:r w:rsidR="00173834" w:rsidRPr="002C44F0">
        <w:rPr>
          <w:rFonts w:ascii="Book Antiqua" w:hAnsi="Book Antiqua"/>
          <w:bCs/>
          <w:lang w:val="es-PR"/>
        </w:rPr>
        <w:t xml:space="preserve">la ausencia </w:t>
      </w:r>
      <w:r w:rsidR="00434EFC" w:rsidRPr="002C44F0">
        <w:rPr>
          <w:rFonts w:ascii="Book Antiqua" w:hAnsi="Book Antiqua"/>
          <w:bCs/>
          <w:lang w:val="es-PR"/>
        </w:rPr>
        <w:t xml:space="preserve">de </w:t>
      </w:r>
      <w:r w:rsidR="00173834" w:rsidRPr="002C44F0">
        <w:rPr>
          <w:rFonts w:ascii="Book Antiqua" w:hAnsi="Book Antiqua"/>
          <w:bCs/>
          <w:lang w:val="es-PR"/>
        </w:rPr>
        <w:t xml:space="preserve">los </w:t>
      </w:r>
      <w:r w:rsidRPr="002C44F0">
        <w:rPr>
          <w:rFonts w:ascii="Book Antiqua" w:hAnsi="Book Antiqua"/>
          <w:bCs/>
          <w:lang w:val="es-PR"/>
        </w:rPr>
        <w:t>testimonio</w:t>
      </w:r>
      <w:r w:rsidR="00434EFC" w:rsidRPr="002C44F0">
        <w:rPr>
          <w:rFonts w:ascii="Book Antiqua" w:hAnsi="Book Antiqua"/>
          <w:bCs/>
          <w:lang w:val="es-PR"/>
        </w:rPr>
        <w:t>s</w:t>
      </w:r>
      <w:r w:rsidRPr="002C44F0">
        <w:rPr>
          <w:rFonts w:ascii="Book Antiqua" w:hAnsi="Book Antiqua"/>
          <w:bCs/>
          <w:lang w:val="es-PR"/>
        </w:rPr>
        <w:t xml:space="preserve"> necesari</w:t>
      </w:r>
      <w:r w:rsidR="00173834" w:rsidRPr="002C44F0">
        <w:rPr>
          <w:rFonts w:ascii="Book Antiqua" w:hAnsi="Book Antiqua"/>
          <w:bCs/>
          <w:lang w:val="es-PR"/>
        </w:rPr>
        <w:t>os</w:t>
      </w:r>
      <w:r w:rsidRPr="002C44F0">
        <w:rPr>
          <w:rFonts w:ascii="Book Antiqua" w:hAnsi="Book Antiqua"/>
          <w:bCs/>
          <w:lang w:val="es-PR"/>
        </w:rPr>
        <w:t xml:space="preserve"> </w:t>
      </w:r>
      <w:r w:rsidRPr="002C44F0">
        <w:rPr>
          <w:rFonts w:ascii="Book Antiqua" w:hAnsi="Book Antiqua"/>
          <w:bCs/>
          <w:lang w:val="es-PR"/>
        </w:rPr>
        <w:lastRenderedPageBreak/>
        <w:t>para dirimir la controversia</w:t>
      </w:r>
      <w:r w:rsidR="00C20F0D" w:rsidRPr="002C44F0">
        <w:rPr>
          <w:rFonts w:ascii="Book Antiqua" w:hAnsi="Book Antiqua"/>
          <w:bCs/>
          <w:lang w:val="es-PR"/>
        </w:rPr>
        <w:t xml:space="preserve"> de manera expedita</w:t>
      </w:r>
      <w:r w:rsidRPr="002C44F0">
        <w:rPr>
          <w:rFonts w:ascii="Book Antiqua" w:hAnsi="Book Antiqua"/>
          <w:bCs/>
          <w:lang w:val="es-PR"/>
        </w:rPr>
        <w:t xml:space="preserve">. </w:t>
      </w:r>
      <w:r w:rsidR="00C20F0D" w:rsidRPr="002C44F0">
        <w:rPr>
          <w:rFonts w:ascii="Book Antiqua" w:hAnsi="Book Antiqua"/>
          <w:bCs/>
          <w:lang w:val="es-PR"/>
        </w:rPr>
        <w:t>E</w:t>
      </w:r>
      <w:r w:rsidRPr="002C44F0">
        <w:rPr>
          <w:rFonts w:ascii="Book Antiqua" w:hAnsi="Book Antiqua"/>
          <w:bCs/>
          <w:lang w:val="es-PR"/>
        </w:rPr>
        <w:t xml:space="preserve">s también </w:t>
      </w:r>
      <w:r w:rsidR="00173834" w:rsidRPr="002C44F0">
        <w:rPr>
          <w:rFonts w:ascii="Book Antiqua" w:hAnsi="Book Antiqua"/>
          <w:bCs/>
          <w:lang w:val="es-PR"/>
        </w:rPr>
        <w:t>se tiene que</w:t>
      </w:r>
      <w:r w:rsidRPr="002C44F0">
        <w:rPr>
          <w:rFonts w:ascii="Book Antiqua" w:hAnsi="Book Antiqua"/>
          <w:bCs/>
          <w:lang w:val="es-PR"/>
        </w:rPr>
        <w:t xml:space="preserve"> considerar que el traslado de la jurisdicción primaria del DACo hacia el foro judicial no necesariamente resultará en un proceso más rápido o ágil, ya que los tribunales operan bajo reglas y términos formales que en muchos casos podrían generar </w:t>
      </w:r>
      <w:r w:rsidR="00173834" w:rsidRPr="002C44F0">
        <w:rPr>
          <w:rFonts w:ascii="Book Antiqua" w:hAnsi="Book Antiqua"/>
          <w:bCs/>
          <w:lang w:val="es-PR"/>
        </w:rPr>
        <w:t xml:space="preserve">aún </w:t>
      </w:r>
      <w:r w:rsidRPr="002C44F0">
        <w:rPr>
          <w:rFonts w:ascii="Book Antiqua" w:hAnsi="Book Antiqua"/>
          <w:bCs/>
          <w:lang w:val="es-PR"/>
        </w:rPr>
        <w:t xml:space="preserve">mayor dilación.  </w:t>
      </w:r>
    </w:p>
    <w:p w14:paraId="48E1414A" w14:textId="77777777" w:rsidR="00F46A63" w:rsidRPr="002C44F0" w:rsidRDefault="00F46A63" w:rsidP="00F46A63">
      <w:pPr>
        <w:suppressLineNumbers/>
        <w:ind w:firstLine="708"/>
        <w:jc w:val="both"/>
        <w:rPr>
          <w:rFonts w:ascii="Book Antiqua" w:hAnsi="Book Antiqua"/>
          <w:bCs/>
          <w:lang w:val="es-PR"/>
        </w:rPr>
      </w:pPr>
    </w:p>
    <w:p w14:paraId="2194A75D" w14:textId="77777777" w:rsidR="00116204" w:rsidRDefault="00F92970" w:rsidP="00F46A63">
      <w:pPr>
        <w:suppressLineNumbers/>
        <w:ind w:firstLine="708"/>
        <w:jc w:val="both"/>
        <w:rPr>
          <w:rFonts w:ascii="Book Antiqua" w:hAnsi="Book Antiqua"/>
          <w:lang w:val="es-PR"/>
        </w:rPr>
      </w:pPr>
      <w:r w:rsidRPr="002C44F0">
        <w:rPr>
          <w:rFonts w:ascii="Book Antiqua" w:hAnsi="Book Antiqua"/>
          <w:bCs/>
          <w:lang w:val="es-PR"/>
        </w:rPr>
        <w:t xml:space="preserve">Como alternativa, esta medida legislativa instituye un </w:t>
      </w:r>
      <w:r w:rsidRPr="002C44F0">
        <w:rPr>
          <w:rFonts w:ascii="Book Antiqua" w:hAnsi="Book Antiqua"/>
          <w:bCs/>
          <w:i/>
          <w:lang w:val="es-PR"/>
        </w:rPr>
        <w:t>Proceso Adjudicativo Expedito Alterno</w:t>
      </w:r>
      <w:r w:rsidRPr="002C44F0">
        <w:rPr>
          <w:rFonts w:ascii="Book Antiqua" w:hAnsi="Book Antiqua"/>
          <w:bCs/>
          <w:lang w:val="es-PR"/>
        </w:rPr>
        <w:t>; análogo al proceso judicial de sentencia sumaria</w:t>
      </w:r>
      <w:r w:rsidR="00C20F0D" w:rsidRPr="002C44F0">
        <w:rPr>
          <w:rFonts w:ascii="Book Antiqua" w:hAnsi="Book Antiqua"/>
          <w:bCs/>
          <w:lang w:val="es-PR"/>
        </w:rPr>
        <w:t>.</w:t>
      </w:r>
      <w:r w:rsidRPr="002C44F0">
        <w:rPr>
          <w:rFonts w:ascii="Book Antiqua" w:hAnsi="Book Antiqua"/>
          <w:bCs/>
          <w:lang w:val="es-PR"/>
        </w:rPr>
        <w:t xml:space="preserve"> </w:t>
      </w:r>
      <w:r w:rsidR="00C20F0D" w:rsidRPr="002C44F0">
        <w:rPr>
          <w:rFonts w:ascii="Book Antiqua" w:hAnsi="Book Antiqua"/>
          <w:bCs/>
          <w:lang w:val="es-PR"/>
        </w:rPr>
        <w:t xml:space="preserve">Este proceso será de aplicación a la </w:t>
      </w:r>
      <w:r w:rsidRPr="002C44F0">
        <w:rPr>
          <w:rFonts w:ascii="Book Antiqua" w:hAnsi="Book Antiqua"/>
          <w:bCs/>
          <w:lang w:val="es-PR"/>
        </w:rPr>
        <w:t>resolución de querellas</w:t>
      </w:r>
      <w:r w:rsidR="00C20F0D" w:rsidRPr="002C44F0">
        <w:rPr>
          <w:rFonts w:ascii="Book Antiqua" w:hAnsi="Book Antiqua"/>
          <w:bCs/>
          <w:lang w:val="es-PR"/>
        </w:rPr>
        <w:t xml:space="preserve"> </w:t>
      </w:r>
      <w:r w:rsidR="00173834" w:rsidRPr="002C44F0">
        <w:rPr>
          <w:rFonts w:ascii="Book Antiqua" w:hAnsi="Book Antiqua"/>
          <w:bCs/>
          <w:lang w:val="es-PR"/>
        </w:rPr>
        <w:t xml:space="preserve">presentadas </w:t>
      </w:r>
      <w:r w:rsidR="00C20F0D" w:rsidRPr="002C44F0">
        <w:rPr>
          <w:rFonts w:ascii="Book Antiqua" w:hAnsi="Book Antiqua"/>
          <w:bCs/>
          <w:lang w:val="es-PR"/>
        </w:rPr>
        <w:t xml:space="preserve">contra </w:t>
      </w:r>
      <w:r w:rsidR="00173834" w:rsidRPr="002C44F0">
        <w:rPr>
          <w:rFonts w:ascii="Book Antiqua" w:hAnsi="Book Antiqua"/>
          <w:bCs/>
          <w:lang w:val="es-PR"/>
        </w:rPr>
        <w:t>el</w:t>
      </w:r>
      <w:r w:rsidR="00C20F0D" w:rsidRPr="002C44F0">
        <w:rPr>
          <w:rFonts w:ascii="Book Antiqua" w:hAnsi="Book Antiqua"/>
          <w:bCs/>
          <w:lang w:val="es-PR"/>
        </w:rPr>
        <w:t xml:space="preserve"> Consejo de Titulares, </w:t>
      </w:r>
      <w:r w:rsidR="00173834" w:rsidRPr="002C44F0">
        <w:rPr>
          <w:rFonts w:ascii="Book Antiqua" w:hAnsi="Book Antiqua"/>
          <w:bCs/>
          <w:lang w:val="es-PR"/>
        </w:rPr>
        <w:t>la</w:t>
      </w:r>
      <w:r w:rsidR="00C20F0D" w:rsidRPr="002C44F0">
        <w:rPr>
          <w:rFonts w:ascii="Book Antiqua" w:hAnsi="Book Antiqua"/>
          <w:bCs/>
          <w:lang w:val="es-PR"/>
        </w:rPr>
        <w:t xml:space="preserve"> Junta de Directores o el Síndico</w:t>
      </w:r>
      <w:r w:rsidRPr="002C44F0">
        <w:rPr>
          <w:rFonts w:ascii="Book Antiqua" w:hAnsi="Book Antiqua"/>
          <w:bCs/>
          <w:lang w:val="es-PR"/>
        </w:rPr>
        <w:t xml:space="preserve"> </w:t>
      </w:r>
      <w:r w:rsidR="00173834" w:rsidRPr="002C44F0">
        <w:rPr>
          <w:rFonts w:ascii="Book Antiqua" w:hAnsi="Book Antiqua"/>
          <w:szCs w:val="24"/>
          <w:lang w:val="es-PR"/>
        </w:rPr>
        <w:t>de un condominio</w:t>
      </w:r>
      <w:r w:rsidR="000C6FD0" w:rsidRPr="002C44F0">
        <w:rPr>
          <w:rFonts w:ascii="Book Antiqua" w:hAnsi="Book Antiqua"/>
          <w:lang w:val="es-PR"/>
        </w:rPr>
        <w:t xml:space="preserve"> con al menos un apartamento de uso residencial</w:t>
      </w:r>
      <w:r w:rsidRPr="002C44F0">
        <w:rPr>
          <w:rFonts w:ascii="Book Antiqua" w:hAnsi="Book Antiqua"/>
          <w:bCs/>
          <w:lang w:val="es-PR"/>
        </w:rPr>
        <w:t>.</w:t>
      </w:r>
      <w:r w:rsidR="0014440D" w:rsidRPr="002C44F0">
        <w:rPr>
          <w:rStyle w:val="FootnoteReference"/>
          <w:rFonts w:ascii="Book Antiqua" w:hAnsi="Book Antiqua"/>
          <w:bCs/>
          <w:lang w:val="es-PR"/>
        </w:rPr>
        <w:footnoteReference w:id="6"/>
      </w:r>
      <w:r w:rsidRPr="002C44F0">
        <w:rPr>
          <w:rFonts w:ascii="Book Antiqua" w:hAnsi="Book Antiqua"/>
          <w:bCs/>
          <w:lang w:val="es-PR"/>
        </w:rPr>
        <w:t xml:space="preserve"> </w:t>
      </w:r>
      <w:r w:rsidR="00173834" w:rsidRPr="002C44F0">
        <w:rPr>
          <w:rFonts w:ascii="Book Antiqua" w:hAnsi="Book Antiqua"/>
          <w:bCs/>
          <w:lang w:val="es-PR"/>
        </w:rPr>
        <w:t>El proceso expedito se mantiene bajo la jurisdicción del DACo como foro administrativo en primera instancia, y provee un término estricto de sesenta</w:t>
      </w:r>
      <w:r w:rsidR="00173834" w:rsidRPr="002C44F0">
        <w:rPr>
          <w:rFonts w:ascii="Book Antiqua" w:hAnsi="Book Antiqua"/>
          <w:lang w:val="es-PR"/>
        </w:rPr>
        <w:t xml:space="preserve"> (60)</w:t>
      </w:r>
      <w:r w:rsidR="00173834" w:rsidRPr="002C44F0">
        <w:rPr>
          <w:rFonts w:ascii="Book Antiqua" w:hAnsi="Book Antiqua"/>
          <w:bCs/>
          <w:lang w:val="es-PR"/>
        </w:rPr>
        <w:t xml:space="preserve"> días para resolver la controversia</w:t>
      </w:r>
      <w:r w:rsidR="00116204" w:rsidRPr="002C44F0">
        <w:rPr>
          <w:rFonts w:ascii="Book Antiqua" w:hAnsi="Book Antiqua"/>
          <w:lang w:val="es-PR"/>
        </w:rPr>
        <w:t xml:space="preserve"> a partir de la radicación de la solicitud</w:t>
      </w:r>
      <w:r w:rsidR="00173834" w:rsidRPr="002C44F0">
        <w:rPr>
          <w:rFonts w:ascii="Book Antiqua" w:hAnsi="Book Antiqua"/>
          <w:bCs/>
          <w:lang w:val="es-PR"/>
        </w:rPr>
        <w:t>.</w:t>
      </w:r>
      <w:r w:rsidR="00116204" w:rsidRPr="002C44F0">
        <w:rPr>
          <w:rFonts w:ascii="Book Antiqua" w:hAnsi="Book Antiqua"/>
          <w:bCs/>
          <w:lang w:val="es-PR"/>
        </w:rPr>
        <w:t xml:space="preserve"> </w:t>
      </w:r>
      <w:r w:rsidRPr="002C44F0">
        <w:rPr>
          <w:rFonts w:ascii="Book Antiqua" w:hAnsi="Book Antiqua"/>
          <w:bCs/>
          <w:lang w:val="es-PR"/>
        </w:rPr>
        <w:t xml:space="preserve">Por su parte, el titular que </w:t>
      </w:r>
      <w:r w:rsidR="00116204" w:rsidRPr="002C44F0">
        <w:rPr>
          <w:rFonts w:ascii="Book Antiqua" w:hAnsi="Book Antiqua"/>
          <w:bCs/>
          <w:lang w:val="es-PR"/>
        </w:rPr>
        <w:t>s</w:t>
      </w:r>
      <w:r w:rsidRPr="002C44F0">
        <w:rPr>
          <w:rFonts w:ascii="Book Antiqua" w:hAnsi="Book Antiqua"/>
          <w:bCs/>
          <w:lang w:val="es-PR"/>
        </w:rPr>
        <w:t>e aco</w:t>
      </w:r>
      <w:r w:rsidR="00116204" w:rsidRPr="002C44F0">
        <w:rPr>
          <w:rFonts w:ascii="Book Antiqua" w:hAnsi="Book Antiqua"/>
          <w:bCs/>
          <w:lang w:val="es-PR"/>
        </w:rPr>
        <w:t>ja</w:t>
      </w:r>
      <w:r w:rsidRPr="002C44F0">
        <w:rPr>
          <w:rFonts w:ascii="Book Antiqua" w:hAnsi="Book Antiqua"/>
          <w:bCs/>
          <w:lang w:val="es-PR"/>
        </w:rPr>
        <w:t xml:space="preserve"> a este proceso vendrá obligado a presentar su caso de manera tal que</w:t>
      </w:r>
      <w:r w:rsidR="0002189C" w:rsidRPr="002C44F0">
        <w:rPr>
          <w:rFonts w:ascii="Book Antiqua" w:hAnsi="Book Antiqua"/>
          <w:bCs/>
          <w:lang w:val="es-PR"/>
        </w:rPr>
        <w:t xml:space="preserve"> coloque</w:t>
      </w:r>
      <w:r w:rsidRPr="002C44F0">
        <w:rPr>
          <w:rFonts w:ascii="Book Antiqua" w:hAnsi="Book Antiqua"/>
          <w:bCs/>
          <w:lang w:val="es-PR"/>
        </w:rPr>
        <w:t xml:space="preserve"> al DACo en posición de contar con </w:t>
      </w:r>
      <w:r w:rsidR="00116204" w:rsidRPr="002C44F0">
        <w:rPr>
          <w:rFonts w:ascii="Book Antiqua" w:hAnsi="Book Antiqua"/>
          <w:bCs/>
          <w:lang w:val="es-PR"/>
        </w:rPr>
        <w:t xml:space="preserve">toda </w:t>
      </w:r>
      <w:r w:rsidRPr="002C44F0">
        <w:rPr>
          <w:rFonts w:ascii="Book Antiqua" w:hAnsi="Book Antiqua"/>
          <w:bCs/>
          <w:lang w:val="es-PR"/>
        </w:rPr>
        <w:t>la evidencia y documentación necesaria para dilucidar la controversia sin la necesidad de requerir testimonio o evidencia significativa adicional.</w:t>
      </w:r>
      <w:r w:rsidR="00116204" w:rsidRPr="002C44F0">
        <w:rPr>
          <w:rFonts w:ascii="Book Antiqua" w:hAnsi="Book Antiqua"/>
          <w:bCs/>
          <w:lang w:val="es-PR"/>
        </w:rPr>
        <w:t xml:space="preserve"> </w:t>
      </w:r>
      <w:r w:rsidR="00116204" w:rsidRPr="002C44F0">
        <w:rPr>
          <w:rFonts w:ascii="Book Antiqua" w:hAnsi="Book Antiqua"/>
          <w:lang w:val="es-PR"/>
        </w:rPr>
        <w:t xml:space="preserve">De incumplirse el término de sesenta (60) días para resolver un caso sometido mediante el Proceso Adjudicativo Expedito Alterno, el querellante podrá presentar su acción de impugnación ante el Tribunal de Primera Instancia. </w:t>
      </w:r>
    </w:p>
    <w:p w14:paraId="0EAD39F0" w14:textId="77777777" w:rsidR="00F46A63" w:rsidRPr="002C44F0" w:rsidRDefault="00F46A63" w:rsidP="00F46A63">
      <w:pPr>
        <w:suppressLineNumbers/>
        <w:ind w:firstLine="708"/>
        <w:jc w:val="both"/>
        <w:rPr>
          <w:rFonts w:ascii="Book Antiqua" w:hAnsi="Book Antiqua"/>
          <w:lang w:val="es-PR"/>
        </w:rPr>
      </w:pPr>
    </w:p>
    <w:p w14:paraId="5EE56915" w14:textId="77777777" w:rsidR="00A414E7" w:rsidRDefault="00116204" w:rsidP="00F46A63">
      <w:pPr>
        <w:suppressLineNumbers/>
        <w:ind w:firstLine="708"/>
        <w:jc w:val="both"/>
        <w:rPr>
          <w:rFonts w:ascii="Book Antiqua" w:hAnsi="Book Antiqua"/>
          <w:lang w:val="es-PR"/>
        </w:rPr>
      </w:pPr>
      <w:r w:rsidRPr="002C44F0">
        <w:rPr>
          <w:rFonts w:ascii="Book Antiqua" w:hAnsi="Book Antiqua"/>
          <w:lang w:val="es-PR"/>
        </w:rPr>
        <w:t>Así, mediante esta legislación</w:t>
      </w:r>
      <w:r w:rsidR="004A4A76" w:rsidRPr="002C44F0">
        <w:rPr>
          <w:rFonts w:ascii="Book Antiqua" w:hAnsi="Book Antiqua"/>
          <w:lang w:val="es-PR"/>
        </w:rPr>
        <w:t xml:space="preserve">, se preserva el principio de agotamiento de remedios administrativos para ganar acceso al foro judicial </w:t>
      </w:r>
      <w:r w:rsidRPr="002C44F0">
        <w:rPr>
          <w:rFonts w:ascii="Book Antiqua" w:hAnsi="Book Antiqua"/>
          <w:lang w:val="es-PR"/>
        </w:rPr>
        <w:t>instituye</w:t>
      </w:r>
      <w:r w:rsidR="004A4A76" w:rsidRPr="002C44F0">
        <w:rPr>
          <w:rFonts w:ascii="Book Antiqua" w:hAnsi="Book Antiqua"/>
          <w:lang w:val="es-PR"/>
        </w:rPr>
        <w:t>ndo</w:t>
      </w:r>
      <w:r w:rsidR="00BC2518" w:rsidRPr="002C44F0">
        <w:rPr>
          <w:rFonts w:ascii="Book Antiqua" w:hAnsi="Book Antiqua"/>
          <w:lang w:val="es-PR"/>
        </w:rPr>
        <w:t xml:space="preserve"> un proceso </w:t>
      </w:r>
      <w:r w:rsidR="00C05BD7" w:rsidRPr="002C44F0">
        <w:rPr>
          <w:rFonts w:ascii="Book Antiqua" w:hAnsi="Book Antiqua"/>
          <w:lang w:val="es-PR"/>
        </w:rPr>
        <w:t xml:space="preserve">ágil </w:t>
      </w:r>
      <w:r w:rsidR="00BC2518" w:rsidRPr="002C44F0">
        <w:rPr>
          <w:rFonts w:ascii="Book Antiqua" w:hAnsi="Book Antiqua"/>
          <w:lang w:val="es-PR"/>
        </w:rPr>
        <w:t>para la solución de controversias dentro de la jurisdicción del foro administrativo especializado</w:t>
      </w:r>
      <w:r w:rsidR="00140D61" w:rsidRPr="002C44F0">
        <w:rPr>
          <w:rFonts w:ascii="Book Antiqua" w:hAnsi="Book Antiqua"/>
          <w:lang w:val="es-PR"/>
        </w:rPr>
        <w:t>, el DACo</w:t>
      </w:r>
      <w:r w:rsidR="00BC2518" w:rsidRPr="002C44F0">
        <w:rPr>
          <w:rFonts w:ascii="Book Antiqua" w:hAnsi="Book Antiqua"/>
          <w:lang w:val="es-PR"/>
        </w:rPr>
        <w:t xml:space="preserve">; </w:t>
      </w:r>
      <w:r w:rsidR="004A4A76" w:rsidRPr="002C44F0">
        <w:rPr>
          <w:rFonts w:ascii="Book Antiqua" w:hAnsi="Book Antiqua"/>
          <w:lang w:val="es-PR"/>
        </w:rPr>
        <w:t>a la vez</w:t>
      </w:r>
      <w:r w:rsidR="00BC2518" w:rsidRPr="002C44F0">
        <w:rPr>
          <w:rFonts w:ascii="Book Antiqua" w:hAnsi="Book Antiqua"/>
          <w:lang w:val="es-PR"/>
        </w:rPr>
        <w:t xml:space="preserve"> que se </w:t>
      </w:r>
      <w:r w:rsidR="004A4A76" w:rsidRPr="002C44F0">
        <w:rPr>
          <w:rFonts w:ascii="Book Antiqua" w:hAnsi="Book Antiqua"/>
          <w:lang w:val="es-PR"/>
        </w:rPr>
        <w:t>autoriza el</w:t>
      </w:r>
      <w:r w:rsidR="00BC2518" w:rsidRPr="002C44F0">
        <w:rPr>
          <w:rFonts w:ascii="Book Antiqua" w:hAnsi="Book Antiqua"/>
          <w:lang w:val="es-PR"/>
        </w:rPr>
        <w:t xml:space="preserve"> acce</w:t>
      </w:r>
      <w:r w:rsidR="004A4A76" w:rsidRPr="002C44F0">
        <w:rPr>
          <w:rFonts w:ascii="Book Antiqua" w:hAnsi="Book Antiqua"/>
          <w:lang w:val="es-PR"/>
        </w:rPr>
        <w:t>so</w:t>
      </w:r>
      <w:r w:rsidR="00BC2518" w:rsidRPr="002C44F0">
        <w:rPr>
          <w:rFonts w:ascii="Book Antiqua" w:hAnsi="Book Antiqua"/>
          <w:lang w:val="es-PR"/>
        </w:rPr>
        <w:t xml:space="preserve"> al foro judicial cuando el proceso administrativo se dilate</w:t>
      </w:r>
      <w:r w:rsidR="004A4A76" w:rsidRPr="002C44F0">
        <w:rPr>
          <w:rFonts w:ascii="Book Antiqua" w:hAnsi="Book Antiqua"/>
          <w:lang w:val="es-PR"/>
        </w:rPr>
        <w:t xml:space="preserve"> innecesariamente</w:t>
      </w:r>
      <w:r w:rsidR="00F92970" w:rsidRPr="002C44F0">
        <w:rPr>
          <w:rFonts w:ascii="Book Antiqua" w:hAnsi="Book Antiqua"/>
          <w:lang w:val="es-PR"/>
        </w:rPr>
        <w:t>.</w:t>
      </w:r>
    </w:p>
    <w:p w14:paraId="3EC116A0" w14:textId="77777777" w:rsidR="00F46A63" w:rsidRPr="002C44F0" w:rsidRDefault="00F46A63" w:rsidP="00F46A63">
      <w:pPr>
        <w:suppressLineNumbers/>
        <w:ind w:firstLine="708"/>
        <w:jc w:val="both"/>
        <w:rPr>
          <w:rFonts w:ascii="Book Antiqua" w:hAnsi="Book Antiqua"/>
          <w:bCs/>
          <w:lang w:val="es-PR"/>
        </w:rPr>
      </w:pPr>
    </w:p>
    <w:p w14:paraId="21FD43B7" w14:textId="77777777" w:rsidR="00471383" w:rsidRPr="00F46A63" w:rsidRDefault="00771A24" w:rsidP="00F46A63">
      <w:pPr>
        <w:suppressLineNumbers/>
        <w:spacing w:line="480" w:lineRule="auto"/>
        <w:jc w:val="both"/>
        <w:rPr>
          <w:rFonts w:ascii="Book Antiqua" w:hAnsi="Book Antiqua"/>
          <w:bCs/>
          <w:i/>
          <w:iCs/>
          <w:lang w:val="es-PR"/>
        </w:rPr>
      </w:pPr>
      <w:r w:rsidRPr="00F46A63">
        <w:rPr>
          <w:rFonts w:ascii="Book Antiqua" w:hAnsi="Book Antiqua"/>
          <w:bCs/>
          <w:i/>
          <w:iCs/>
          <w:lang w:val="es-PR"/>
        </w:rPr>
        <w:t>D</w:t>
      </w:r>
      <w:r w:rsidR="00471383" w:rsidRPr="00F46A63">
        <w:rPr>
          <w:rFonts w:ascii="Book Antiqua" w:hAnsi="Book Antiqua"/>
          <w:bCs/>
          <w:i/>
          <w:iCs/>
          <w:lang w:val="es-PR"/>
        </w:rPr>
        <w:t>ECRÉTASE POR LA ASAMBLEA LEGISLATIVA DE PUERTO RICO:</w:t>
      </w:r>
    </w:p>
    <w:p w14:paraId="0C1B8B57" w14:textId="77777777" w:rsidR="00F761B9" w:rsidRPr="002C44F0" w:rsidRDefault="00F761B9" w:rsidP="00F46A63">
      <w:pPr>
        <w:spacing w:line="480" w:lineRule="auto"/>
        <w:jc w:val="both"/>
        <w:rPr>
          <w:rFonts w:ascii="Book Antiqua" w:hAnsi="Book Antiqua"/>
          <w:lang w:val="es-PR"/>
        </w:rPr>
      </w:pPr>
      <w:r w:rsidRPr="00CF7A73">
        <w:rPr>
          <w:rFonts w:ascii="Book Antiqua" w:hAnsi="Book Antiqua"/>
          <w:bCs/>
          <w:lang w:val="es-PR"/>
        </w:rPr>
        <w:t>Sección 1.</w:t>
      </w:r>
      <w:r w:rsidRPr="002C44F0">
        <w:rPr>
          <w:rFonts w:ascii="Book Antiqua" w:hAnsi="Book Antiqua"/>
          <w:lang w:val="es-PR"/>
        </w:rPr>
        <w:t xml:space="preserve"> Se </w:t>
      </w:r>
      <w:r w:rsidR="00B75048" w:rsidRPr="002C44F0">
        <w:rPr>
          <w:rFonts w:ascii="Book Antiqua" w:hAnsi="Book Antiqua"/>
          <w:lang w:val="es-PR"/>
        </w:rPr>
        <w:t>deroga</w:t>
      </w:r>
      <w:r w:rsidRPr="002C44F0">
        <w:rPr>
          <w:rFonts w:ascii="Book Antiqua" w:hAnsi="Book Antiqua"/>
          <w:lang w:val="es-PR"/>
        </w:rPr>
        <w:t xml:space="preserve"> </w:t>
      </w:r>
      <w:r w:rsidR="0084467B" w:rsidRPr="002C44F0">
        <w:rPr>
          <w:rFonts w:ascii="Book Antiqua" w:hAnsi="Book Antiqua"/>
          <w:lang w:val="es-PR"/>
        </w:rPr>
        <w:t xml:space="preserve">el </w:t>
      </w:r>
      <w:r w:rsidR="00F92970" w:rsidRPr="002C44F0">
        <w:rPr>
          <w:rFonts w:ascii="Book Antiqua" w:hAnsi="Book Antiqua"/>
          <w:lang w:val="es-PR"/>
        </w:rPr>
        <w:t>Artículo 65</w:t>
      </w:r>
      <w:r w:rsidR="0084467B" w:rsidRPr="002C44F0">
        <w:rPr>
          <w:rFonts w:ascii="Book Antiqua" w:hAnsi="Book Antiqua"/>
          <w:lang w:val="es-PR"/>
        </w:rPr>
        <w:t xml:space="preserve"> de la</w:t>
      </w:r>
      <w:r w:rsidR="00F92970" w:rsidRPr="002C44F0">
        <w:rPr>
          <w:rFonts w:ascii="Book Antiqua" w:hAnsi="Book Antiqua"/>
          <w:lang w:val="es-PR"/>
        </w:rPr>
        <w:t xml:space="preserve"> Ley de Condominios de Puerto Rico,</w:t>
      </w:r>
      <w:r w:rsidR="0084467B" w:rsidRPr="002C44F0">
        <w:rPr>
          <w:rFonts w:ascii="Book Antiqua" w:hAnsi="Book Antiqua"/>
          <w:lang w:val="es-PR"/>
        </w:rPr>
        <w:t xml:space="preserve"> Ley </w:t>
      </w:r>
      <w:r w:rsidR="00C827F0" w:rsidRPr="002C44F0">
        <w:rPr>
          <w:rFonts w:ascii="Book Antiqua" w:hAnsi="Book Antiqua"/>
          <w:lang w:val="es-PR"/>
        </w:rPr>
        <w:t xml:space="preserve">Núm. </w:t>
      </w:r>
      <w:r w:rsidR="00F92970" w:rsidRPr="002C44F0">
        <w:rPr>
          <w:rFonts w:ascii="Book Antiqua" w:hAnsi="Book Antiqua"/>
          <w:lang w:val="es-PR"/>
        </w:rPr>
        <w:t>129 de 16 de agosto de 2020</w:t>
      </w:r>
      <w:r w:rsidRPr="002C44F0">
        <w:rPr>
          <w:rFonts w:ascii="Book Antiqua" w:hAnsi="Book Antiqua"/>
          <w:lang w:val="es-PR"/>
        </w:rPr>
        <w:t>,</w:t>
      </w:r>
      <w:r w:rsidR="00B75048" w:rsidRPr="002C44F0">
        <w:rPr>
          <w:rFonts w:ascii="Book Antiqua" w:hAnsi="Book Antiqua"/>
          <w:lang w:val="es-PR"/>
        </w:rPr>
        <w:t xml:space="preserve"> y se </w:t>
      </w:r>
      <w:r w:rsidR="00C05BD7" w:rsidRPr="002C44F0">
        <w:rPr>
          <w:rFonts w:ascii="Book Antiqua" w:hAnsi="Book Antiqua"/>
          <w:lang w:val="es-PR"/>
        </w:rPr>
        <w:t>añade</w:t>
      </w:r>
      <w:r w:rsidR="00B75048" w:rsidRPr="002C44F0">
        <w:rPr>
          <w:rFonts w:ascii="Book Antiqua" w:hAnsi="Book Antiqua"/>
          <w:lang w:val="es-PR"/>
        </w:rPr>
        <w:t xml:space="preserve"> un nuevo Artículo 65</w:t>
      </w:r>
      <w:r w:rsidRPr="002C44F0">
        <w:rPr>
          <w:rFonts w:ascii="Book Antiqua" w:hAnsi="Book Antiqua"/>
          <w:lang w:val="es-PR"/>
        </w:rPr>
        <w:t xml:space="preserve"> para que</w:t>
      </w:r>
      <w:r w:rsidR="00C827F0" w:rsidRPr="002C44F0">
        <w:rPr>
          <w:rFonts w:ascii="Book Antiqua" w:hAnsi="Book Antiqua"/>
          <w:lang w:val="es-PR"/>
        </w:rPr>
        <w:t xml:space="preserve"> se</w:t>
      </w:r>
      <w:r w:rsidRPr="002C44F0">
        <w:rPr>
          <w:rFonts w:ascii="Book Antiqua" w:hAnsi="Book Antiqua"/>
          <w:lang w:val="es-PR"/>
        </w:rPr>
        <w:t xml:space="preserve"> lea como sigue:</w:t>
      </w:r>
    </w:p>
    <w:p w14:paraId="17BD4380" w14:textId="77777777" w:rsidR="001D240D" w:rsidRPr="002C44F0" w:rsidRDefault="001D240D" w:rsidP="00F46A63">
      <w:pPr>
        <w:spacing w:line="480" w:lineRule="auto"/>
        <w:ind w:left="360" w:right="360"/>
        <w:jc w:val="both"/>
        <w:rPr>
          <w:rFonts w:ascii="Book Antiqua" w:hAnsi="Book Antiqua"/>
          <w:b/>
          <w:lang w:val="es-PR"/>
        </w:rPr>
      </w:pPr>
      <w:r w:rsidRPr="002C44F0">
        <w:rPr>
          <w:rFonts w:ascii="Book Antiqua" w:hAnsi="Book Antiqua"/>
          <w:lang w:val="es-PR"/>
        </w:rPr>
        <w:t>“</w:t>
      </w:r>
      <w:r w:rsidRPr="002C44F0">
        <w:rPr>
          <w:rFonts w:ascii="Book Antiqua" w:hAnsi="Book Antiqua"/>
          <w:b/>
          <w:lang w:val="es-PR"/>
        </w:rPr>
        <w:t xml:space="preserve">[Artículo 65. — Impugnaciones de Acciones u Omisiones de la Junta de Directores, Administrador Interino y Acuerdos y Determinaciones del Consejo. </w:t>
      </w:r>
    </w:p>
    <w:p w14:paraId="52D3567F"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lastRenderedPageBreak/>
        <w:t xml:space="preserve">Las acciones u omisiones de la Junta de Directores, del Administrador Interino, del Agente Administrador así como los acuerdos del Consejo de Titulares podrán ser impugnados por los titulares en los siguientes supuestos: </w:t>
      </w:r>
    </w:p>
    <w:p w14:paraId="10AA2D8A" w14:textId="77777777" w:rsidR="001D240D" w:rsidRPr="002C44F0" w:rsidRDefault="001D240D" w:rsidP="00F46A63">
      <w:pPr>
        <w:spacing w:line="480" w:lineRule="auto"/>
        <w:ind w:left="1080" w:right="360"/>
        <w:jc w:val="both"/>
        <w:rPr>
          <w:rFonts w:ascii="Book Antiqua" w:hAnsi="Book Antiqua"/>
          <w:b/>
          <w:lang w:val="es-PR"/>
        </w:rPr>
      </w:pPr>
      <w:r w:rsidRPr="002C44F0">
        <w:rPr>
          <w:rFonts w:ascii="Book Antiqua" w:hAnsi="Book Antiqua"/>
          <w:b/>
          <w:lang w:val="es-PR"/>
        </w:rPr>
        <w:t xml:space="preserve">a) cuando sean contrarios a esta Ley, la escritura matriz y reglamento del condominio; </w:t>
      </w:r>
    </w:p>
    <w:p w14:paraId="6BA1D415" w14:textId="77777777" w:rsidR="001D240D" w:rsidRPr="002C44F0" w:rsidRDefault="001D240D" w:rsidP="00F46A63">
      <w:pPr>
        <w:spacing w:line="480" w:lineRule="auto"/>
        <w:ind w:left="1080" w:right="360"/>
        <w:jc w:val="both"/>
        <w:rPr>
          <w:rFonts w:ascii="Book Antiqua" w:hAnsi="Book Antiqua"/>
          <w:b/>
          <w:lang w:val="es-PR"/>
        </w:rPr>
      </w:pPr>
      <w:r w:rsidRPr="002C44F0">
        <w:rPr>
          <w:rFonts w:ascii="Book Antiqua" w:hAnsi="Book Antiqua"/>
          <w:b/>
          <w:lang w:val="es-PR"/>
        </w:rPr>
        <w:t xml:space="preserve">b) cuando resulten gravemente perjudiciales a los intereses de la comunidad o a un titular; </w:t>
      </w:r>
    </w:p>
    <w:p w14:paraId="3A521860" w14:textId="77777777" w:rsidR="001D240D" w:rsidRPr="002C44F0" w:rsidRDefault="001D240D" w:rsidP="00F46A63">
      <w:pPr>
        <w:spacing w:line="480" w:lineRule="auto"/>
        <w:ind w:left="1080" w:right="360"/>
        <w:jc w:val="both"/>
        <w:rPr>
          <w:rFonts w:ascii="Book Antiqua" w:hAnsi="Book Antiqua"/>
          <w:b/>
          <w:lang w:val="es-PR"/>
        </w:rPr>
      </w:pPr>
      <w:r w:rsidRPr="002C44F0">
        <w:rPr>
          <w:rFonts w:ascii="Book Antiqua" w:hAnsi="Book Antiqua"/>
          <w:b/>
          <w:lang w:val="es-PR"/>
        </w:rPr>
        <w:t xml:space="preserve">c) cuando resulten gravemente perjudiciales para algún titular que no tenga obligación jurídica para soportarlo y no haya sido previsible al momento de la compra. </w:t>
      </w:r>
    </w:p>
    <w:p w14:paraId="7A7DE055"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t xml:space="preserve">Los titulares que sean dueños de apartamentos en condominios que sean dedicados exclusivamente a uso comercial, tendrán que presentar la impugnación ante el Tribunal de Primera Instancia, el cual tendrá jurisdicción primaria y exclusiva. En el caso de los titulares sean dueños de apartamentos en condominios con al menos un apartamento de uso residencial, la jurisdicción será primaria y exclusiva del Departamento de Asuntos del Consumidor, así como cualquier reclamación presentada en contra del agente administrador. </w:t>
      </w:r>
    </w:p>
    <w:p w14:paraId="4A140554"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t xml:space="preserve">Para todo tipo de impugnación se tendrán treinta (30) días contados a partir de la fecha en que se tomó dicho acuerdo o determinación, si se hizo en su presencia, o dentro de los treinta (30) días siguientes a la fecha en que recibe la notificación del acuerdo, si el titular afectado no estuvo presente en el momento en que se llegó a tal acuerdo o determinación. </w:t>
      </w:r>
    </w:p>
    <w:p w14:paraId="7D1D4972"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lastRenderedPageBreak/>
        <w:t xml:space="preserve">En el caso de que la acción de impugnación de acuerdos, acciones u omisiones de la Junta de Directores, del Administrador Interino, del Agente Administrador o del Consejo de Titulares, constituyan violaciones a las disposiciones de esta Ley, de la escritura matriz o del reglamento del condominio, prescribirá a los dos (2) años. El término se computará a partir de la fecha en que se tomó la acción, omisión o acuerdo si fue en la presencia del titular o a partir de la notificación de este si no fue en su presencia. El acuerdo tiene que haberse notificado conforme a las disposiciones de esta Ley. </w:t>
      </w:r>
    </w:p>
    <w:p w14:paraId="679783C3"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t>El titular que quiera impugnar una acción u omisión de la Junta de Directores, del Administrador Interino, del Agente Administrador o un acuerdo del Consejo de Titulares tendrá que demostrar que no tiene ningún tipo de deuda con el Consejo de Titulares y que entregó copia del documento mediante el cual adquirió su apartamento a la Junta de Directores. Será excepción al requisito de no deuda, cuando la impugnación sea para cuestionar la deuda que alegadamente tiene. En el caso de la impugnación de acuerdos del Consejo de Titulares tendrá que acreditar que estuvo presente o representado en la asamblea en que se tomó el acuerdo que impugna y que votó en contra de este. Si estuvo ausente a pesar de que fue debidamente notificado deberá probar que su ausencia estuvo justificada.</w:t>
      </w:r>
    </w:p>
    <w:p w14:paraId="3AA6B8AA"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t xml:space="preserve">El foro con jurisdicción en el que se diluciden las querellas o acciones de impugnación, le impondrá a la parte que hubiese procedido con temeridad el pago de costas y honorarios de abogados. </w:t>
      </w:r>
    </w:p>
    <w:p w14:paraId="29073005" w14:textId="77777777" w:rsidR="001D240D" w:rsidRPr="002C44F0" w:rsidRDefault="001D240D" w:rsidP="00F46A63">
      <w:pPr>
        <w:spacing w:line="480" w:lineRule="auto"/>
        <w:ind w:left="360" w:right="360" w:firstLine="720"/>
        <w:jc w:val="both"/>
        <w:rPr>
          <w:rFonts w:ascii="Book Antiqua" w:hAnsi="Book Antiqua"/>
          <w:b/>
          <w:lang w:val="es-PR"/>
        </w:rPr>
      </w:pPr>
      <w:r w:rsidRPr="002C44F0">
        <w:rPr>
          <w:rFonts w:ascii="Book Antiqua" w:hAnsi="Book Antiqua"/>
          <w:b/>
          <w:lang w:val="es-PR"/>
        </w:rPr>
        <w:lastRenderedPageBreak/>
        <w:t>El titular que prevalezca en cualquier reclamación de su querella no tendrá que contribuir a los honorarios o gastos legales en que incurra la Junta o el Consejo de Titulares, ni a la multa que, en su caso, pudiera imponérsele a la parte querellada.]</w:t>
      </w:r>
    </w:p>
    <w:p w14:paraId="13C9F6A0" w14:textId="77777777" w:rsidR="00B75048" w:rsidRPr="00A640D9" w:rsidRDefault="00B75048" w:rsidP="00F46A63">
      <w:pPr>
        <w:pStyle w:val="Default"/>
        <w:spacing w:line="480" w:lineRule="auto"/>
        <w:ind w:left="360"/>
        <w:jc w:val="both"/>
        <w:rPr>
          <w:rFonts w:ascii="Book Antiqua" w:hAnsi="Book Antiqua"/>
          <w:i/>
        </w:rPr>
      </w:pPr>
      <w:r w:rsidRPr="00A640D9">
        <w:rPr>
          <w:rFonts w:ascii="Book Antiqua" w:hAnsi="Book Antiqua"/>
          <w:bCs/>
          <w:i/>
        </w:rPr>
        <w:t>Artículo 65. — Jurisdicción Sobre Controversias, e Impugnaciones de Acciones u Omisiones de la Junta de Directores, Administrador Interino y Acuerdos y Determinaciones del Consejo de Titulares</w:t>
      </w:r>
    </w:p>
    <w:p w14:paraId="4607248D" w14:textId="77777777" w:rsidR="00C72968" w:rsidRPr="00A640D9" w:rsidRDefault="00B75048" w:rsidP="00F46A63">
      <w:pPr>
        <w:spacing w:line="480" w:lineRule="auto"/>
        <w:ind w:left="360"/>
        <w:jc w:val="both"/>
        <w:rPr>
          <w:rFonts w:ascii="Book Antiqua" w:hAnsi="Book Antiqua"/>
          <w:i/>
          <w:szCs w:val="24"/>
          <w:lang w:val="es-PR"/>
        </w:rPr>
      </w:pPr>
      <w:r w:rsidRPr="00A640D9">
        <w:rPr>
          <w:rFonts w:ascii="Book Antiqua" w:hAnsi="Book Antiqua"/>
          <w:i/>
          <w:szCs w:val="24"/>
          <w:lang w:val="es-PR"/>
        </w:rPr>
        <w:t xml:space="preserve">A. </w:t>
      </w:r>
      <w:r w:rsidR="00C72968" w:rsidRPr="00A640D9">
        <w:rPr>
          <w:rFonts w:ascii="Book Antiqua" w:hAnsi="Book Antiqua"/>
          <w:i/>
          <w:szCs w:val="24"/>
          <w:lang w:val="es-PR"/>
        </w:rPr>
        <w:t xml:space="preserve">Acción de Impugnación: </w:t>
      </w:r>
    </w:p>
    <w:p w14:paraId="1B12198E" w14:textId="77777777" w:rsidR="00B75048" w:rsidRPr="00A640D9" w:rsidRDefault="00B75048" w:rsidP="00F46A63">
      <w:pPr>
        <w:spacing w:line="480" w:lineRule="auto"/>
        <w:ind w:left="360"/>
        <w:jc w:val="both"/>
        <w:rPr>
          <w:rFonts w:ascii="Book Antiqua" w:hAnsi="Book Antiqua"/>
          <w:i/>
          <w:szCs w:val="24"/>
          <w:lang w:val="es-PR"/>
        </w:rPr>
      </w:pPr>
      <w:r w:rsidRPr="00A640D9">
        <w:rPr>
          <w:rFonts w:ascii="Book Antiqua" w:hAnsi="Book Antiqua"/>
          <w:i/>
          <w:szCs w:val="24"/>
          <w:lang w:val="es-PR"/>
        </w:rPr>
        <w:t>Los acuerdos, determinaciones, acciones u omisiones del Cons</w:t>
      </w:r>
      <w:r w:rsidR="00CB1841" w:rsidRPr="00A640D9">
        <w:rPr>
          <w:rFonts w:ascii="Book Antiqua" w:hAnsi="Book Antiqua"/>
          <w:i/>
          <w:szCs w:val="24"/>
          <w:lang w:val="es-PR"/>
        </w:rPr>
        <w:t>ejo de Titulares;</w:t>
      </w:r>
      <w:r w:rsidRPr="00A640D9">
        <w:rPr>
          <w:rFonts w:ascii="Book Antiqua" w:hAnsi="Book Antiqua"/>
          <w:i/>
          <w:szCs w:val="24"/>
          <w:lang w:val="es-PR"/>
        </w:rPr>
        <w:t xml:space="preserve"> del Director, la Junta de Directores </w:t>
      </w:r>
      <w:r w:rsidR="00CB1841" w:rsidRPr="00A640D9">
        <w:rPr>
          <w:rFonts w:ascii="Book Antiqua" w:hAnsi="Book Antiqua"/>
          <w:i/>
          <w:szCs w:val="24"/>
          <w:lang w:val="es-PR"/>
        </w:rPr>
        <w:t>o de su presidente o secretario;</w:t>
      </w:r>
      <w:r w:rsidRPr="00A640D9">
        <w:rPr>
          <w:rFonts w:ascii="Book Antiqua" w:hAnsi="Book Antiqua"/>
          <w:i/>
          <w:szCs w:val="24"/>
          <w:lang w:val="es-PR"/>
        </w:rPr>
        <w:t xml:space="preserve"> </w:t>
      </w:r>
      <w:r w:rsidR="00CB1841" w:rsidRPr="00A640D9">
        <w:rPr>
          <w:rFonts w:ascii="Book Antiqua" w:hAnsi="Book Antiqua"/>
          <w:i/>
          <w:szCs w:val="24"/>
          <w:lang w:val="es-PR"/>
        </w:rPr>
        <w:t xml:space="preserve">de la persona que someta el inmueble al Régimen de Propiedad Horizontal, mientras éste sea a su vez el administrador interino; </w:t>
      </w:r>
      <w:r w:rsidRPr="00A640D9">
        <w:rPr>
          <w:rFonts w:ascii="Book Antiqua" w:hAnsi="Book Antiqua"/>
          <w:i/>
          <w:szCs w:val="24"/>
          <w:lang w:val="es-PR"/>
        </w:rPr>
        <w:t>y del Síndico</w:t>
      </w:r>
      <w:r w:rsidR="00CB1841" w:rsidRPr="00A640D9">
        <w:rPr>
          <w:rStyle w:val="FootnoteReference"/>
          <w:rFonts w:ascii="Book Antiqua" w:hAnsi="Book Antiqua"/>
          <w:i/>
        </w:rPr>
        <w:footnoteReference w:id="7"/>
      </w:r>
      <w:r w:rsidRPr="00A640D9">
        <w:rPr>
          <w:rFonts w:ascii="Book Antiqua" w:hAnsi="Book Antiqua"/>
          <w:b/>
          <w:i/>
          <w:szCs w:val="24"/>
          <w:lang w:val="es-PR"/>
        </w:rPr>
        <w:t xml:space="preserve"> </w:t>
      </w:r>
      <w:r w:rsidRPr="00A640D9">
        <w:rPr>
          <w:rFonts w:ascii="Book Antiqua" w:hAnsi="Book Antiqua"/>
          <w:i/>
          <w:szCs w:val="24"/>
          <w:lang w:val="es-PR"/>
        </w:rPr>
        <w:t>podrán ser impugnados por los titulares en los siguientes supuestos:</w:t>
      </w:r>
    </w:p>
    <w:p w14:paraId="206B1862"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bCs/>
          <w:i/>
        </w:rPr>
        <w:t xml:space="preserve">a) cuando sean contrarios a esta Ley, la escritura matriz, el reglamento del condominio, o los reglamentos sobre condominios del Departamento de Asuntos del Consumidor; </w:t>
      </w:r>
    </w:p>
    <w:p w14:paraId="47931921"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bCs/>
          <w:i/>
        </w:rPr>
        <w:t>b) cuando resulten gravemente perjudiciales a los intereses</w:t>
      </w:r>
      <w:r w:rsidR="006D1FAD" w:rsidRPr="00A640D9">
        <w:rPr>
          <w:rFonts w:ascii="Book Antiqua" w:hAnsi="Book Antiqua"/>
          <w:bCs/>
          <w:i/>
        </w:rPr>
        <w:t xml:space="preserve"> de la comunidad de titulares o</w:t>
      </w:r>
      <w:r w:rsidRPr="00A640D9">
        <w:rPr>
          <w:rFonts w:ascii="Book Antiqua" w:hAnsi="Book Antiqua"/>
          <w:bCs/>
          <w:i/>
        </w:rPr>
        <w:t xml:space="preserve"> del titular o grupo de titulares que impugna; </w:t>
      </w:r>
    </w:p>
    <w:p w14:paraId="7137E34C"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b/>
          <w:bCs/>
          <w:i/>
        </w:rPr>
        <w:t xml:space="preserve">c) </w:t>
      </w:r>
      <w:r w:rsidRPr="00A640D9">
        <w:rPr>
          <w:rFonts w:ascii="Book Antiqua" w:hAnsi="Book Antiqua"/>
          <w:i/>
        </w:rPr>
        <w:t xml:space="preserve">cuando resulten gravemente perjudiciales para algún titular que no tenga obligación jurídica para soportarlo y no haya sido previsible al momento de la compra. </w:t>
      </w:r>
    </w:p>
    <w:p w14:paraId="0817D26C" w14:textId="77777777" w:rsidR="00C72968" w:rsidRPr="00A640D9" w:rsidRDefault="0036762F" w:rsidP="00F46A63">
      <w:pPr>
        <w:pStyle w:val="Default"/>
        <w:spacing w:line="480" w:lineRule="auto"/>
        <w:ind w:left="360"/>
        <w:jc w:val="both"/>
        <w:rPr>
          <w:rFonts w:ascii="Book Antiqua" w:hAnsi="Book Antiqua"/>
          <w:i/>
        </w:rPr>
      </w:pPr>
      <w:r w:rsidRPr="00A640D9">
        <w:rPr>
          <w:rFonts w:ascii="Book Antiqua" w:hAnsi="Book Antiqua"/>
          <w:i/>
        </w:rPr>
        <w:t xml:space="preserve">B. </w:t>
      </w:r>
      <w:r w:rsidR="00C72968" w:rsidRPr="00A640D9">
        <w:rPr>
          <w:rFonts w:ascii="Book Antiqua" w:hAnsi="Book Antiqua"/>
          <w:i/>
        </w:rPr>
        <w:t>Jurisdicción:</w:t>
      </w:r>
    </w:p>
    <w:p w14:paraId="14F03DCC" w14:textId="77777777" w:rsidR="00B75048" w:rsidRPr="00A640D9" w:rsidRDefault="00C72968" w:rsidP="00F46A63">
      <w:pPr>
        <w:pStyle w:val="Default"/>
        <w:spacing w:line="480" w:lineRule="auto"/>
        <w:ind w:left="1080"/>
        <w:jc w:val="both"/>
        <w:rPr>
          <w:rFonts w:ascii="Book Antiqua" w:hAnsi="Book Antiqua"/>
          <w:i/>
        </w:rPr>
      </w:pPr>
      <w:r w:rsidRPr="00A640D9">
        <w:rPr>
          <w:rFonts w:ascii="Book Antiqua" w:hAnsi="Book Antiqua"/>
          <w:i/>
        </w:rPr>
        <w:t xml:space="preserve">a) </w:t>
      </w:r>
      <w:r w:rsidR="00B75048" w:rsidRPr="00A640D9">
        <w:rPr>
          <w:rFonts w:ascii="Book Antiqua" w:hAnsi="Book Antiqua"/>
          <w:i/>
        </w:rPr>
        <w:t xml:space="preserve">El Departamento de Asuntos del Consumidor tendrá jurisdicción primaria y exclusiva para atender las acciones de impugnación que surjan en condominios con al </w:t>
      </w:r>
      <w:r w:rsidR="00B75048" w:rsidRPr="00A640D9">
        <w:rPr>
          <w:rFonts w:ascii="Book Antiqua" w:hAnsi="Book Antiqua"/>
          <w:i/>
        </w:rPr>
        <w:lastRenderedPageBreak/>
        <w:t>menos un apartamento de uso residencial que sean interpuestas por un titular o grupo de titulares de apartamentos de uso residencial</w:t>
      </w:r>
      <w:r w:rsidR="00675949" w:rsidRPr="00A640D9">
        <w:rPr>
          <w:rFonts w:ascii="Book Antiqua" w:hAnsi="Book Antiqua"/>
          <w:i/>
        </w:rPr>
        <w:t xml:space="preserve"> entabladas contra el Consejo de Titulares; el Director o la Junta de Directores; el presidente o el secretario de la Junta de Directores; la persona que someta el inmueble al Régimen de Propiedad Horizontal, mientras éste sea a su vez, el administrador interino del condominio; o el Síndico</w:t>
      </w:r>
      <w:r w:rsidR="00B75048" w:rsidRPr="00A640D9">
        <w:rPr>
          <w:rFonts w:ascii="Book Antiqua" w:hAnsi="Book Antiqua"/>
          <w:i/>
        </w:rPr>
        <w:t>.</w:t>
      </w:r>
      <w:r w:rsidR="00CB1841" w:rsidRPr="00A640D9">
        <w:rPr>
          <w:rStyle w:val="FootnoteReference"/>
          <w:rFonts w:ascii="Book Antiqua" w:hAnsi="Book Antiqua"/>
          <w:i/>
        </w:rPr>
        <w:footnoteReference w:id="8"/>
      </w:r>
      <w:r w:rsidR="00CB1841" w:rsidRPr="00A640D9">
        <w:rPr>
          <w:rStyle w:val="FootnoteReference"/>
          <w:rFonts w:ascii="Book Antiqua" w:hAnsi="Book Antiqua"/>
          <w:i/>
        </w:rPr>
        <w:t xml:space="preserve"> </w:t>
      </w:r>
    </w:p>
    <w:p w14:paraId="5F7F764D" w14:textId="77777777" w:rsidR="00B75048" w:rsidRPr="00A640D9" w:rsidRDefault="00C72968" w:rsidP="00F46A63">
      <w:pPr>
        <w:pStyle w:val="Default"/>
        <w:spacing w:line="480" w:lineRule="auto"/>
        <w:ind w:left="1080"/>
        <w:jc w:val="both"/>
        <w:rPr>
          <w:rFonts w:ascii="Book Antiqua" w:hAnsi="Book Antiqua"/>
          <w:i/>
        </w:rPr>
      </w:pPr>
      <w:r w:rsidRPr="00A640D9">
        <w:rPr>
          <w:rFonts w:ascii="Book Antiqua" w:hAnsi="Book Antiqua"/>
          <w:i/>
        </w:rPr>
        <w:t xml:space="preserve">b) </w:t>
      </w:r>
      <w:r w:rsidR="00B75048" w:rsidRPr="00A640D9">
        <w:rPr>
          <w:rFonts w:ascii="Book Antiqua" w:hAnsi="Book Antiqua"/>
          <w:i/>
        </w:rPr>
        <w:t>El Tribunal de Primera Instancia tendrá jurisdicción primaria y exclusiva para atender las acciones de impugnación que surjan en condominios de uso exclusivamente comercial o profesional,</w:t>
      </w:r>
      <w:r w:rsidR="00CB1841" w:rsidRPr="00A640D9">
        <w:rPr>
          <w:rStyle w:val="FootnoteReference"/>
          <w:rFonts w:ascii="Book Antiqua" w:hAnsi="Book Antiqua"/>
          <w:i/>
        </w:rPr>
        <w:footnoteReference w:id="9"/>
      </w:r>
      <w:r w:rsidR="00B75048" w:rsidRPr="00A640D9">
        <w:rPr>
          <w:rFonts w:ascii="Book Antiqua" w:hAnsi="Book Antiqua"/>
          <w:i/>
        </w:rPr>
        <w:t xml:space="preserve"> o en condominios con al menos un apartamento de uso residencial </w:t>
      </w:r>
      <w:r w:rsidR="005479D1" w:rsidRPr="00A640D9">
        <w:rPr>
          <w:rFonts w:ascii="Book Antiqua" w:hAnsi="Book Antiqua"/>
          <w:i/>
        </w:rPr>
        <w:t>que</w:t>
      </w:r>
      <w:r w:rsidR="00B75048" w:rsidRPr="00A640D9">
        <w:rPr>
          <w:rFonts w:ascii="Book Antiqua" w:hAnsi="Book Antiqua"/>
          <w:i/>
        </w:rPr>
        <w:t xml:space="preserve"> sean interpuestas por un titular o grupo de titulares de apartamentos de uso no residencial.</w:t>
      </w:r>
      <w:r w:rsidR="0036762F" w:rsidRPr="00A640D9">
        <w:rPr>
          <w:rStyle w:val="FootnoteReference"/>
          <w:rFonts w:ascii="Book Antiqua" w:hAnsi="Book Antiqua"/>
          <w:i/>
        </w:rPr>
        <w:footnoteReference w:id="10"/>
      </w:r>
    </w:p>
    <w:p w14:paraId="37EA54D8"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i/>
        </w:rPr>
        <w:t>El Tribunal de Primera Instancia tendrá jurisdicción primaria y exclusiva para atender querellas o reclamaciones que surjan en cualquier condominio</w:t>
      </w:r>
      <w:r w:rsidR="005479D1" w:rsidRPr="00A640D9">
        <w:rPr>
          <w:rFonts w:ascii="Book Antiqua" w:hAnsi="Book Antiqua"/>
          <w:i/>
        </w:rPr>
        <w:t xml:space="preserve"> </w:t>
      </w:r>
      <w:r w:rsidRPr="00A640D9">
        <w:rPr>
          <w:rFonts w:ascii="Book Antiqua" w:hAnsi="Book Antiqua"/>
          <w:i/>
        </w:rPr>
        <w:t>interpuestas por el Consejo de Titulares o el Director o la Junta de Directores contra uno o varios titula</w:t>
      </w:r>
      <w:r w:rsidR="005479D1" w:rsidRPr="00A640D9">
        <w:rPr>
          <w:rFonts w:ascii="Book Antiqua" w:hAnsi="Book Antiqua"/>
          <w:i/>
        </w:rPr>
        <w:t xml:space="preserve">res o residentes del condominio; </w:t>
      </w:r>
      <w:r w:rsidRPr="00A640D9">
        <w:rPr>
          <w:rFonts w:ascii="Book Antiqua" w:hAnsi="Book Antiqua"/>
          <w:i/>
        </w:rPr>
        <w:t>interpuestas entre titulares</w:t>
      </w:r>
      <w:r w:rsidR="005479D1" w:rsidRPr="00A640D9">
        <w:rPr>
          <w:rFonts w:ascii="Book Antiqua" w:hAnsi="Book Antiqua"/>
          <w:i/>
        </w:rPr>
        <w:t>; o interpuestas para</w:t>
      </w:r>
      <w:r w:rsidRPr="00A640D9">
        <w:rPr>
          <w:rFonts w:ascii="Book Antiqua" w:hAnsi="Book Antiqua"/>
          <w:i/>
        </w:rPr>
        <w:t xml:space="preserve"> impugn</w:t>
      </w:r>
      <w:r w:rsidR="005479D1" w:rsidRPr="00A640D9">
        <w:rPr>
          <w:rFonts w:ascii="Book Antiqua" w:hAnsi="Book Antiqua"/>
          <w:i/>
        </w:rPr>
        <w:t>ar</w:t>
      </w:r>
      <w:r w:rsidRPr="00A640D9">
        <w:rPr>
          <w:rFonts w:ascii="Book Antiqua" w:hAnsi="Book Antiqua"/>
          <w:i/>
        </w:rPr>
        <w:t xml:space="preserve"> alguna cláusula contenida en la escritura matriz o el reglamento del condominio inscrito en el Registro de la Propiedad.</w:t>
      </w:r>
      <w:r w:rsidR="00CB1841" w:rsidRPr="00A640D9">
        <w:rPr>
          <w:rStyle w:val="FootnoteReference"/>
          <w:rFonts w:ascii="Book Antiqua" w:hAnsi="Book Antiqua"/>
          <w:i/>
        </w:rPr>
        <w:footnoteReference w:id="11"/>
      </w:r>
    </w:p>
    <w:p w14:paraId="33C5B963" w14:textId="77777777" w:rsidR="00B75048" w:rsidRPr="00A640D9" w:rsidRDefault="00675949" w:rsidP="00F46A63">
      <w:pPr>
        <w:pStyle w:val="Default"/>
        <w:spacing w:line="480" w:lineRule="auto"/>
        <w:ind w:left="1080"/>
        <w:jc w:val="both"/>
        <w:rPr>
          <w:rFonts w:ascii="Book Antiqua" w:hAnsi="Book Antiqua"/>
          <w:i/>
        </w:rPr>
      </w:pPr>
      <w:r w:rsidRPr="00A640D9">
        <w:rPr>
          <w:rFonts w:ascii="Book Antiqua" w:hAnsi="Book Antiqua"/>
          <w:i/>
        </w:rPr>
        <w:t>c)</w:t>
      </w:r>
      <w:r w:rsidR="00B75048" w:rsidRPr="00A640D9">
        <w:rPr>
          <w:rFonts w:ascii="Book Antiqua" w:hAnsi="Book Antiqua"/>
          <w:i/>
        </w:rPr>
        <w:t xml:space="preserve"> Las acciones de impugnación de las determinaciones, acciones u omisiones del Agente Administrador serán atendidas por el Director</w:t>
      </w:r>
      <w:r w:rsidR="001E14FB" w:rsidRPr="00A640D9">
        <w:rPr>
          <w:rFonts w:ascii="Book Antiqua" w:hAnsi="Book Antiqua"/>
          <w:i/>
        </w:rPr>
        <w:t>, por</w:t>
      </w:r>
      <w:r w:rsidR="00B75048" w:rsidRPr="00A640D9">
        <w:rPr>
          <w:rFonts w:ascii="Book Antiqua" w:hAnsi="Book Antiqua"/>
          <w:i/>
        </w:rPr>
        <w:t xml:space="preserve"> la Junta de Directores o </w:t>
      </w:r>
      <w:r w:rsidRPr="00A640D9">
        <w:rPr>
          <w:rFonts w:ascii="Book Antiqua" w:hAnsi="Book Antiqua"/>
          <w:i/>
        </w:rPr>
        <w:t xml:space="preserve">por </w:t>
      </w:r>
      <w:r w:rsidR="00B75048" w:rsidRPr="00A640D9">
        <w:rPr>
          <w:rFonts w:ascii="Book Antiqua" w:hAnsi="Book Antiqua"/>
          <w:i/>
        </w:rPr>
        <w:t>el Consejo de Titulares.</w:t>
      </w:r>
    </w:p>
    <w:p w14:paraId="4365D96A" w14:textId="77777777" w:rsidR="00B75048" w:rsidRPr="00A640D9" w:rsidRDefault="001E14FB" w:rsidP="00F46A63">
      <w:pPr>
        <w:pStyle w:val="Default"/>
        <w:spacing w:line="480" w:lineRule="auto"/>
        <w:ind w:left="360"/>
        <w:jc w:val="both"/>
        <w:rPr>
          <w:rFonts w:ascii="Book Antiqua" w:hAnsi="Book Antiqua"/>
          <w:i/>
        </w:rPr>
      </w:pPr>
      <w:r w:rsidRPr="00A640D9">
        <w:rPr>
          <w:rFonts w:ascii="Book Antiqua" w:hAnsi="Book Antiqua"/>
          <w:i/>
        </w:rPr>
        <w:lastRenderedPageBreak/>
        <w:t>C</w:t>
      </w:r>
      <w:r w:rsidR="00B75048" w:rsidRPr="00A640D9">
        <w:rPr>
          <w:rFonts w:ascii="Book Antiqua" w:hAnsi="Book Antiqua"/>
          <w:i/>
        </w:rPr>
        <w:t>. El término para</w:t>
      </w:r>
      <w:r w:rsidR="004C2330" w:rsidRPr="00A640D9">
        <w:rPr>
          <w:rFonts w:ascii="Book Antiqua" w:hAnsi="Book Antiqua"/>
          <w:i/>
        </w:rPr>
        <w:t xml:space="preserve"> entablar</w:t>
      </w:r>
      <w:r w:rsidR="00B75048" w:rsidRPr="00A640D9">
        <w:rPr>
          <w:rFonts w:ascii="Book Antiqua" w:hAnsi="Book Antiqua"/>
          <w:i/>
        </w:rPr>
        <w:t xml:space="preserve"> toda acción de impugnación, querella o reclamación</w:t>
      </w:r>
      <w:r w:rsidR="004C2330" w:rsidRPr="00A640D9">
        <w:rPr>
          <w:rFonts w:ascii="Book Antiqua" w:hAnsi="Book Antiqua"/>
          <w:i/>
        </w:rPr>
        <w:t xml:space="preserve"> conforme a las disposiciones de</w:t>
      </w:r>
      <w:r w:rsidR="00B75048" w:rsidRPr="00A640D9">
        <w:rPr>
          <w:rFonts w:ascii="Book Antiqua" w:hAnsi="Book Antiqua"/>
          <w:i/>
        </w:rPr>
        <w:t xml:space="preserve"> este artículo será de treinta (30) días contados a partir de la fecha en que se concretó el acuerdo, determinación, acción u omisión </w:t>
      </w:r>
      <w:r w:rsidRPr="00A640D9">
        <w:rPr>
          <w:rFonts w:ascii="Book Antiqua" w:hAnsi="Book Antiqua"/>
          <w:i/>
        </w:rPr>
        <w:t>cuando</w:t>
      </w:r>
      <w:r w:rsidR="00B75048" w:rsidRPr="00A640D9">
        <w:rPr>
          <w:rFonts w:ascii="Book Antiqua" w:hAnsi="Book Antiqua"/>
          <w:i/>
        </w:rPr>
        <w:t xml:space="preserve"> ocurrió en la presencia del titular que presenta la acción</w:t>
      </w:r>
      <w:r w:rsidR="004C2330" w:rsidRPr="00A640D9">
        <w:rPr>
          <w:rFonts w:ascii="Book Antiqua" w:hAnsi="Book Antiqua"/>
          <w:i/>
        </w:rPr>
        <w:t>, querella o reclamación</w:t>
      </w:r>
      <w:r w:rsidR="00B75048" w:rsidRPr="00A640D9">
        <w:rPr>
          <w:rFonts w:ascii="Book Antiqua" w:hAnsi="Book Antiqua"/>
          <w:i/>
        </w:rPr>
        <w:t xml:space="preserve">; o a partir de la fecha en que recibió la notificación, si no ocurrió en su presencia. </w:t>
      </w:r>
    </w:p>
    <w:p w14:paraId="3552982B" w14:textId="77777777" w:rsidR="00B75048" w:rsidRPr="00A640D9" w:rsidRDefault="00B75048" w:rsidP="00F46A63">
      <w:pPr>
        <w:pStyle w:val="Default"/>
        <w:spacing w:line="480" w:lineRule="auto"/>
        <w:ind w:left="360" w:firstLine="720"/>
        <w:jc w:val="both"/>
        <w:rPr>
          <w:rFonts w:ascii="Book Antiqua" w:hAnsi="Book Antiqua"/>
          <w:i/>
        </w:rPr>
      </w:pPr>
      <w:r w:rsidRPr="00A640D9">
        <w:rPr>
          <w:rFonts w:ascii="Book Antiqua" w:hAnsi="Book Antiqua"/>
          <w:i/>
        </w:rPr>
        <w:t>Toda acción de impugnación, querella o reclamación de un acuerdo, determinación, acción u omisión que constituya una violación a las disposiciones de esta Ley, de la escritura matriz, del reglamento del condominio o del Reglamento Sobre Condominios de Departamento de Asuntos del Consumidor, prescribirá a los dos (2) años, computados a partir de la fecha en que se tomó el acuerdo, determinación, acción u omisión si ocurrió en la presencia del titular que presenta la acción; o a partir de la fecha en que recibió la notificación, si no ocurrió en su presencia</w:t>
      </w:r>
      <w:r w:rsidR="004C2330" w:rsidRPr="00A640D9">
        <w:rPr>
          <w:rFonts w:ascii="Book Antiqua" w:hAnsi="Book Antiqua"/>
          <w:i/>
        </w:rPr>
        <w:t>,</w:t>
      </w:r>
      <w:r w:rsidR="001E14FB" w:rsidRPr="00A640D9">
        <w:rPr>
          <w:rFonts w:ascii="Book Antiqua" w:hAnsi="Book Antiqua"/>
          <w:i/>
        </w:rPr>
        <w:t xml:space="preserve"> siempre que la</w:t>
      </w:r>
      <w:r w:rsidRPr="00A640D9">
        <w:rPr>
          <w:rFonts w:ascii="Book Antiqua" w:hAnsi="Book Antiqua"/>
          <w:i/>
        </w:rPr>
        <w:t xml:space="preserve"> notifica</w:t>
      </w:r>
      <w:r w:rsidR="001E14FB" w:rsidRPr="00A640D9">
        <w:rPr>
          <w:rFonts w:ascii="Book Antiqua" w:hAnsi="Book Antiqua"/>
          <w:i/>
        </w:rPr>
        <w:t>ción se haya efectuado</w:t>
      </w:r>
      <w:r w:rsidRPr="00A640D9">
        <w:rPr>
          <w:rFonts w:ascii="Book Antiqua" w:hAnsi="Book Antiqua"/>
          <w:i/>
        </w:rPr>
        <w:t xml:space="preserve"> conforme a las disposiciones de esta Ley. </w:t>
      </w:r>
    </w:p>
    <w:p w14:paraId="3CA4693C" w14:textId="77777777" w:rsidR="00B75048" w:rsidRPr="00A640D9" w:rsidRDefault="00BC050A" w:rsidP="00F46A63">
      <w:pPr>
        <w:pStyle w:val="Default"/>
        <w:spacing w:line="480" w:lineRule="auto"/>
        <w:ind w:left="360"/>
        <w:jc w:val="both"/>
        <w:rPr>
          <w:rFonts w:ascii="Book Antiqua" w:hAnsi="Book Antiqua"/>
          <w:i/>
        </w:rPr>
      </w:pPr>
      <w:r w:rsidRPr="00A640D9">
        <w:rPr>
          <w:rFonts w:ascii="Book Antiqua" w:hAnsi="Book Antiqua"/>
          <w:i/>
        </w:rPr>
        <w:t>D</w:t>
      </w:r>
      <w:r w:rsidR="00B75048" w:rsidRPr="00A640D9">
        <w:rPr>
          <w:rFonts w:ascii="Book Antiqua" w:hAnsi="Book Antiqua"/>
          <w:i/>
        </w:rPr>
        <w:t>. Será requisito jurisdiccional de la parte que presente cualquier acción de impugnación</w:t>
      </w:r>
      <w:r w:rsidRPr="00A640D9">
        <w:rPr>
          <w:rFonts w:ascii="Book Antiqua" w:hAnsi="Book Antiqua"/>
          <w:i/>
        </w:rPr>
        <w:t>, querella o reclamación conforme a las disposiciones de este artículo</w:t>
      </w:r>
      <w:r w:rsidR="00B75048" w:rsidRPr="00A640D9">
        <w:rPr>
          <w:rFonts w:ascii="Book Antiqua" w:hAnsi="Book Antiqua"/>
          <w:i/>
        </w:rPr>
        <w:t xml:space="preserve"> demostrar que no tiene deuda</w:t>
      </w:r>
      <w:r w:rsidR="007D1985" w:rsidRPr="00A640D9">
        <w:rPr>
          <w:rFonts w:ascii="Book Antiqua" w:hAnsi="Book Antiqua"/>
          <w:i/>
        </w:rPr>
        <w:t>s vencidas</w:t>
      </w:r>
      <w:r w:rsidR="00B75048" w:rsidRPr="00A640D9">
        <w:rPr>
          <w:rFonts w:ascii="Book Antiqua" w:hAnsi="Book Antiqua"/>
          <w:i/>
        </w:rPr>
        <w:t xml:space="preserve"> de clase alguna con el Consejo de Titulares y que entregó</w:t>
      </w:r>
      <w:r w:rsidR="007D1985" w:rsidRPr="00A640D9">
        <w:rPr>
          <w:rFonts w:ascii="Book Antiqua" w:hAnsi="Book Antiqua"/>
          <w:i/>
        </w:rPr>
        <w:t xml:space="preserve"> a la Junta de Directores</w:t>
      </w:r>
      <w:r w:rsidR="00B75048" w:rsidRPr="00A640D9">
        <w:rPr>
          <w:rFonts w:ascii="Book Antiqua" w:hAnsi="Book Antiqua"/>
          <w:i/>
        </w:rPr>
        <w:t xml:space="preserve"> copia de</w:t>
      </w:r>
      <w:r w:rsidR="007D1985" w:rsidRPr="00A640D9">
        <w:rPr>
          <w:rFonts w:ascii="Book Antiqua" w:hAnsi="Book Antiqua"/>
          <w:i/>
        </w:rPr>
        <w:t xml:space="preserve"> </w:t>
      </w:r>
      <w:r w:rsidR="00B75048" w:rsidRPr="00A640D9">
        <w:rPr>
          <w:rFonts w:ascii="Book Antiqua" w:hAnsi="Book Antiqua"/>
          <w:i/>
        </w:rPr>
        <w:t>l</w:t>
      </w:r>
      <w:r w:rsidR="007D1985" w:rsidRPr="00A640D9">
        <w:rPr>
          <w:rFonts w:ascii="Book Antiqua" w:hAnsi="Book Antiqua"/>
          <w:i/>
        </w:rPr>
        <w:t>a</w:t>
      </w:r>
      <w:r w:rsidR="00B75048" w:rsidRPr="00A640D9">
        <w:rPr>
          <w:rFonts w:ascii="Book Antiqua" w:hAnsi="Book Antiqua"/>
          <w:i/>
        </w:rPr>
        <w:t xml:space="preserve"> </w:t>
      </w:r>
      <w:r w:rsidR="007D1985" w:rsidRPr="00A640D9">
        <w:rPr>
          <w:rFonts w:ascii="Book Antiqua" w:hAnsi="Book Antiqua"/>
          <w:i/>
        </w:rPr>
        <w:t>escritura que acredite su titularidad</w:t>
      </w:r>
      <w:r w:rsidR="00B75048" w:rsidRPr="00A640D9">
        <w:rPr>
          <w:rFonts w:ascii="Book Antiqua" w:hAnsi="Book Antiqua"/>
          <w:i/>
        </w:rPr>
        <w:t xml:space="preserve"> de su apartamento. Queda exceptuada de</w:t>
      </w:r>
      <w:r w:rsidR="007D1985" w:rsidRPr="00A640D9">
        <w:rPr>
          <w:rFonts w:ascii="Book Antiqua" w:hAnsi="Book Antiqua"/>
          <w:i/>
        </w:rPr>
        <w:t>l</w:t>
      </w:r>
      <w:r w:rsidR="00B75048" w:rsidRPr="00A640D9">
        <w:rPr>
          <w:rFonts w:ascii="Book Antiqua" w:hAnsi="Book Antiqua"/>
          <w:i/>
        </w:rPr>
        <w:t xml:space="preserve"> requisito de no deuda la acción </w:t>
      </w:r>
      <w:r w:rsidR="007D1985" w:rsidRPr="00A640D9">
        <w:rPr>
          <w:rFonts w:ascii="Book Antiqua" w:hAnsi="Book Antiqua"/>
          <w:i/>
        </w:rPr>
        <w:t>dirigida a impugnar acuerdos relacionados con el establecimiento o la alteración de cuotas o derramas aprobadas por el Consejo de Titulares o</w:t>
      </w:r>
      <w:r w:rsidR="00B75048" w:rsidRPr="00A640D9">
        <w:rPr>
          <w:rFonts w:ascii="Book Antiqua" w:hAnsi="Book Antiqua"/>
          <w:i/>
        </w:rPr>
        <w:t xml:space="preserve"> para cuestionar una alegada deuda. </w:t>
      </w:r>
    </w:p>
    <w:p w14:paraId="0A6604CF" w14:textId="77777777" w:rsidR="00B75048" w:rsidRPr="00A640D9" w:rsidRDefault="00B75048" w:rsidP="00F46A63">
      <w:pPr>
        <w:pStyle w:val="Default"/>
        <w:spacing w:line="480" w:lineRule="auto"/>
        <w:ind w:left="360" w:firstLine="720"/>
        <w:jc w:val="both"/>
        <w:rPr>
          <w:rFonts w:ascii="Book Antiqua" w:hAnsi="Book Antiqua"/>
          <w:i/>
        </w:rPr>
      </w:pPr>
      <w:r w:rsidRPr="00A640D9">
        <w:rPr>
          <w:rFonts w:ascii="Book Antiqua" w:hAnsi="Book Antiqua"/>
          <w:i/>
        </w:rPr>
        <w:t xml:space="preserve">En el caso en que se impugne un acuerdo del Consejo de Titulares, el titular que presente la acción de impugnación tendrá que acreditar: </w:t>
      </w:r>
    </w:p>
    <w:p w14:paraId="06D31CCB"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i/>
        </w:rPr>
        <w:lastRenderedPageBreak/>
        <w:t xml:space="preserve">(a) que estuvo presente o representado en la asamblea en que se tomó el acuerdo que impugna y que votó en su contra; o, </w:t>
      </w:r>
    </w:p>
    <w:p w14:paraId="6C0455EF"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i/>
        </w:rPr>
        <w:t>(b) que a pesar de que fue debidamente notificado, estuvo ausente por razón justificada; o,</w:t>
      </w:r>
    </w:p>
    <w:p w14:paraId="7D61A8E2" w14:textId="77777777" w:rsidR="00B75048" w:rsidRPr="00A640D9" w:rsidRDefault="00B75048" w:rsidP="00F46A63">
      <w:pPr>
        <w:pStyle w:val="Default"/>
        <w:spacing w:line="480" w:lineRule="auto"/>
        <w:ind w:left="1080"/>
        <w:jc w:val="both"/>
        <w:rPr>
          <w:rFonts w:ascii="Book Antiqua" w:hAnsi="Book Antiqua"/>
          <w:i/>
        </w:rPr>
      </w:pPr>
      <w:r w:rsidRPr="00A640D9">
        <w:rPr>
          <w:rFonts w:ascii="Book Antiqua" w:hAnsi="Book Antiqua"/>
          <w:i/>
        </w:rPr>
        <w:t xml:space="preserve">(c) que estuvo ausente porque no fue debidamente notificado. </w:t>
      </w:r>
    </w:p>
    <w:p w14:paraId="2698D812" w14:textId="77777777" w:rsidR="00A32545" w:rsidRPr="00A640D9" w:rsidRDefault="00A32545" w:rsidP="00F46A63">
      <w:pPr>
        <w:pStyle w:val="Default"/>
        <w:spacing w:line="480" w:lineRule="auto"/>
        <w:ind w:left="360" w:firstLine="720"/>
        <w:jc w:val="both"/>
        <w:rPr>
          <w:rFonts w:ascii="Book Antiqua" w:hAnsi="Book Antiqua"/>
          <w:i/>
        </w:rPr>
      </w:pPr>
      <w:r w:rsidRPr="00A640D9">
        <w:rPr>
          <w:rFonts w:ascii="Book Antiqua" w:hAnsi="Book Antiqua"/>
          <w:i/>
        </w:rPr>
        <w:t>Si el titular del apartamento es un ente jurídico, la parte que presente la acción de impugnación tendrá que incluir la resolución corporativa autorizando y designándolo como representante.</w:t>
      </w:r>
    </w:p>
    <w:p w14:paraId="50A5E8A7" w14:textId="77777777" w:rsidR="00F92970" w:rsidRPr="002C44F0" w:rsidRDefault="00BC050A" w:rsidP="00F46A63">
      <w:pPr>
        <w:pStyle w:val="Default"/>
        <w:spacing w:line="480" w:lineRule="auto"/>
        <w:ind w:left="360"/>
        <w:jc w:val="both"/>
        <w:rPr>
          <w:rFonts w:ascii="Book Antiqua" w:hAnsi="Book Antiqua"/>
        </w:rPr>
      </w:pPr>
      <w:r w:rsidRPr="00A640D9">
        <w:rPr>
          <w:rFonts w:ascii="Book Antiqua" w:hAnsi="Book Antiqua"/>
          <w:i/>
        </w:rPr>
        <w:t>E</w:t>
      </w:r>
      <w:r w:rsidR="00B75048" w:rsidRPr="00A640D9">
        <w:rPr>
          <w:rFonts w:ascii="Book Antiqua" w:hAnsi="Book Antiqua"/>
          <w:i/>
        </w:rPr>
        <w:t>. El foro con jurisdicción para dilucidar una querella o acción de impugnación impondrá el pago de costas y honorarios de abogados a la parte que proceda con temeridad. El titular que prevalezca en cualquier reclamación no tendrá que contribuir a los honorarios o gastos legales en que incurra la Junta o el Consejo de Titulares, ni a la multa que, en su caso, pudiera imponérsele a la parte querellada.</w:t>
      </w:r>
      <w:r w:rsidR="00F92970" w:rsidRPr="002C44F0">
        <w:rPr>
          <w:rFonts w:ascii="Book Antiqua" w:hAnsi="Book Antiqua"/>
        </w:rPr>
        <w:t>”</w:t>
      </w:r>
    </w:p>
    <w:p w14:paraId="07DB3EC4" w14:textId="77777777" w:rsidR="002E503A" w:rsidRPr="002C44F0" w:rsidRDefault="002E503A" w:rsidP="00F46A63">
      <w:pPr>
        <w:spacing w:line="480" w:lineRule="auto"/>
        <w:jc w:val="both"/>
        <w:rPr>
          <w:rFonts w:ascii="Book Antiqua" w:hAnsi="Book Antiqua"/>
          <w:szCs w:val="24"/>
          <w:lang w:val="es-PR"/>
        </w:rPr>
      </w:pPr>
      <w:r w:rsidRPr="00CF7A73">
        <w:rPr>
          <w:rFonts w:ascii="Book Antiqua" w:hAnsi="Book Antiqua"/>
          <w:bCs/>
          <w:szCs w:val="24"/>
          <w:lang w:val="es-PR"/>
        </w:rPr>
        <w:t>Sección 2</w:t>
      </w:r>
      <w:r w:rsidR="001D240D" w:rsidRPr="002C44F0">
        <w:rPr>
          <w:rFonts w:ascii="Book Antiqua" w:hAnsi="Book Antiqua"/>
          <w:szCs w:val="24"/>
          <w:lang w:val="es-PR"/>
        </w:rPr>
        <w:t>.</w:t>
      </w:r>
      <w:r w:rsidRPr="002C44F0">
        <w:rPr>
          <w:rFonts w:ascii="Book Antiqua" w:hAnsi="Book Antiqua"/>
          <w:szCs w:val="24"/>
          <w:lang w:val="es-PR"/>
        </w:rPr>
        <w:t xml:space="preserve"> Se </w:t>
      </w:r>
      <w:r w:rsidR="00FC532B" w:rsidRPr="002C44F0">
        <w:rPr>
          <w:rFonts w:ascii="Book Antiqua" w:hAnsi="Book Antiqua"/>
          <w:szCs w:val="24"/>
          <w:lang w:val="es-PR"/>
        </w:rPr>
        <w:t>inserta un nuevo Artículo 66</w:t>
      </w:r>
      <w:r w:rsidR="000B1C7D" w:rsidRPr="002C44F0">
        <w:rPr>
          <w:rFonts w:ascii="Book Antiqua" w:hAnsi="Book Antiqua"/>
          <w:szCs w:val="24"/>
          <w:lang w:val="es-PR"/>
        </w:rPr>
        <w:t>A</w:t>
      </w:r>
      <w:r w:rsidR="00FC532B" w:rsidRPr="002C44F0">
        <w:rPr>
          <w:rFonts w:ascii="Book Antiqua" w:hAnsi="Book Antiqua"/>
          <w:szCs w:val="24"/>
          <w:lang w:val="es-PR"/>
        </w:rPr>
        <w:t xml:space="preserve">, luego del Artículo 66 de la </w:t>
      </w:r>
      <w:r w:rsidR="00FC532B" w:rsidRPr="002C44F0">
        <w:rPr>
          <w:rFonts w:ascii="Book Antiqua" w:hAnsi="Book Antiqua"/>
          <w:lang w:val="es-PR"/>
        </w:rPr>
        <w:t>Ley Núm. 129 de 16 de agosto de 2020, para que se lea como sigue:</w:t>
      </w:r>
    </w:p>
    <w:p w14:paraId="01038E7E" w14:textId="77777777" w:rsidR="006D14B9" w:rsidRPr="00A640D9" w:rsidRDefault="006D14B9" w:rsidP="00F46A63">
      <w:pPr>
        <w:spacing w:line="480" w:lineRule="auto"/>
        <w:ind w:left="360"/>
        <w:jc w:val="both"/>
        <w:rPr>
          <w:rFonts w:ascii="Book Antiqua" w:hAnsi="Book Antiqua"/>
          <w:i/>
          <w:szCs w:val="24"/>
          <w:lang w:val="es-PR"/>
        </w:rPr>
      </w:pPr>
      <w:r w:rsidRPr="002C44F0">
        <w:rPr>
          <w:rFonts w:ascii="Book Antiqua" w:hAnsi="Book Antiqua"/>
          <w:szCs w:val="24"/>
          <w:lang w:val="es-PR"/>
        </w:rPr>
        <w:t>“</w:t>
      </w:r>
      <w:r w:rsidRPr="00A640D9">
        <w:rPr>
          <w:rFonts w:ascii="Book Antiqua" w:hAnsi="Book Antiqua"/>
          <w:bCs/>
          <w:i/>
          <w:szCs w:val="24"/>
          <w:lang w:val="es-PR"/>
        </w:rPr>
        <w:t>Artículo 66A. —</w:t>
      </w:r>
      <w:r w:rsidRPr="00A640D9">
        <w:rPr>
          <w:rFonts w:ascii="Book Antiqua" w:hAnsi="Book Antiqua"/>
          <w:i/>
          <w:szCs w:val="24"/>
          <w:lang w:val="es-PR"/>
        </w:rPr>
        <w:t>Proceso Adjudicativo Expedito Alterno.</w:t>
      </w:r>
    </w:p>
    <w:p w14:paraId="007E2E7A" w14:textId="77777777" w:rsidR="00FC532B" w:rsidRPr="00A640D9" w:rsidRDefault="006D14B9" w:rsidP="00F46A63">
      <w:pPr>
        <w:spacing w:line="480" w:lineRule="auto"/>
        <w:ind w:left="360" w:firstLine="720"/>
        <w:jc w:val="both"/>
        <w:rPr>
          <w:rFonts w:ascii="Book Antiqua" w:hAnsi="Book Antiqua"/>
          <w:bCs/>
          <w:i/>
          <w:szCs w:val="24"/>
          <w:lang w:val="es-PR"/>
        </w:rPr>
      </w:pPr>
      <w:r w:rsidRPr="00A640D9">
        <w:rPr>
          <w:rFonts w:ascii="Book Antiqua" w:hAnsi="Book Antiqua"/>
          <w:i/>
          <w:szCs w:val="24"/>
          <w:lang w:val="es-PR"/>
        </w:rPr>
        <w:t xml:space="preserve">Se establece un Proceso Adjudicativo Expedito Alterno para atender </w:t>
      </w:r>
      <w:r w:rsidRPr="00A640D9">
        <w:rPr>
          <w:rFonts w:ascii="Book Antiqua" w:hAnsi="Book Antiqua"/>
          <w:bCs/>
          <w:i/>
          <w:szCs w:val="24"/>
          <w:lang w:val="es-PR"/>
        </w:rPr>
        <w:t>las</w:t>
      </w:r>
      <w:r w:rsidR="000071B8" w:rsidRPr="00A640D9">
        <w:rPr>
          <w:rFonts w:ascii="Book Antiqua" w:hAnsi="Book Antiqua"/>
          <w:bCs/>
          <w:i/>
          <w:szCs w:val="24"/>
          <w:lang w:val="es-PR"/>
        </w:rPr>
        <w:t xml:space="preserve"> acciones de impugnación</w:t>
      </w:r>
      <w:r w:rsidRPr="00A640D9">
        <w:rPr>
          <w:rFonts w:ascii="Book Antiqua" w:hAnsi="Book Antiqua"/>
          <w:bCs/>
          <w:i/>
          <w:szCs w:val="24"/>
          <w:lang w:val="es-PR"/>
        </w:rPr>
        <w:t xml:space="preserve"> </w:t>
      </w:r>
      <w:r w:rsidR="000071B8" w:rsidRPr="00A640D9">
        <w:rPr>
          <w:rFonts w:ascii="Book Antiqua" w:hAnsi="Book Antiqua"/>
          <w:bCs/>
          <w:i/>
          <w:szCs w:val="24"/>
          <w:lang w:val="es-PR"/>
        </w:rPr>
        <w:t xml:space="preserve">de los acuerdos, determinaciones, acciones u omisiones del Consejo de Titulares; del Director, la Junta de Directores o de su presidente o secretario; de la persona que someta el inmueble al Régimen de Propiedad Horizontal, mientras éste sea a su vez el administrador interino; o del Síndico </w:t>
      </w:r>
      <w:r w:rsidRPr="00A640D9">
        <w:rPr>
          <w:rFonts w:ascii="Book Antiqua" w:hAnsi="Book Antiqua"/>
          <w:bCs/>
          <w:i/>
          <w:szCs w:val="24"/>
          <w:lang w:val="es-PR"/>
        </w:rPr>
        <w:t xml:space="preserve">en aquellos </w:t>
      </w:r>
      <w:r w:rsidRPr="00A640D9">
        <w:rPr>
          <w:rFonts w:ascii="Book Antiqua" w:hAnsi="Book Antiqua"/>
          <w:i/>
          <w:szCs w:val="24"/>
          <w:lang w:val="es-PR"/>
        </w:rPr>
        <w:t xml:space="preserve">casos en los que el Departamento de Asuntos del Consumidor tenga jurisdicción primaria y exclusiva conforme a las disposiciones del Artículo </w:t>
      </w:r>
      <w:r w:rsidRPr="00A640D9">
        <w:rPr>
          <w:rFonts w:ascii="Book Antiqua" w:hAnsi="Book Antiqua"/>
          <w:i/>
          <w:szCs w:val="24"/>
          <w:lang w:val="es-PR"/>
        </w:rPr>
        <w:lastRenderedPageBreak/>
        <w:t>65 de esta Ley, con el propósito de garantizar la resolución rápida, justa y económica de las controversias que afectan la vida en convivencia, harmonía y tranquilidad en los condóminos.</w:t>
      </w:r>
      <w:r w:rsidR="00FC532B" w:rsidRPr="00A640D9">
        <w:rPr>
          <w:rFonts w:ascii="Book Antiqua" w:hAnsi="Book Antiqua"/>
          <w:i/>
          <w:color w:val="FF0000"/>
          <w:szCs w:val="24"/>
          <w:lang w:val="es-PR"/>
        </w:rPr>
        <w:t xml:space="preserve"> </w:t>
      </w:r>
    </w:p>
    <w:p w14:paraId="03C9A25E" w14:textId="77777777" w:rsidR="00FC532B" w:rsidRPr="00A640D9" w:rsidRDefault="00FC532B" w:rsidP="00F46A63">
      <w:pPr>
        <w:spacing w:line="480" w:lineRule="auto"/>
        <w:ind w:left="360" w:firstLine="720"/>
        <w:jc w:val="both"/>
        <w:rPr>
          <w:rFonts w:ascii="Book Antiqua" w:hAnsi="Book Antiqua"/>
          <w:i/>
          <w:szCs w:val="24"/>
          <w:lang w:val="es-PR"/>
        </w:rPr>
      </w:pPr>
      <w:r w:rsidRPr="00A640D9">
        <w:rPr>
          <w:rFonts w:ascii="Book Antiqua" w:hAnsi="Book Antiqua"/>
          <w:i/>
          <w:szCs w:val="24"/>
          <w:lang w:val="es-PR"/>
        </w:rPr>
        <w:t xml:space="preserve">La solicitud del Proceso Adjudicativo Expedito Alterno deberá cumplir con los siguientes requisitos y proveer la siguiente información: </w:t>
      </w:r>
    </w:p>
    <w:p w14:paraId="696696EB"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i/>
          <w:szCs w:val="24"/>
          <w:lang w:val="es-PR"/>
        </w:rPr>
        <w:t xml:space="preserve">(a) Especificar que se somete la querella al amparo de este Artículo, y que </w:t>
      </w:r>
      <w:r w:rsidR="00A8155C" w:rsidRPr="00A640D9">
        <w:rPr>
          <w:rFonts w:ascii="Book Antiqua" w:hAnsi="Book Antiqua"/>
          <w:i/>
          <w:szCs w:val="24"/>
          <w:lang w:val="es-PR"/>
        </w:rPr>
        <w:t>al menos un</w:t>
      </w:r>
      <w:r w:rsidRPr="00A640D9">
        <w:rPr>
          <w:rFonts w:ascii="Book Antiqua" w:hAnsi="Book Antiqua"/>
          <w:i/>
          <w:szCs w:val="24"/>
          <w:lang w:val="es-PR"/>
        </w:rPr>
        <w:t xml:space="preserve"> apartam</w:t>
      </w:r>
      <w:r w:rsidR="00A8155C" w:rsidRPr="00A640D9">
        <w:rPr>
          <w:rFonts w:ascii="Book Antiqua" w:hAnsi="Book Antiqua"/>
          <w:i/>
          <w:szCs w:val="24"/>
          <w:lang w:val="es-PR"/>
        </w:rPr>
        <w:t>ento</w:t>
      </w:r>
      <w:r w:rsidRPr="00A640D9">
        <w:rPr>
          <w:rFonts w:ascii="Book Antiqua" w:hAnsi="Book Antiqua"/>
          <w:i/>
          <w:szCs w:val="24"/>
          <w:lang w:val="es-PR"/>
        </w:rPr>
        <w:t xml:space="preserve"> del condominio donde se suscita la controversia </w:t>
      </w:r>
      <w:r w:rsidR="00A8155C" w:rsidRPr="00A640D9">
        <w:rPr>
          <w:rFonts w:ascii="Book Antiqua" w:hAnsi="Book Antiqua"/>
          <w:i/>
          <w:szCs w:val="24"/>
          <w:lang w:val="es-PR"/>
        </w:rPr>
        <w:t>es</w:t>
      </w:r>
      <w:r w:rsidRPr="00A640D9">
        <w:rPr>
          <w:rFonts w:ascii="Book Antiqua" w:hAnsi="Book Antiqua"/>
          <w:i/>
          <w:szCs w:val="24"/>
          <w:lang w:val="es-PR"/>
        </w:rPr>
        <w:t xml:space="preserve"> de uso residencial.</w:t>
      </w:r>
    </w:p>
    <w:p w14:paraId="1FB8B1BA"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i/>
          <w:szCs w:val="24"/>
          <w:lang w:val="es-PR"/>
        </w:rPr>
        <w:t xml:space="preserve">(b) Nombre y dirección postal de todas las partes y, de ser conocidas, sus respectivas direcciones de correo electrónico. </w:t>
      </w:r>
    </w:p>
    <w:p w14:paraId="0B86ECB6"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i/>
          <w:szCs w:val="24"/>
          <w:lang w:val="es-PR"/>
        </w:rPr>
        <w:t xml:space="preserve">(c) Una exposición clara y breve las alegaciones de las partes y los hechos materiales o esenciales que dan base la solicitud de un remedio. </w:t>
      </w:r>
    </w:p>
    <w:p w14:paraId="5233C82D"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bCs/>
          <w:i/>
          <w:szCs w:val="24"/>
          <w:lang w:val="es-PR"/>
        </w:rPr>
        <w:t xml:space="preserve">(d) </w:t>
      </w:r>
      <w:r w:rsidRPr="00A640D9">
        <w:rPr>
          <w:rFonts w:ascii="Book Antiqua" w:hAnsi="Book Antiqua"/>
          <w:i/>
          <w:szCs w:val="24"/>
          <w:lang w:val="es-PR"/>
        </w:rPr>
        <w:t xml:space="preserve">Una relación concisa sobre los asuntos que están en controversia. </w:t>
      </w:r>
    </w:p>
    <w:p w14:paraId="279339D2"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bCs/>
          <w:i/>
          <w:szCs w:val="24"/>
          <w:lang w:val="es-PR"/>
        </w:rPr>
        <w:t>(e) U</w:t>
      </w:r>
      <w:r w:rsidRPr="00A640D9">
        <w:rPr>
          <w:rFonts w:ascii="Book Antiqua" w:hAnsi="Book Antiqua"/>
          <w:i/>
          <w:szCs w:val="24"/>
          <w:lang w:val="es-PR"/>
        </w:rPr>
        <w:t>na relación concisa, organizada en párrafos enumerados, de todos los hechos esenciales y pertinentes sobre los cuales no hay controversia sustancial. En esta relación se indicará</w:t>
      </w:r>
      <w:r w:rsidR="00A8155C" w:rsidRPr="00A640D9">
        <w:rPr>
          <w:rFonts w:ascii="Book Antiqua" w:hAnsi="Book Antiqua"/>
          <w:i/>
          <w:szCs w:val="24"/>
          <w:lang w:val="es-PR"/>
        </w:rPr>
        <w:t>n</w:t>
      </w:r>
      <w:r w:rsidRPr="00A640D9">
        <w:rPr>
          <w:rFonts w:ascii="Book Antiqua" w:hAnsi="Book Antiqua"/>
          <w:i/>
          <w:szCs w:val="24"/>
          <w:lang w:val="es-PR"/>
        </w:rPr>
        <w:t xml:space="preserve"> claramente los párrafos o las páginas de las declaraciones juradas u otros documentos o pruebas que acompañe la solicitud, en donde se establecen los hechos narrados. </w:t>
      </w:r>
    </w:p>
    <w:p w14:paraId="561DEE1A" w14:textId="77777777" w:rsidR="00FC532B" w:rsidRPr="00A640D9" w:rsidRDefault="00FC532B" w:rsidP="00F46A63">
      <w:pPr>
        <w:spacing w:line="480" w:lineRule="auto"/>
        <w:ind w:left="720"/>
        <w:jc w:val="both"/>
        <w:rPr>
          <w:rFonts w:ascii="Book Antiqua" w:hAnsi="Book Antiqua"/>
          <w:bCs/>
          <w:i/>
          <w:szCs w:val="24"/>
          <w:lang w:val="es-PR"/>
        </w:rPr>
      </w:pPr>
      <w:r w:rsidRPr="00A640D9">
        <w:rPr>
          <w:rFonts w:ascii="Book Antiqua" w:hAnsi="Book Antiqua"/>
          <w:bCs/>
          <w:i/>
          <w:szCs w:val="24"/>
          <w:lang w:val="es-PR"/>
        </w:rPr>
        <w:t xml:space="preserve">(f) </w:t>
      </w:r>
      <w:r w:rsidRPr="00A640D9">
        <w:rPr>
          <w:rFonts w:ascii="Book Antiqua" w:hAnsi="Book Antiqua"/>
          <w:i/>
          <w:szCs w:val="24"/>
          <w:lang w:val="es-PR"/>
        </w:rPr>
        <w:t>Referencia de las disposiciones legales de las que surge la causa de acción o la reclamación por la cual se solicita al Departamento de Asuntos del Consumidor que emita una determinación</w:t>
      </w:r>
      <w:r w:rsidR="00A8155C" w:rsidRPr="00A640D9">
        <w:rPr>
          <w:rFonts w:ascii="Book Antiqua" w:hAnsi="Book Antiqua"/>
          <w:i/>
          <w:szCs w:val="24"/>
          <w:lang w:val="es-PR"/>
        </w:rPr>
        <w:t xml:space="preserve"> mediante el Proceso Adjudicativo Expedito Alterno</w:t>
      </w:r>
      <w:r w:rsidRPr="00A640D9">
        <w:rPr>
          <w:rFonts w:ascii="Book Antiqua" w:hAnsi="Book Antiqua"/>
          <w:i/>
          <w:szCs w:val="24"/>
          <w:lang w:val="es-PR"/>
        </w:rPr>
        <w:t>.</w:t>
      </w:r>
      <w:r w:rsidRPr="00A640D9">
        <w:rPr>
          <w:rFonts w:ascii="Book Antiqua" w:hAnsi="Book Antiqua"/>
          <w:bCs/>
          <w:i/>
          <w:szCs w:val="24"/>
          <w:lang w:val="es-PR"/>
        </w:rPr>
        <w:t xml:space="preserve"> </w:t>
      </w:r>
    </w:p>
    <w:p w14:paraId="554439DB"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bCs/>
          <w:i/>
          <w:szCs w:val="24"/>
          <w:lang w:val="es-PR"/>
        </w:rPr>
        <w:t>(g) Una exposición d</w:t>
      </w:r>
      <w:r w:rsidRPr="00A640D9">
        <w:rPr>
          <w:rFonts w:ascii="Book Antiqua" w:hAnsi="Book Antiqua"/>
          <w:i/>
          <w:szCs w:val="24"/>
          <w:lang w:val="es-PR"/>
        </w:rPr>
        <w:t xml:space="preserve">el remedio que se solicita. </w:t>
      </w:r>
    </w:p>
    <w:p w14:paraId="356C5B4E" w14:textId="77777777" w:rsidR="00FC532B"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bCs/>
          <w:i/>
          <w:szCs w:val="24"/>
          <w:lang w:val="es-PR"/>
        </w:rPr>
        <w:t xml:space="preserve">(h) Una exposición de </w:t>
      </w:r>
      <w:r w:rsidRPr="00A640D9">
        <w:rPr>
          <w:rFonts w:ascii="Book Antiqua" w:hAnsi="Book Antiqua"/>
          <w:i/>
          <w:szCs w:val="24"/>
          <w:lang w:val="es-PR"/>
        </w:rPr>
        <w:t>las razones y argumentos por los cuales se debe conceder el remedio solicitado</w:t>
      </w:r>
      <w:r w:rsidR="00A8155C" w:rsidRPr="00A640D9">
        <w:rPr>
          <w:rFonts w:ascii="Book Antiqua" w:hAnsi="Book Antiqua"/>
          <w:i/>
          <w:szCs w:val="24"/>
          <w:lang w:val="es-PR"/>
        </w:rPr>
        <w:t>.</w:t>
      </w:r>
    </w:p>
    <w:p w14:paraId="18F78386" w14:textId="77777777" w:rsidR="000071B8" w:rsidRPr="00A640D9" w:rsidRDefault="000071B8" w:rsidP="00F46A63">
      <w:pPr>
        <w:spacing w:line="480" w:lineRule="auto"/>
        <w:ind w:left="720"/>
        <w:jc w:val="both"/>
        <w:rPr>
          <w:rFonts w:ascii="Book Antiqua" w:hAnsi="Book Antiqua"/>
          <w:i/>
          <w:szCs w:val="24"/>
          <w:lang w:val="es-PR"/>
        </w:rPr>
      </w:pPr>
      <w:r w:rsidRPr="00A640D9">
        <w:rPr>
          <w:rFonts w:ascii="Book Antiqua" w:hAnsi="Book Antiqua"/>
          <w:i/>
          <w:szCs w:val="24"/>
          <w:lang w:val="es-PR"/>
        </w:rPr>
        <w:lastRenderedPageBreak/>
        <w:t>(i) Evidencia de que se requirió por escrito</w:t>
      </w:r>
      <w:r w:rsidR="00CF796C" w:rsidRPr="00A640D9">
        <w:rPr>
          <w:rFonts w:ascii="Book Antiqua" w:hAnsi="Book Antiqua"/>
          <w:i/>
          <w:szCs w:val="24"/>
          <w:lang w:val="es-PR"/>
        </w:rPr>
        <w:t xml:space="preserve"> a la parte cuyo acuerdo, determinación, acción u omisión está siendo impugnada que se atendiera y dilucidara la controversia, sin que tal solicitud haya sido atendida, o que la gestión no produjo los resultados esperados.</w:t>
      </w:r>
    </w:p>
    <w:p w14:paraId="6A7D6A64" w14:textId="77777777" w:rsidR="00F52331" w:rsidRPr="00A640D9" w:rsidRDefault="00FC532B" w:rsidP="00F46A63">
      <w:pPr>
        <w:spacing w:line="480" w:lineRule="auto"/>
        <w:ind w:left="720"/>
        <w:jc w:val="both"/>
        <w:rPr>
          <w:rFonts w:ascii="Book Antiqua" w:hAnsi="Book Antiqua"/>
          <w:i/>
          <w:szCs w:val="24"/>
          <w:lang w:val="es-PR"/>
        </w:rPr>
      </w:pPr>
      <w:r w:rsidRPr="00A640D9">
        <w:rPr>
          <w:rFonts w:ascii="Book Antiqua" w:hAnsi="Book Antiqua"/>
          <w:i/>
          <w:szCs w:val="24"/>
          <w:lang w:val="es-PR"/>
        </w:rPr>
        <w:t xml:space="preserve"> (i) </w:t>
      </w:r>
      <w:r w:rsidR="00F52331" w:rsidRPr="00A640D9">
        <w:rPr>
          <w:rFonts w:ascii="Book Antiqua" w:hAnsi="Book Antiqua"/>
          <w:i/>
          <w:szCs w:val="24"/>
          <w:lang w:val="es-PR"/>
        </w:rPr>
        <w:t>D</w:t>
      </w:r>
      <w:r w:rsidRPr="00A640D9">
        <w:rPr>
          <w:rFonts w:ascii="Book Antiqua" w:hAnsi="Book Antiqua"/>
          <w:i/>
          <w:szCs w:val="24"/>
          <w:lang w:val="es-PR"/>
        </w:rPr>
        <w:t>eclaración jurada suscrita por el promovente de la solicitud, en la cual se afirme que los hechos narrados son ciertos a su mejor conocimiento; que le constan de propio y personal conocimiento a el o a uno o más testigos cuya declaración jurada al respecto se incluy</w:t>
      </w:r>
      <w:r w:rsidR="00F52331" w:rsidRPr="00A640D9">
        <w:rPr>
          <w:rFonts w:ascii="Book Antiqua" w:hAnsi="Book Antiqua"/>
          <w:i/>
          <w:szCs w:val="24"/>
          <w:lang w:val="es-PR"/>
        </w:rPr>
        <w:t>a</w:t>
      </w:r>
      <w:r w:rsidRPr="00A640D9">
        <w:rPr>
          <w:rFonts w:ascii="Book Antiqua" w:hAnsi="Book Antiqua"/>
          <w:i/>
          <w:szCs w:val="24"/>
          <w:lang w:val="es-PR"/>
        </w:rPr>
        <w:t xml:space="preserve"> con la </w:t>
      </w:r>
      <w:r w:rsidR="00A8155C" w:rsidRPr="00A640D9">
        <w:rPr>
          <w:rFonts w:ascii="Book Antiqua" w:hAnsi="Book Antiqua"/>
          <w:i/>
          <w:szCs w:val="24"/>
          <w:lang w:val="es-PR"/>
        </w:rPr>
        <w:t>solicitud</w:t>
      </w:r>
      <w:r w:rsidRPr="00A640D9">
        <w:rPr>
          <w:rFonts w:ascii="Book Antiqua" w:hAnsi="Book Antiqua"/>
          <w:i/>
          <w:szCs w:val="24"/>
          <w:lang w:val="es-PR"/>
        </w:rPr>
        <w:t>; y que la prueba y/o documentos que se incluyen son originales o copia fiel y exacta de los originales.</w:t>
      </w:r>
      <w:r w:rsidR="00F52331" w:rsidRPr="00A640D9">
        <w:rPr>
          <w:rFonts w:ascii="Book Antiqua" w:hAnsi="Book Antiqua"/>
          <w:i/>
          <w:szCs w:val="24"/>
          <w:lang w:val="es-PR"/>
        </w:rPr>
        <w:t xml:space="preserve"> </w:t>
      </w:r>
    </w:p>
    <w:p w14:paraId="68677FCD" w14:textId="08DEA5F1" w:rsidR="00FC532B" w:rsidRPr="00A640D9" w:rsidRDefault="00F52331" w:rsidP="00F46A63">
      <w:pPr>
        <w:spacing w:line="480" w:lineRule="auto"/>
        <w:ind w:left="720"/>
        <w:jc w:val="both"/>
        <w:rPr>
          <w:rFonts w:ascii="Book Antiqua" w:hAnsi="Book Antiqua"/>
          <w:i/>
          <w:szCs w:val="24"/>
          <w:lang w:val="es-PR"/>
        </w:rPr>
      </w:pPr>
      <w:r w:rsidRPr="00A640D9">
        <w:rPr>
          <w:rFonts w:ascii="Book Antiqua" w:hAnsi="Book Antiqua"/>
          <w:i/>
          <w:szCs w:val="24"/>
          <w:lang w:val="es-PR"/>
        </w:rPr>
        <w:t xml:space="preserve">(j) Copia del recibo del envío por correo certificado </w:t>
      </w:r>
      <w:r w:rsidR="009833CE">
        <w:rPr>
          <w:rFonts w:ascii="Book Antiqua" w:hAnsi="Book Antiqua"/>
          <w:i/>
          <w:szCs w:val="24"/>
          <w:lang w:val="es-PR"/>
        </w:rPr>
        <w:t xml:space="preserve">o del correo electrónico </w:t>
      </w:r>
      <w:r w:rsidRPr="00A640D9">
        <w:rPr>
          <w:rFonts w:ascii="Book Antiqua" w:hAnsi="Book Antiqua"/>
          <w:i/>
          <w:szCs w:val="24"/>
          <w:lang w:val="es-PR"/>
        </w:rPr>
        <w:t>a la parte contra la que se promueve la acción de la solicitud del Proceso Adjudicativo Expedito Alterno y los documentos que la acompañan.</w:t>
      </w:r>
    </w:p>
    <w:p w14:paraId="659ED6E1" w14:textId="67F6F65F" w:rsidR="00FC532B" w:rsidRPr="00A640D9" w:rsidRDefault="00FC532B"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Copia fiel y exacta de la solicitud y de los documentos que la acompañan será notificada a la parte contra la que se promueve la acción</w:t>
      </w:r>
      <w:r w:rsidR="00A8155C" w:rsidRPr="00A640D9">
        <w:rPr>
          <w:rFonts w:ascii="Book Antiqua" w:hAnsi="Book Antiqua"/>
          <w:i/>
          <w:szCs w:val="24"/>
          <w:lang w:val="es-PR"/>
        </w:rPr>
        <w:t xml:space="preserve"> de impugnación</w:t>
      </w:r>
      <w:r w:rsidRPr="00A640D9">
        <w:rPr>
          <w:rFonts w:ascii="Book Antiqua" w:hAnsi="Book Antiqua"/>
          <w:i/>
          <w:szCs w:val="24"/>
          <w:lang w:val="es-PR"/>
        </w:rPr>
        <w:t>, mediante correo certificado</w:t>
      </w:r>
      <w:r w:rsidR="009833CE">
        <w:rPr>
          <w:rFonts w:ascii="Book Antiqua" w:hAnsi="Book Antiqua"/>
          <w:i/>
          <w:szCs w:val="24"/>
          <w:lang w:val="es-PR"/>
        </w:rPr>
        <w:t xml:space="preserve"> o correo electrónico</w:t>
      </w:r>
      <w:r w:rsidRPr="00A640D9">
        <w:rPr>
          <w:rFonts w:ascii="Book Antiqua" w:hAnsi="Book Antiqua"/>
          <w:i/>
          <w:szCs w:val="24"/>
          <w:lang w:val="es-PR"/>
        </w:rPr>
        <w:t xml:space="preserve">, en la misma fecha que se </w:t>
      </w:r>
      <w:r w:rsidR="00A8155C" w:rsidRPr="00A640D9">
        <w:rPr>
          <w:rFonts w:ascii="Book Antiqua" w:hAnsi="Book Antiqua"/>
          <w:i/>
          <w:szCs w:val="24"/>
          <w:lang w:val="es-PR"/>
        </w:rPr>
        <w:t>presente</w:t>
      </w:r>
      <w:r w:rsidRPr="00A640D9">
        <w:rPr>
          <w:rFonts w:ascii="Book Antiqua" w:hAnsi="Book Antiqua"/>
          <w:i/>
          <w:szCs w:val="24"/>
          <w:lang w:val="es-PR"/>
        </w:rPr>
        <w:t xml:space="preserve"> la solicitud a la consideración del Departamento de Asuntos del Consumidor.</w:t>
      </w:r>
    </w:p>
    <w:p w14:paraId="19A655CD" w14:textId="77777777" w:rsidR="00FC532B" w:rsidRPr="00A640D9" w:rsidRDefault="00FC532B"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Sometida una solicitud de Proceso Adjudicativo Expedito Alterno de la forma provista en este Artículo, el Departamento de Asuntos del Consumidor vendrá obligado a notificar cualquier defecto al promovente de la solicitud y a la parte contra la cual se promueve la acción en el término jurisdiccional de quince (15) días</w:t>
      </w:r>
      <w:r w:rsidR="00A8155C" w:rsidRPr="00A640D9">
        <w:rPr>
          <w:rFonts w:ascii="Book Antiqua" w:hAnsi="Book Antiqua"/>
          <w:i/>
          <w:szCs w:val="24"/>
          <w:lang w:val="es-PR"/>
        </w:rPr>
        <w:t>, contados</w:t>
      </w:r>
      <w:r w:rsidRPr="00A640D9">
        <w:rPr>
          <w:rFonts w:ascii="Book Antiqua" w:hAnsi="Book Antiqua"/>
          <w:i/>
          <w:szCs w:val="24"/>
          <w:lang w:val="es-PR"/>
        </w:rPr>
        <w:t xml:space="preserve"> a partir de la fecha de radicación de la solicitud. El promovente de la solicitud tendrá un término de cinco (5) días laborables contados a partir de la fecha de recibo de la notificación de defecto para subsanarlo y notificar nuevamente al querellado, o para solicitar extensión del término </w:t>
      </w:r>
      <w:r w:rsidR="001C0B62" w:rsidRPr="00A640D9">
        <w:rPr>
          <w:rFonts w:ascii="Book Antiqua" w:hAnsi="Book Antiqua"/>
          <w:i/>
          <w:szCs w:val="24"/>
          <w:lang w:val="es-PR"/>
        </w:rPr>
        <w:t xml:space="preserve">hasta un máximo de 15 días </w:t>
      </w:r>
      <w:r w:rsidRPr="00A640D9">
        <w:rPr>
          <w:rFonts w:ascii="Book Antiqua" w:hAnsi="Book Antiqua"/>
          <w:i/>
          <w:szCs w:val="24"/>
          <w:lang w:val="es-PR"/>
        </w:rPr>
        <w:t xml:space="preserve">por justa causa. De incumplirse </w:t>
      </w:r>
      <w:r w:rsidRPr="00A640D9">
        <w:rPr>
          <w:rFonts w:ascii="Book Antiqua" w:hAnsi="Book Antiqua"/>
          <w:i/>
          <w:szCs w:val="24"/>
          <w:lang w:val="es-PR"/>
        </w:rPr>
        <w:lastRenderedPageBreak/>
        <w:t xml:space="preserve">este término, se desestimará la solicitud del Proceso Adjudicativo Expedito </w:t>
      </w:r>
      <w:r w:rsidR="001C0B62" w:rsidRPr="00A640D9">
        <w:rPr>
          <w:rFonts w:ascii="Book Antiqua" w:hAnsi="Book Antiqua"/>
          <w:i/>
          <w:szCs w:val="24"/>
          <w:lang w:val="es-PR"/>
        </w:rPr>
        <w:t>Alterno</w:t>
      </w:r>
      <w:r w:rsidRPr="00A640D9">
        <w:rPr>
          <w:rFonts w:ascii="Book Antiqua" w:hAnsi="Book Antiqua"/>
          <w:i/>
          <w:szCs w:val="24"/>
          <w:lang w:val="es-PR"/>
        </w:rPr>
        <w:t xml:space="preserve"> y la resolución de la controversia procederá únicamente conforme al procedimiento </w:t>
      </w:r>
      <w:r w:rsidR="001C0B62" w:rsidRPr="00A640D9">
        <w:rPr>
          <w:rFonts w:ascii="Book Antiqua" w:hAnsi="Book Antiqua"/>
          <w:i/>
          <w:szCs w:val="24"/>
          <w:lang w:val="es-PR"/>
        </w:rPr>
        <w:t>ordinario</w:t>
      </w:r>
      <w:r w:rsidRPr="00A640D9">
        <w:rPr>
          <w:rFonts w:ascii="Book Antiqua" w:hAnsi="Book Antiqua"/>
          <w:i/>
          <w:szCs w:val="24"/>
          <w:lang w:val="es-PR"/>
        </w:rPr>
        <w:t xml:space="preserve"> establecido en esta Ley.</w:t>
      </w:r>
    </w:p>
    <w:p w14:paraId="1D3647B5" w14:textId="77777777" w:rsidR="00FC532B" w:rsidRPr="00A640D9" w:rsidRDefault="00FC532B"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 xml:space="preserve">Cuando el Departamento de Asuntos del Consumidor no haya notificado defecto dentro del término jurisdiccional, se considerará acogida la solicitud del Proceso Adjudicativo Expedito Alterno. El Departamento procederá a designar un oficial examinador, notificar las órdenes iniciales a las partes y señalar fecha para la conferencia con antelación a la vista y primera vista dentro de los treinta (30) días siguientes a la fecha en que fue instada la solicitud. </w:t>
      </w:r>
    </w:p>
    <w:p w14:paraId="4669A100" w14:textId="77777777" w:rsidR="00FC532B" w:rsidRPr="00A640D9" w:rsidRDefault="00FC532B"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 xml:space="preserve">Cuando se presente una solicitud de Proceso Adjudicativo Expedito conforme a las disposiciones de este Artículo, la parte contra la que se promueve la acción estará obligada a contestar dentro del término de 20 días del recibo de la notificación de la solicitud; o dentro del término de 20 días del recibo de la notificación subsanada, cuando se haya notificado defecto. La contestación se hará en forma tan detallada y específica como lo haya hecho la parte promovente. </w:t>
      </w:r>
      <w:r w:rsidR="0016019C" w:rsidRPr="00A640D9">
        <w:rPr>
          <w:rFonts w:ascii="Book Antiqua" w:hAnsi="Book Antiqua"/>
          <w:i/>
          <w:szCs w:val="24"/>
          <w:lang w:val="es-PR"/>
        </w:rPr>
        <w:t>Cada</w:t>
      </w:r>
      <w:r w:rsidR="001C0B62" w:rsidRPr="00A640D9">
        <w:rPr>
          <w:rFonts w:ascii="Book Antiqua" w:hAnsi="Book Antiqua"/>
          <w:i/>
          <w:szCs w:val="24"/>
          <w:lang w:val="es-PR"/>
        </w:rPr>
        <w:t xml:space="preserve"> t</w:t>
      </w:r>
      <w:r w:rsidR="0016019C" w:rsidRPr="00A640D9">
        <w:rPr>
          <w:rFonts w:ascii="Book Antiqua" w:hAnsi="Book Antiqua"/>
          <w:i/>
          <w:szCs w:val="24"/>
          <w:lang w:val="es-PR"/>
        </w:rPr>
        <w:t>érmino</w:t>
      </w:r>
      <w:r w:rsidR="001C0B62" w:rsidRPr="00A640D9">
        <w:rPr>
          <w:rFonts w:ascii="Book Antiqua" w:hAnsi="Book Antiqua"/>
          <w:i/>
          <w:szCs w:val="24"/>
          <w:lang w:val="es-PR"/>
        </w:rPr>
        <w:t xml:space="preserve"> podrá extenderse por justa causa hasta un máximo de quince días adicionales, siempre que se solicite la extensión antes del vencimiento del término original. </w:t>
      </w:r>
      <w:r w:rsidRPr="00A640D9">
        <w:rPr>
          <w:rFonts w:ascii="Book Antiqua" w:hAnsi="Book Antiqua"/>
          <w:i/>
          <w:szCs w:val="24"/>
          <w:lang w:val="es-PR"/>
        </w:rPr>
        <w:t>De incumplirse estos términos, se considerarán incontrovertidas las alegaciones de la parte promovente y el Departamento de Asuntos del Consumidor podrá conceder el remedio solicitado a base del contenido de la petición, si determina que dicho remedio procede conforme a derecho.</w:t>
      </w:r>
    </w:p>
    <w:p w14:paraId="5D526A52" w14:textId="77777777" w:rsidR="000E769D" w:rsidRPr="00A640D9" w:rsidRDefault="00311BA2"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Cuando la parte contra la que se promueve la acción demuestre a satisfacción del Secretario del DACo que no es posible contestar adecuadamente la acción de impugnación dentro del término máx</w:t>
      </w:r>
      <w:r w:rsidR="000E769D" w:rsidRPr="00A640D9">
        <w:rPr>
          <w:rFonts w:ascii="Book Antiqua" w:hAnsi="Book Antiqua"/>
          <w:i/>
          <w:szCs w:val="24"/>
          <w:lang w:val="es-PR"/>
        </w:rPr>
        <w:t>imo, incluyendo las extensiones</w:t>
      </w:r>
      <w:r w:rsidRPr="00A640D9">
        <w:rPr>
          <w:rFonts w:ascii="Book Antiqua" w:hAnsi="Book Antiqua"/>
          <w:i/>
          <w:szCs w:val="24"/>
          <w:lang w:val="es-PR"/>
        </w:rPr>
        <w:t xml:space="preserve"> que provee este Artículo, </w:t>
      </w:r>
      <w:r w:rsidR="00ED1597" w:rsidRPr="00A640D9">
        <w:rPr>
          <w:rFonts w:ascii="Book Antiqua" w:hAnsi="Book Antiqua"/>
          <w:i/>
          <w:szCs w:val="24"/>
          <w:lang w:val="es-PR"/>
        </w:rPr>
        <w:t>podrá</w:t>
      </w:r>
      <w:r w:rsidRPr="00A640D9">
        <w:rPr>
          <w:rFonts w:ascii="Book Antiqua" w:hAnsi="Book Antiqua"/>
          <w:i/>
          <w:szCs w:val="24"/>
          <w:lang w:val="es-PR"/>
        </w:rPr>
        <w:t xml:space="preserve"> solicit</w:t>
      </w:r>
      <w:r w:rsidR="00ED1597" w:rsidRPr="00A640D9">
        <w:rPr>
          <w:rFonts w:ascii="Book Antiqua" w:hAnsi="Book Antiqua"/>
          <w:i/>
          <w:szCs w:val="24"/>
          <w:lang w:val="es-PR"/>
        </w:rPr>
        <w:t>ar la desestimación</w:t>
      </w:r>
      <w:r w:rsidRPr="00A640D9">
        <w:rPr>
          <w:rFonts w:ascii="Book Antiqua" w:hAnsi="Book Antiqua"/>
          <w:i/>
          <w:szCs w:val="24"/>
          <w:lang w:val="es-PR"/>
        </w:rPr>
        <w:t xml:space="preserve"> del Proceso Adjudicativo Expedito Alterno y </w:t>
      </w:r>
      <w:r w:rsidR="00ED1597" w:rsidRPr="00A640D9">
        <w:rPr>
          <w:rFonts w:ascii="Book Antiqua" w:hAnsi="Book Antiqua"/>
          <w:i/>
          <w:szCs w:val="24"/>
          <w:lang w:val="es-PR"/>
        </w:rPr>
        <w:t xml:space="preserve">que </w:t>
      </w:r>
      <w:r w:rsidRPr="00A640D9">
        <w:rPr>
          <w:rFonts w:ascii="Book Antiqua" w:hAnsi="Book Antiqua"/>
          <w:i/>
          <w:szCs w:val="24"/>
          <w:lang w:val="es-PR"/>
        </w:rPr>
        <w:t>la resolución de la controversia proced</w:t>
      </w:r>
      <w:r w:rsidR="00ED1597" w:rsidRPr="00A640D9">
        <w:rPr>
          <w:rFonts w:ascii="Book Antiqua" w:hAnsi="Book Antiqua"/>
          <w:i/>
          <w:szCs w:val="24"/>
          <w:lang w:val="es-PR"/>
        </w:rPr>
        <w:t>a</w:t>
      </w:r>
      <w:r w:rsidRPr="00A640D9">
        <w:rPr>
          <w:rFonts w:ascii="Book Antiqua" w:hAnsi="Book Antiqua"/>
          <w:i/>
          <w:szCs w:val="24"/>
          <w:lang w:val="es-PR"/>
        </w:rPr>
        <w:t xml:space="preserve"> conforme al </w:t>
      </w:r>
      <w:r w:rsidRPr="00A640D9">
        <w:rPr>
          <w:rFonts w:ascii="Book Antiqua" w:hAnsi="Book Antiqua"/>
          <w:i/>
          <w:szCs w:val="24"/>
          <w:lang w:val="es-PR"/>
        </w:rPr>
        <w:lastRenderedPageBreak/>
        <w:t>procedimiento ordinario establecido en esta Ley</w:t>
      </w:r>
      <w:r w:rsidR="00C47AB1" w:rsidRPr="00A640D9">
        <w:rPr>
          <w:rFonts w:ascii="Book Antiqua" w:hAnsi="Book Antiqua"/>
          <w:i/>
          <w:szCs w:val="24"/>
          <w:lang w:val="es-PR"/>
        </w:rPr>
        <w:t xml:space="preserve"> y el Reglamento</w:t>
      </w:r>
      <w:r w:rsidRPr="00A640D9">
        <w:rPr>
          <w:rFonts w:ascii="Book Antiqua" w:hAnsi="Book Antiqua"/>
          <w:i/>
          <w:szCs w:val="24"/>
          <w:lang w:val="es-PR"/>
        </w:rPr>
        <w:t>.</w:t>
      </w:r>
      <w:r w:rsidR="000E769D" w:rsidRPr="00A640D9">
        <w:rPr>
          <w:rFonts w:ascii="Book Antiqua" w:hAnsi="Book Antiqua"/>
          <w:i/>
          <w:szCs w:val="24"/>
          <w:lang w:val="es-PR"/>
        </w:rPr>
        <w:t xml:space="preserve"> La solicit</w:t>
      </w:r>
      <w:r w:rsidR="00AB66B9" w:rsidRPr="00A640D9">
        <w:rPr>
          <w:rFonts w:ascii="Book Antiqua" w:hAnsi="Book Antiqua"/>
          <w:i/>
          <w:szCs w:val="24"/>
          <w:lang w:val="es-PR"/>
        </w:rPr>
        <w:t>ud</w:t>
      </w:r>
      <w:r w:rsidR="000E769D" w:rsidRPr="00A640D9">
        <w:rPr>
          <w:rFonts w:ascii="Book Antiqua" w:hAnsi="Book Antiqua"/>
          <w:i/>
          <w:szCs w:val="24"/>
          <w:lang w:val="es-PR"/>
        </w:rPr>
        <w:t xml:space="preserve"> </w:t>
      </w:r>
      <w:r w:rsidR="00AB66B9" w:rsidRPr="00A640D9">
        <w:rPr>
          <w:rFonts w:ascii="Book Antiqua" w:hAnsi="Book Antiqua"/>
          <w:i/>
          <w:szCs w:val="24"/>
          <w:lang w:val="es-PR"/>
        </w:rPr>
        <w:t>de</w:t>
      </w:r>
      <w:r w:rsidR="000E769D" w:rsidRPr="00A640D9">
        <w:rPr>
          <w:rFonts w:ascii="Book Antiqua" w:hAnsi="Book Antiqua"/>
          <w:i/>
          <w:szCs w:val="24"/>
          <w:lang w:val="es-PR"/>
        </w:rPr>
        <w:t xml:space="preserve"> desestimación del Proceso Adjudicativo Expedito Alterno</w:t>
      </w:r>
      <w:r w:rsidR="00AB66B9" w:rsidRPr="00A640D9">
        <w:rPr>
          <w:rFonts w:ascii="Book Antiqua" w:hAnsi="Book Antiqua"/>
          <w:i/>
          <w:szCs w:val="24"/>
          <w:lang w:val="es-PR"/>
        </w:rPr>
        <w:t xml:space="preserve"> deberá presentarse</w:t>
      </w:r>
      <w:r w:rsidR="000E769D" w:rsidRPr="00A640D9">
        <w:rPr>
          <w:rFonts w:ascii="Book Antiqua" w:hAnsi="Book Antiqua"/>
          <w:i/>
          <w:szCs w:val="24"/>
          <w:lang w:val="es-PR"/>
        </w:rPr>
        <w:t xml:space="preserve"> antes del vencimiento de los términos que se provean conforme a </w:t>
      </w:r>
      <w:r w:rsidR="00AB66B9" w:rsidRPr="00A640D9">
        <w:rPr>
          <w:rFonts w:ascii="Book Antiqua" w:hAnsi="Book Antiqua"/>
          <w:i/>
          <w:szCs w:val="24"/>
          <w:lang w:val="es-PR"/>
        </w:rPr>
        <w:t xml:space="preserve">las disposiciones de </w:t>
      </w:r>
      <w:r w:rsidR="000E769D" w:rsidRPr="00A640D9">
        <w:rPr>
          <w:rFonts w:ascii="Book Antiqua" w:hAnsi="Book Antiqua"/>
          <w:i/>
          <w:szCs w:val="24"/>
          <w:lang w:val="es-PR"/>
        </w:rPr>
        <w:t>este Artículo.</w:t>
      </w:r>
    </w:p>
    <w:p w14:paraId="3DC5A627" w14:textId="77777777" w:rsidR="00FC532B" w:rsidRPr="00A640D9" w:rsidRDefault="00FC532B"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Las partes están obligadas a actuar de buena fe, cooperar en el proceso y proveer toda la información y/o documentación que el Departamento de Asuntos del Consumidor determine esencial a la resolución de la controversia. De determinar que una parte actúa de manera contumaz, podrá</w:t>
      </w:r>
      <w:r w:rsidR="000E769D" w:rsidRPr="00A640D9">
        <w:rPr>
          <w:rFonts w:ascii="Book Antiqua" w:hAnsi="Book Antiqua"/>
          <w:i/>
          <w:szCs w:val="24"/>
          <w:lang w:val="es-PR"/>
        </w:rPr>
        <w:t>n</w:t>
      </w:r>
      <w:r w:rsidRPr="00A640D9">
        <w:rPr>
          <w:rFonts w:ascii="Book Antiqua" w:hAnsi="Book Antiqua"/>
          <w:i/>
          <w:szCs w:val="24"/>
          <w:lang w:val="es-PR"/>
        </w:rPr>
        <w:t xml:space="preserve"> desestimar</w:t>
      </w:r>
      <w:r w:rsidR="000E769D" w:rsidRPr="00A640D9">
        <w:rPr>
          <w:rFonts w:ascii="Book Antiqua" w:hAnsi="Book Antiqua"/>
          <w:i/>
          <w:szCs w:val="24"/>
          <w:lang w:val="es-PR"/>
        </w:rPr>
        <w:t>se</w:t>
      </w:r>
      <w:r w:rsidRPr="00A640D9">
        <w:rPr>
          <w:rFonts w:ascii="Book Antiqua" w:hAnsi="Book Antiqua"/>
          <w:i/>
          <w:szCs w:val="24"/>
          <w:lang w:val="es-PR"/>
        </w:rPr>
        <w:t xml:space="preserve"> sus alegaciones y, de proceder en derecho, declarar ha lugar las alegaciones y/o petición de la contraparte. </w:t>
      </w:r>
    </w:p>
    <w:p w14:paraId="62840241" w14:textId="77777777" w:rsidR="001C50D3" w:rsidRPr="00A640D9" w:rsidRDefault="001C50D3"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El Proce</w:t>
      </w:r>
      <w:r w:rsidR="002D420F" w:rsidRPr="00A640D9">
        <w:rPr>
          <w:rFonts w:ascii="Book Antiqua" w:hAnsi="Book Antiqua"/>
          <w:i/>
          <w:szCs w:val="24"/>
          <w:lang w:val="es-PR"/>
        </w:rPr>
        <w:t>so</w:t>
      </w:r>
      <w:r w:rsidRPr="00A640D9">
        <w:rPr>
          <w:rFonts w:ascii="Book Antiqua" w:hAnsi="Book Antiqua"/>
          <w:i/>
          <w:szCs w:val="24"/>
          <w:lang w:val="es-PR"/>
        </w:rPr>
        <w:t xml:space="preserve"> Adjudicativo Expedito Alterno procederá conforme a las disposiciones del Capítulo III sobre Procedimientos Adjudicativos de la Ley de Procedimiento Administrativo Uniforme de 2020, según enmendada, en todo lo que no sea incompatible o contrario a este Artículo.</w:t>
      </w:r>
    </w:p>
    <w:p w14:paraId="7D575A84" w14:textId="77777777" w:rsidR="00ED1597" w:rsidRPr="00A640D9" w:rsidRDefault="00ED1597" w:rsidP="00F46A63">
      <w:pPr>
        <w:spacing w:line="480" w:lineRule="auto"/>
        <w:ind w:firstLine="720"/>
        <w:jc w:val="both"/>
        <w:rPr>
          <w:rFonts w:ascii="Book Antiqua" w:hAnsi="Book Antiqua"/>
          <w:i/>
          <w:szCs w:val="24"/>
          <w:lang w:val="es-PR"/>
        </w:rPr>
      </w:pPr>
      <w:r w:rsidRPr="00A640D9">
        <w:rPr>
          <w:rFonts w:ascii="Book Antiqua" w:hAnsi="Book Antiqua"/>
          <w:i/>
          <w:szCs w:val="24"/>
          <w:lang w:val="es-PR"/>
        </w:rPr>
        <w:t xml:space="preserve">Acogida una solicitud del Proceso Adjudicativo Expedito Alterno </w:t>
      </w:r>
      <w:r w:rsidR="00FC532B" w:rsidRPr="00A640D9">
        <w:rPr>
          <w:rFonts w:ascii="Book Antiqua" w:hAnsi="Book Antiqua"/>
          <w:i/>
          <w:szCs w:val="24"/>
          <w:lang w:val="es-PR"/>
        </w:rPr>
        <w:t>Todo en cumplimiento pleno de los requisi</w:t>
      </w:r>
      <w:r w:rsidR="00AB66B9" w:rsidRPr="00A640D9">
        <w:rPr>
          <w:rFonts w:ascii="Book Antiqua" w:hAnsi="Book Antiqua"/>
          <w:i/>
          <w:szCs w:val="24"/>
          <w:lang w:val="es-PR"/>
        </w:rPr>
        <w:t>tos dispuestos en este Artículo</w:t>
      </w:r>
      <w:r w:rsidRPr="00A640D9">
        <w:rPr>
          <w:rFonts w:ascii="Book Antiqua" w:hAnsi="Book Antiqua"/>
          <w:i/>
          <w:szCs w:val="24"/>
          <w:lang w:val="es-PR"/>
        </w:rPr>
        <w:t>, el Departamento de Asuntos del Consumidor</w:t>
      </w:r>
      <w:r w:rsidR="00FC532B" w:rsidRPr="00A640D9">
        <w:rPr>
          <w:rFonts w:ascii="Book Antiqua" w:hAnsi="Book Antiqua"/>
          <w:i/>
          <w:szCs w:val="24"/>
          <w:lang w:val="es-PR"/>
        </w:rPr>
        <w:t xml:space="preserve"> deberá res</w:t>
      </w:r>
      <w:r w:rsidRPr="00A640D9">
        <w:rPr>
          <w:rFonts w:ascii="Book Antiqua" w:hAnsi="Book Antiqua"/>
          <w:i/>
          <w:szCs w:val="24"/>
          <w:lang w:val="es-PR"/>
        </w:rPr>
        <w:t>olver la controversia</w:t>
      </w:r>
      <w:r w:rsidR="00FC532B" w:rsidRPr="00A640D9">
        <w:rPr>
          <w:rFonts w:ascii="Book Antiqua" w:hAnsi="Book Antiqua"/>
          <w:i/>
          <w:szCs w:val="24"/>
          <w:lang w:val="es-PR"/>
        </w:rPr>
        <w:t xml:space="preserve"> dentro de un término </w:t>
      </w:r>
      <w:r w:rsidR="00AB66B9" w:rsidRPr="00A640D9">
        <w:rPr>
          <w:rFonts w:ascii="Book Antiqua" w:hAnsi="Book Antiqua"/>
          <w:i/>
          <w:szCs w:val="24"/>
          <w:lang w:val="es-PR"/>
        </w:rPr>
        <w:t>jurisdiccional</w:t>
      </w:r>
      <w:r w:rsidR="00FC532B" w:rsidRPr="00A640D9">
        <w:rPr>
          <w:rFonts w:ascii="Book Antiqua" w:hAnsi="Book Antiqua"/>
          <w:i/>
          <w:szCs w:val="24"/>
          <w:lang w:val="es-PR"/>
        </w:rPr>
        <w:t xml:space="preserve"> de sesenta (60) días, a partir de la radicación de la solicitud. </w:t>
      </w:r>
      <w:r w:rsidRPr="00A640D9">
        <w:rPr>
          <w:rFonts w:ascii="Book Antiqua" w:hAnsi="Book Antiqua"/>
          <w:i/>
          <w:szCs w:val="24"/>
          <w:lang w:val="es-PR"/>
        </w:rPr>
        <w:t>Las determinaciones del DACo emitidas conforme a las disposiciones de este Artículo serán revisables únicamente ante el Tribunal de Apelaciones.</w:t>
      </w:r>
    </w:p>
    <w:p w14:paraId="1B38712B" w14:textId="77777777" w:rsidR="00F03FDF" w:rsidRPr="002C44F0" w:rsidRDefault="00FC532B" w:rsidP="00F46A63">
      <w:pPr>
        <w:spacing w:line="480" w:lineRule="auto"/>
        <w:ind w:firstLine="720"/>
        <w:jc w:val="both"/>
        <w:rPr>
          <w:rFonts w:ascii="Book Antiqua" w:hAnsi="Book Antiqua"/>
          <w:szCs w:val="24"/>
          <w:lang w:val="es-PR"/>
        </w:rPr>
      </w:pPr>
      <w:r w:rsidRPr="00A640D9">
        <w:rPr>
          <w:rFonts w:ascii="Book Antiqua" w:hAnsi="Book Antiqua"/>
          <w:i/>
          <w:szCs w:val="24"/>
          <w:lang w:val="es-PR"/>
        </w:rPr>
        <w:t xml:space="preserve">De incumplirse </w:t>
      </w:r>
      <w:r w:rsidR="00ED1597" w:rsidRPr="00A640D9">
        <w:rPr>
          <w:rFonts w:ascii="Book Antiqua" w:hAnsi="Book Antiqua"/>
          <w:i/>
          <w:szCs w:val="24"/>
          <w:lang w:val="es-PR"/>
        </w:rPr>
        <w:t>el término jurisdiccional de sesenta (60) días para resolver la controversia</w:t>
      </w:r>
      <w:r w:rsidRPr="00A640D9">
        <w:rPr>
          <w:rFonts w:ascii="Book Antiqua" w:hAnsi="Book Antiqua"/>
          <w:i/>
          <w:szCs w:val="24"/>
          <w:lang w:val="es-PR"/>
        </w:rPr>
        <w:t xml:space="preserve">, el promovente de la acción podrá presentar </w:t>
      </w:r>
      <w:r w:rsidR="0031699F" w:rsidRPr="00A640D9">
        <w:rPr>
          <w:rFonts w:ascii="Book Antiqua" w:hAnsi="Book Antiqua"/>
          <w:i/>
          <w:szCs w:val="24"/>
          <w:lang w:val="es-PR"/>
        </w:rPr>
        <w:t xml:space="preserve">una </w:t>
      </w:r>
      <w:r w:rsidR="001C50D3" w:rsidRPr="00A640D9">
        <w:rPr>
          <w:rFonts w:ascii="Book Antiqua" w:hAnsi="Book Antiqua"/>
          <w:i/>
          <w:szCs w:val="24"/>
          <w:lang w:val="es-PR"/>
        </w:rPr>
        <w:t>acción de impugnación</w:t>
      </w:r>
      <w:r w:rsidRPr="00A640D9">
        <w:rPr>
          <w:rFonts w:ascii="Book Antiqua" w:hAnsi="Book Antiqua"/>
          <w:i/>
          <w:szCs w:val="24"/>
          <w:lang w:val="es-PR"/>
        </w:rPr>
        <w:t xml:space="preserve"> ante el Tribunal de Primera Instancia. La </w:t>
      </w:r>
      <w:r w:rsidR="0031699F" w:rsidRPr="00A640D9">
        <w:rPr>
          <w:rFonts w:ascii="Book Antiqua" w:hAnsi="Book Antiqua"/>
          <w:i/>
          <w:szCs w:val="24"/>
          <w:lang w:val="es-PR"/>
        </w:rPr>
        <w:t>acción</w:t>
      </w:r>
      <w:r w:rsidRPr="00A640D9">
        <w:rPr>
          <w:rFonts w:ascii="Book Antiqua" w:hAnsi="Book Antiqua"/>
          <w:i/>
          <w:szCs w:val="24"/>
          <w:lang w:val="es-PR"/>
        </w:rPr>
        <w:t xml:space="preserve"> presentada ante el Tribunal de Primera Instancia estará sujeta a las </w:t>
      </w:r>
      <w:r w:rsidR="001C50D3" w:rsidRPr="00A640D9">
        <w:rPr>
          <w:rFonts w:ascii="Book Antiqua" w:hAnsi="Book Antiqua"/>
          <w:i/>
          <w:szCs w:val="24"/>
          <w:lang w:val="es-PR"/>
        </w:rPr>
        <w:t xml:space="preserve">normas y términos establecidos en las </w:t>
      </w:r>
      <w:r w:rsidRPr="00A640D9">
        <w:rPr>
          <w:rFonts w:ascii="Book Antiqua" w:hAnsi="Book Antiqua"/>
          <w:i/>
          <w:szCs w:val="24"/>
          <w:lang w:val="es-PR"/>
        </w:rPr>
        <w:t>Reglas de Procedimiento Civil.</w:t>
      </w:r>
      <w:r w:rsidR="00F03FDF" w:rsidRPr="002C44F0">
        <w:rPr>
          <w:rFonts w:ascii="Book Antiqua" w:hAnsi="Book Antiqua"/>
          <w:szCs w:val="24"/>
          <w:lang w:val="es-PR"/>
        </w:rPr>
        <w:t>”</w:t>
      </w:r>
    </w:p>
    <w:p w14:paraId="5F5A31CC" w14:textId="77777777" w:rsidR="00D67B1E" w:rsidRPr="00CF7A73" w:rsidRDefault="00D67B1E" w:rsidP="00F46A63">
      <w:pPr>
        <w:spacing w:line="480" w:lineRule="auto"/>
        <w:jc w:val="both"/>
        <w:rPr>
          <w:rFonts w:ascii="Book Antiqua" w:hAnsi="Book Antiqua"/>
          <w:bCs/>
          <w:szCs w:val="24"/>
          <w:lang w:val="es-PR"/>
        </w:rPr>
      </w:pPr>
      <w:r w:rsidRPr="00CF7A73">
        <w:rPr>
          <w:rFonts w:ascii="Book Antiqua" w:hAnsi="Book Antiqua"/>
          <w:bCs/>
          <w:szCs w:val="24"/>
          <w:lang w:val="es-PR"/>
        </w:rPr>
        <w:t>Sección 3. Separabilidad</w:t>
      </w:r>
    </w:p>
    <w:p w14:paraId="22353B46" w14:textId="77777777" w:rsidR="001C297B" w:rsidRPr="002142D0" w:rsidRDefault="00D67B1E" w:rsidP="00F46A63">
      <w:pPr>
        <w:spacing w:line="480" w:lineRule="auto"/>
        <w:ind w:firstLine="540"/>
        <w:jc w:val="both"/>
        <w:rPr>
          <w:rFonts w:ascii="Book Antiqua" w:hAnsi="Book Antiqua"/>
          <w:szCs w:val="24"/>
          <w:lang w:val="es-PR"/>
        </w:rPr>
      </w:pPr>
      <w:r w:rsidRPr="002142D0">
        <w:rPr>
          <w:rFonts w:ascii="Book Antiqua" w:hAnsi="Book Antiqua"/>
          <w:szCs w:val="24"/>
          <w:lang w:val="es-PR"/>
        </w:rPr>
        <w:lastRenderedPageBreak/>
        <w:t>Si</w:t>
      </w:r>
      <w:r w:rsidR="001C297B" w:rsidRPr="002142D0">
        <w:rPr>
          <w:rFonts w:ascii="Book Antiqua" w:hAnsi="Book Antiqua"/>
          <w:szCs w:val="24"/>
          <w:lang w:val="es-PR"/>
        </w:rPr>
        <w:t xml:space="preserve"> fuera anulada o declarada inconstitucional</w:t>
      </w:r>
      <w:r w:rsidRPr="002142D0">
        <w:rPr>
          <w:rFonts w:ascii="Book Antiqua" w:hAnsi="Book Antiqua"/>
          <w:szCs w:val="24"/>
          <w:lang w:val="es-PR"/>
        </w:rPr>
        <w:t xml:space="preserve"> cualquier cláusula, párrafo, subpárrafo, oración, palabra, letra, artículo, disposición, sección, subsección, título, capítulo, subcapítulo, acápite o parte de esta Ley</w:t>
      </w:r>
      <w:r w:rsidR="001C297B" w:rsidRPr="002142D0">
        <w:rPr>
          <w:rFonts w:ascii="Book Antiqua" w:hAnsi="Book Antiqua"/>
          <w:szCs w:val="24"/>
          <w:lang w:val="es-PR"/>
        </w:rPr>
        <w:t>; o la aplicación de cualquiera de las anteriores a una persona o a una circunstancia particular;</w:t>
      </w:r>
      <w:r w:rsidRPr="002142D0">
        <w:rPr>
          <w:rFonts w:ascii="Book Antiqua" w:hAnsi="Book Antiqua"/>
          <w:szCs w:val="24"/>
          <w:lang w:val="es-PR"/>
        </w:rPr>
        <w:t xml:space="preserve"> la resolución, dictamen o sentencia a tal efecto </w:t>
      </w:r>
      <w:r w:rsidR="001C297B" w:rsidRPr="002142D0">
        <w:rPr>
          <w:rFonts w:ascii="Book Antiqua" w:hAnsi="Book Antiqua"/>
          <w:szCs w:val="24"/>
          <w:lang w:val="es-PR"/>
        </w:rPr>
        <w:t xml:space="preserve">no afectará, perjudicará, ni invalidará el remanente de esta Ley ni su </w:t>
      </w:r>
      <w:r w:rsidRPr="002142D0">
        <w:rPr>
          <w:rFonts w:ascii="Book Antiqua" w:hAnsi="Book Antiqua"/>
          <w:szCs w:val="24"/>
          <w:lang w:val="es-PR"/>
        </w:rPr>
        <w:t>aplicación</w:t>
      </w:r>
      <w:r w:rsidR="001C297B" w:rsidRPr="002142D0">
        <w:rPr>
          <w:rFonts w:ascii="Book Antiqua" w:hAnsi="Book Antiqua"/>
          <w:szCs w:val="24"/>
          <w:lang w:val="es-PR"/>
        </w:rPr>
        <w:t xml:space="preserve"> </w:t>
      </w:r>
      <w:r w:rsidRPr="002142D0">
        <w:rPr>
          <w:rFonts w:ascii="Book Antiqua" w:hAnsi="Book Antiqua"/>
          <w:szCs w:val="24"/>
          <w:lang w:val="es-PR"/>
        </w:rPr>
        <w:t>a aquellas personas o circunstancias en que pueda aplicar</w:t>
      </w:r>
      <w:r w:rsidR="002142D0" w:rsidRPr="002142D0">
        <w:rPr>
          <w:rFonts w:ascii="Book Antiqua" w:hAnsi="Book Antiqua"/>
          <w:szCs w:val="24"/>
          <w:lang w:val="es-PR"/>
        </w:rPr>
        <w:t>se</w:t>
      </w:r>
      <w:r w:rsidRPr="002142D0">
        <w:rPr>
          <w:rFonts w:ascii="Book Antiqua" w:hAnsi="Book Antiqua"/>
          <w:szCs w:val="24"/>
          <w:lang w:val="es-PR"/>
        </w:rPr>
        <w:t xml:space="preserve"> válidamente. </w:t>
      </w:r>
    </w:p>
    <w:p w14:paraId="6F2FAFF0" w14:textId="77777777" w:rsidR="00D67B1E" w:rsidRDefault="00D67B1E" w:rsidP="00F46A63">
      <w:pPr>
        <w:spacing w:line="480" w:lineRule="auto"/>
        <w:ind w:firstLine="540"/>
        <w:jc w:val="both"/>
        <w:rPr>
          <w:rFonts w:ascii="Book Antiqua" w:hAnsi="Book Antiqua"/>
          <w:szCs w:val="24"/>
          <w:lang w:val="es-PR"/>
        </w:rPr>
      </w:pPr>
      <w:r>
        <w:rPr>
          <w:rFonts w:ascii="Book Antiqua" w:hAnsi="Book Antiqua"/>
          <w:szCs w:val="24"/>
          <w:lang w:val="es-PR"/>
        </w:rPr>
        <w:t xml:space="preserve">Es la voluntad expresa e inequívoca de esta Asamblea Legislativa que los tribunales hagan cumplir las disposiciones y la aplicación de esta ley en la mayor medida posible, </w:t>
      </w:r>
      <w:r w:rsidR="002142D0" w:rsidRPr="002142D0">
        <w:rPr>
          <w:rFonts w:ascii="Book Antiqua" w:hAnsi="Book Antiqua"/>
          <w:szCs w:val="24"/>
          <w:lang w:val="es-PR"/>
        </w:rPr>
        <w:t xml:space="preserve">a aquellas personas o circunstancias en que pueda aplicarse válidamente. </w:t>
      </w:r>
    </w:p>
    <w:p w14:paraId="137D7D48" w14:textId="77777777" w:rsidR="008408C2" w:rsidRPr="002C44F0" w:rsidRDefault="00925961" w:rsidP="00F46A63">
      <w:pPr>
        <w:spacing w:line="480" w:lineRule="auto"/>
        <w:jc w:val="both"/>
        <w:rPr>
          <w:rFonts w:ascii="Book Antiqua" w:hAnsi="Book Antiqua"/>
          <w:lang w:val="es-PR"/>
        </w:rPr>
      </w:pPr>
      <w:r w:rsidRPr="00CF7A73">
        <w:rPr>
          <w:rFonts w:ascii="Book Antiqua" w:hAnsi="Book Antiqua"/>
          <w:bCs/>
          <w:szCs w:val="24"/>
          <w:lang w:val="es-PR"/>
        </w:rPr>
        <w:t xml:space="preserve">Sección </w:t>
      </w:r>
      <w:r w:rsidR="00D67B1E" w:rsidRPr="00CF7A73">
        <w:rPr>
          <w:rFonts w:ascii="Book Antiqua" w:hAnsi="Book Antiqua"/>
          <w:bCs/>
          <w:szCs w:val="24"/>
          <w:lang w:val="es-PR"/>
        </w:rPr>
        <w:t>4</w:t>
      </w:r>
      <w:r w:rsidRPr="00CF7A73">
        <w:rPr>
          <w:rFonts w:ascii="Book Antiqua" w:hAnsi="Book Antiqua"/>
          <w:bCs/>
          <w:szCs w:val="24"/>
          <w:lang w:val="es-PR"/>
        </w:rPr>
        <w:t>.</w:t>
      </w:r>
      <w:r w:rsidRPr="002C44F0">
        <w:rPr>
          <w:rFonts w:ascii="Book Antiqua" w:hAnsi="Book Antiqua"/>
          <w:szCs w:val="24"/>
          <w:lang w:val="es-PR"/>
        </w:rPr>
        <w:t xml:space="preserve"> </w:t>
      </w:r>
      <w:r w:rsidR="007B7980" w:rsidRPr="002C44F0">
        <w:rPr>
          <w:rFonts w:ascii="Book Antiqua" w:hAnsi="Book Antiqua"/>
          <w:lang w:val="es-PR"/>
        </w:rPr>
        <w:t xml:space="preserve">Vigencia </w:t>
      </w:r>
    </w:p>
    <w:p w14:paraId="503BE6A2" w14:textId="77777777" w:rsidR="00F761B9" w:rsidRPr="002C44F0" w:rsidRDefault="00F761B9" w:rsidP="00F46A63">
      <w:pPr>
        <w:spacing w:line="480" w:lineRule="auto"/>
        <w:ind w:firstLine="708"/>
        <w:jc w:val="both"/>
        <w:rPr>
          <w:rFonts w:ascii="Book Antiqua" w:hAnsi="Book Antiqua"/>
          <w:lang w:val="es-PR"/>
        </w:rPr>
      </w:pPr>
      <w:r w:rsidRPr="002C44F0">
        <w:rPr>
          <w:rFonts w:ascii="Book Antiqua" w:hAnsi="Book Antiqua"/>
          <w:lang w:val="es-PR"/>
        </w:rPr>
        <w:t xml:space="preserve">Esta </w:t>
      </w:r>
      <w:r w:rsidR="007B7980" w:rsidRPr="002C44F0">
        <w:rPr>
          <w:rFonts w:ascii="Book Antiqua" w:hAnsi="Book Antiqua"/>
          <w:lang w:val="es-PR"/>
        </w:rPr>
        <w:t>Ley</w:t>
      </w:r>
      <w:r w:rsidRPr="002C44F0">
        <w:rPr>
          <w:rFonts w:ascii="Book Antiqua" w:hAnsi="Book Antiqua"/>
          <w:lang w:val="es-PR"/>
        </w:rPr>
        <w:t xml:space="preserve"> entrará en vigor inmediatamente después de su aprobación.</w:t>
      </w:r>
    </w:p>
    <w:sectPr w:rsidR="00F761B9" w:rsidRPr="002C44F0" w:rsidSect="0007053B">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1529B" w14:textId="77777777" w:rsidR="00FD1E18" w:rsidRDefault="00FD1E18">
      <w:r>
        <w:separator/>
      </w:r>
    </w:p>
  </w:endnote>
  <w:endnote w:type="continuationSeparator" w:id="0">
    <w:p w14:paraId="75304DDF" w14:textId="77777777" w:rsidR="00FD1E18" w:rsidRDefault="00FD1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BBB85" w14:textId="77777777" w:rsidR="00FD1E18" w:rsidRDefault="00FD1E18">
      <w:r>
        <w:separator/>
      </w:r>
    </w:p>
  </w:footnote>
  <w:footnote w:type="continuationSeparator" w:id="0">
    <w:p w14:paraId="419B335A" w14:textId="77777777" w:rsidR="00FD1E18" w:rsidRDefault="00FD1E18">
      <w:r>
        <w:continuationSeparator/>
      </w:r>
    </w:p>
  </w:footnote>
  <w:footnote w:id="1">
    <w:p w14:paraId="57BCC058" w14:textId="77777777" w:rsidR="00D50565" w:rsidRPr="000250A0" w:rsidRDefault="00D50565" w:rsidP="00D50565">
      <w:pPr>
        <w:pStyle w:val="FootnoteText"/>
        <w:rPr>
          <w:lang w:val="es-PR"/>
        </w:rPr>
      </w:pPr>
      <w:r w:rsidRPr="000250A0">
        <w:rPr>
          <w:rStyle w:val="FootnoteReference"/>
        </w:rPr>
        <w:footnoteRef/>
      </w:r>
      <w:r w:rsidRPr="000250A0">
        <w:rPr>
          <w:lang w:val="es-PR"/>
        </w:rPr>
        <w:t xml:space="preserve"> </w:t>
      </w:r>
      <w:r w:rsidRPr="00D50565">
        <w:rPr>
          <w:i/>
          <w:lang w:val="es-PR"/>
        </w:rPr>
        <w:t>Véase</w:t>
      </w:r>
      <w:r>
        <w:rPr>
          <w:lang w:val="es-PR"/>
        </w:rPr>
        <w:t xml:space="preserve">: </w:t>
      </w:r>
      <w:r w:rsidRPr="000250A0">
        <w:rPr>
          <w:lang w:val="es-PR"/>
        </w:rPr>
        <w:t xml:space="preserve">Ley de Condominios, Artículo 1 de la Ley Núm. 104 de 25 de junio de 1958. (31 L.P.R.A. § 1291). Esta ley fue </w:t>
      </w:r>
      <w:r>
        <w:rPr>
          <w:lang w:val="es-PR"/>
        </w:rPr>
        <w:t>substitui</w:t>
      </w:r>
      <w:r w:rsidRPr="000250A0">
        <w:rPr>
          <w:lang w:val="es-PR"/>
        </w:rPr>
        <w:t xml:space="preserve">da por la nueva Ley de Condominios de Puerto Rico de 2020, Ley Núm. 129 de 16 de agosto de 2020, que sostiene los mismos propósitos. </w:t>
      </w:r>
    </w:p>
  </w:footnote>
  <w:footnote w:id="2">
    <w:p w14:paraId="7F2BC708" w14:textId="77777777" w:rsidR="00F92970" w:rsidRPr="000250A0" w:rsidRDefault="00F92970" w:rsidP="00F92970">
      <w:pPr>
        <w:pStyle w:val="FootnoteText"/>
        <w:rPr>
          <w:lang w:val="es-PR"/>
        </w:rPr>
      </w:pPr>
      <w:r w:rsidRPr="000250A0">
        <w:rPr>
          <w:rStyle w:val="FootnoteReference"/>
        </w:rPr>
        <w:footnoteRef/>
      </w:r>
      <w:r w:rsidRPr="000250A0">
        <w:rPr>
          <w:lang w:val="es-PR"/>
        </w:rPr>
        <w:t xml:space="preserve"> </w:t>
      </w:r>
      <w:r w:rsidRPr="00D50565">
        <w:rPr>
          <w:i/>
          <w:lang w:val="es-PR"/>
        </w:rPr>
        <w:t>Véase</w:t>
      </w:r>
      <w:r w:rsidRPr="000250A0">
        <w:rPr>
          <w:lang w:val="es-PR"/>
        </w:rPr>
        <w:t xml:space="preserve">: </w:t>
      </w:r>
      <w:r w:rsidRPr="000250A0">
        <w:rPr>
          <w:bCs/>
          <w:lang w:val="es-PR"/>
        </w:rPr>
        <w:t xml:space="preserve">Consejo de Titulares vs. Cortés, </w:t>
      </w:r>
      <w:r w:rsidRPr="000250A0">
        <w:rPr>
          <w:lang w:val="es-PR"/>
        </w:rPr>
        <w:t>KLAN201500492 (2015);</w:t>
      </w:r>
      <w:r w:rsidRPr="000250A0">
        <w:rPr>
          <w:bCs/>
          <w:lang w:val="es-PR"/>
        </w:rPr>
        <w:t xml:space="preserve"> </w:t>
      </w:r>
      <w:r w:rsidRPr="000250A0">
        <w:rPr>
          <w:lang w:val="es-PR"/>
        </w:rPr>
        <w:t xml:space="preserve">Ley Núm. 104, supra, </w:t>
      </w:r>
      <w:r w:rsidRPr="000250A0">
        <w:rPr>
          <w:bCs/>
          <w:lang w:val="es-PR"/>
        </w:rPr>
        <w:t>Artículo 42.</w:t>
      </w:r>
    </w:p>
  </w:footnote>
  <w:footnote w:id="3">
    <w:p w14:paraId="4D7F80A8" w14:textId="77777777" w:rsidR="00D50565" w:rsidRPr="00D50565" w:rsidRDefault="00D50565">
      <w:pPr>
        <w:pStyle w:val="FootnoteText"/>
        <w:rPr>
          <w:lang w:val="es-PR"/>
        </w:rPr>
      </w:pPr>
      <w:r w:rsidRPr="00D50565">
        <w:rPr>
          <w:rStyle w:val="FootnoteReference"/>
        </w:rPr>
        <w:footnoteRef/>
      </w:r>
      <w:r>
        <w:rPr>
          <w:bCs/>
          <w:lang w:val="es-PR"/>
        </w:rPr>
        <w:t xml:space="preserve"> </w:t>
      </w:r>
      <w:r w:rsidRPr="00D50565">
        <w:rPr>
          <w:i/>
          <w:lang w:val="es-PR"/>
        </w:rPr>
        <w:t>Véase</w:t>
      </w:r>
      <w:r w:rsidRPr="000250A0">
        <w:rPr>
          <w:lang w:val="es-PR"/>
        </w:rPr>
        <w:t>:</w:t>
      </w:r>
      <w:r>
        <w:rPr>
          <w:lang w:val="es-PR"/>
        </w:rPr>
        <w:t xml:space="preserve"> </w:t>
      </w:r>
      <w:r w:rsidRPr="00D50565">
        <w:rPr>
          <w:bCs/>
          <w:lang w:val="es-PR"/>
        </w:rPr>
        <w:t>Artículo 48</w:t>
      </w:r>
      <w:r>
        <w:rPr>
          <w:bCs/>
          <w:lang w:val="es-PR"/>
        </w:rPr>
        <w:t xml:space="preserve"> de la</w:t>
      </w:r>
      <w:r w:rsidRPr="00D50565">
        <w:rPr>
          <w:lang w:val="es-PR"/>
        </w:rPr>
        <w:t xml:space="preserve"> Ley 104 de 25 de junio de 1958,</w:t>
      </w:r>
      <w:r>
        <w:rPr>
          <w:bCs/>
          <w:lang w:val="es-PR"/>
        </w:rPr>
        <w:t xml:space="preserve"> derogada </w:t>
      </w:r>
      <w:r w:rsidRPr="00D50565">
        <w:rPr>
          <w:lang w:val="es-PR"/>
        </w:rPr>
        <w:t>(31 L.P.R.A. § 1294</w:t>
      </w:r>
      <w:r>
        <w:rPr>
          <w:lang w:val="es-PR"/>
        </w:rPr>
        <w:t xml:space="preserve">; Artículo 66 de la </w:t>
      </w:r>
      <w:r w:rsidRPr="00D50565">
        <w:rPr>
          <w:lang w:val="es-PR"/>
        </w:rPr>
        <w:t>Ley de Condominios de Puerto Rico</w:t>
      </w:r>
      <w:r>
        <w:rPr>
          <w:lang w:val="es-PR"/>
        </w:rPr>
        <w:t xml:space="preserve">, vigente, </w:t>
      </w:r>
      <w:r w:rsidRPr="00D50565">
        <w:rPr>
          <w:lang w:val="es-PR"/>
        </w:rPr>
        <w:t>Ley 12</w:t>
      </w:r>
      <w:r>
        <w:rPr>
          <w:lang w:val="es-PR"/>
        </w:rPr>
        <w:t>9-2020.</w:t>
      </w:r>
    </w:p>
  </w:footnote>
  <w:footnote w:id="4">
    <w:p w14:paraId="2F778586" w14:textId="77777777" w:rsidR="00D50565" w:rsidRPr="000250A0" w:rsidRDefault="00D50565" w:rsidP="00D50565">
      <w:pPr>
        <w:pStyle w:val="FootnoteText"/>
        <w:rPr>
          <w:lang w:val="es-PR"/>
        </w:rPr>
      </w:pPr>
      <w:r w:rsidRPr="000250A0">
        <w:rPr>
          <w:rStyle w:val="FootnoteReference"/>
        </w:rPr>
        <w:footnoteRef/>
      </w:r>
      <w:r w:rsidRPr="000250A0">
        <w:rPr>
          <w:lang w:val="es-PR"/>
        </w:rPr>
        <w:t xml:space="preserve"> </w:t>
      </w:r>
      <w:r w:rsidRPr="00D50565">
        <w:rPr>
          <w:i/>
          <w:lang w:val="es-PR"/>
        </w:rPr>
        <w:t>Véase</w:t>
      </w:r>
      <w:r w:rsidRPr="000250A0">
        <w:rPr>
          <w:lang w:val="es-PR"/>
        </w:rPr>
        <w:t>: Ley de Condominios de Puerto Rico, Ley 129-2020, Exposición de Motivos.</w:t>
      </w:r>
    </w:p>
  </w:footnote>
  <w:footnote w:id="5">
    <w:p w14:paraId="174A2D04" w14:textId="77777777" w:rsidR="00F92970" w:rsidRPr="000250A0" w:rsidRDefault="00F92970" w:rsidP="00F92970">
      <w:pPr>
        <w:pStyle w:val="FootnoteText"/>
        <w:rPr>
          <w:lang w:val="es-PR"/>
        </w:rPr>
      </w:pPr>
      <w:r w:rsidRPr="000250A0">
        <w:rPr>
          <w:rStyle w:val="FootnoteReference"/>
        </w:rPr>
        <w:footnoteRef/>
      </w:r>
      <w:r w:rsidRPr="000250A0">
        <w:rPr>
          <w:lang w:val="es-PR"/>
        </w:rPr>
        <w:t xml:space="preserve"> </w:t>
      </w:r>
      <w:r w:rsidRPr="000250A0">
        <w:rPr>
          <w:bCs/>
          <w:lang w:val="es-PR"/>
        </w:rPr>
        <w:t xml:space="preserve">Ley Núm. 129 de 16 de agosto de 2020, Artículo 66. </w:t>
      </w:r>
    </w:p>
  </w:footnote>
  <w:footnote w:id="6">
    <w:p w14:paraId="13ADA2EF" w14:textId="77777777" w:rsidR="0014440D" w:rsidRPr="0014440D" w:rsidRDefault="0014440D">
      <w:pPr>
        <w:pStyle w:val="FootnoteText"/>
        <w:rPr>
          <w:lang w:val="es-PR"/>
        </w:rPr>
      </w:pPr>
      <w:r>
        <w:rPr>
          <w:rStyle w:val="FootnoteReference"/>
        </w:rPr>
        <w:footnoteRef/>
      </w:r>
      <w:r w:rsidRPr="0014440D">
        <w:rPr>
          <w:lang w:val="es-PR"/>
        </w:rPr>
        <w:t xml:space="preserve"> </w:t>
      </w:r>
      <w:r w:rsidRPr="0014440D">
        <w:rPr>
          <w:bCs/>
          <w:lang w:val="es-PR"/>
        </w:rPr>
        <w:t xml:space="preserve">No debe confundirse </w:t>
      </w:r>
      <w:r>
        <w:rPr>
          <w:bCs/>
          <w:lang w:val="es-PR"/>
        </w:rPr>
        <w:t>el</w:t>
      </w:r>
      <w:r w:rsidRPr="0014440D">
        <w:rPr>
          <w:rFonts w:ascii="Book Antiqua" w:hAnsi="Book Antiqua"/>
          <w:bCs/>
          <w:i/>
          <w:sz w:val="24"/>
          <w:lang w:val="es-PR"/>
        </w:rPr>
        <w:t xml:space="preserve"> </w:t>
      </w:r>
      <w:r w:rsidRPr="0014440D">
        <w:rPr>
          <w:bCs/>
          <w:i/>
          <w:lang w:val="es-PR"/>
        </w:rPr>
        <w:t>Proceso Adjudicativo Expedito Alterno</w:t>
      </w:r>
      <w:r>
        <w:rPr>
          <w:bCs/>
          <w:lang w:val="es-PR"/>
        </w:rPr>
        <w:t xml:space="preserve"> con el</w:t>
      </w:r>
      <w:r w:rsidRPr="0014440D">
        <w:rPr>
          <w:bCs/>
          <w:lang w:val="es-PR"/>
        </w:rPr>
        <w:t xml:space="preserve"> proceso dispuesto en la Sección 33 del Reglamento Núm. 6728, Reglamento Sobre Condominios del DACo. </w:t>
      </w:r>
      <w:r>
        <w:rPr>
          <w:bCs/>
          <w:lang w:val="es-PR"/>
        </w:rPr>
        <w:t>A pesar de que la</w:t>
      </w:r>
      <w:r w:rsidRPr="0014440D">
        <w:rPr>
          <w:bCs/>
          <w:lang w:val="es-PR"/>
        </w:rPr>
        <w:t xml:space="preserve"> Sección </w:t>
      </w:r>
      <w:r>
        <w:rPr>
          <w:bCs/>
          <w:lang w:val="es-PR"/>
        </w:rPr>
        <w:t xml:space="preserve">33 </w:t>
      </w:r>
      <w:r w:rsidRPr="0014440D">
        <w:rPr>
          <w:bCs/>
          <w:lang w:val="es-PR"/>
        </w:rPr>
        <w:t xml:space="preserve">se denomina </w:t>
      </w:r>
      <w:r w:rsidRPr="0014440D">
        <w:rPr>
          <w:bCs/>
          <w:i/>
          <w:lang w:val="es-PR"/>
        </w:rPr>
        <w:t>Adjudicaciones Sumarias de Querella</w:t>
      </w:r>
      <w:r>
        <w:rPr>
          <w:bCs/>
          <w:i/>
          <w:lang w:val="es-PR"/>
        </w:rPr>
        <w:t>s</w:t>
      </w:r>
      <w:r w:rsidRPr="0014440D">
        <w:rPr>
          <w:bCs/>
          <w:lang w:val="es-PR"/>
        </w:rPr>
        <w:t>, únicamente facu</w:t>
      </w:r>
      <w:r>
        <w:rPr>
          <w:bCs/>
          <w:lang w:val="es-PR"/>
        </w:rPr>
        <w:t>lta</w:t>
      </w:r>
      <w:r w:rsidRPr="0014440D">
        <w:rPr>
          <w:bCs/>
          <w:lang w:val="es-PR"/>
        </w:rPr>
        <w:t xml:space="preserve"> al Secretario del DACo a </w:t>
      </w:r>
      <w:r w:rsidRPr="0014440D">
        <w:rPr>
          <w:bCs/>
          <w:u w:val="single"/>
          <w:lang w:val="es-PR"/>
        </w:rPr>
        <w:t>desestimar sumariamente</w:t>
      </w:r>
      <w:r w:rsidRPr="0014440D">
        <w:rPr>
          <w:bCs/>
          <w:lang w:val="es-PR"/>
        </w:rPr>
        <w:t xml:space="preserve"> las querellas </w:t>
      </w:r>
      <w:r>
        <w:rPr>
          <w:bCs/>
          <w:lang w:val="es-PR"/>
        </w:rPr>
        <w:t xml:space="preserve">cuando </w:t>
      </w:r>
      <w:r w:rsidRPr="0014440D">
        <w:rPr>
          <w:bCs/>
          <w:lang w:val="es-PR"/>
        </w:rPr>
        <w:t xml:space="preserve">los titulares </w:t>
      </w:r>
      <w:r>
        <w:rPr>
          <w:bCs/>
          <w:lang w:val="es-PR"/>
        </w:rPr>
        <w:t>incumplan l</w:t>
      </w:r>
      <w:r w:rsidRPr="0014440D">
        <w:rPr>
          <w:bCs/>
          <w:lang w:val="es-PR"/>
        </w:rPr>
        <w:t>as disposiciones del Reglamento.</w:t>
      </w:r>
    </w:p>
  </w:footnote>
  <w:footnote w:id="7">
    <w:p w14:paraId="0750724F" w14:textId="77777777" w:rsidR="00CB1841" w:rsidRPr="0036762F" w:rsidRDefault="00CB1841" w:rsidP="00CB1841">
      <w:pPr>
        <w:pStyle w:val="FootnoteText"/>
        <w:rPr>
          <w:lang w:val="es-PR"/>
        </w:rPr>
      </w:pPr>
      <w:r>
        <w:rPr>
          <w:rStyle w:val="FootnoteReference"/>
        </w:rPr>
        <w:footnoteRef/>
      </w:r>
      <w:r w:rsidRPr="0036762F">
        <w:rPr>
          <w:lang w:val="es-PR"/>
        </w:rPr>
        <w:t xml:space="preserve"> </w:t>
      </w:r>
      <w:r w:rsidRPr="0036762F">
        <w:rPr>
          <w:bCs/>
          <w:lang w:val="es-PR"/>
        </w:rPr>
        <w:t>Reglamento Sobre Condominios del DACo, Reglamento Núm. 6728 de 2 de diciembre de 2003</w:t>
      </w:r>
      <w:r>
        <w:rPr>
          <w:bCs/>
          <w:lang w:val="es-PR"/>
        </w:rPr>
        <w:t>;</w:t>
      </w:r>
      <w:r w:rsidRPr="0036762F">
        <w:rPr>
          <w:bCs/>
          <w:lang w:val="es-PR"/>
        </w:rPr>
        <w:t xml:space="preserve"> Sección 26: Jurisdicción </w:t>
      </w:r>
      <w:r>
        <w:rPr>
          <w:bCs/>
          <w:lang w:val="es-PR"/>
        </w:rPr>
        <w:t>d</w:t>
      </w:r>
      <w:r w:rsidRPr="0036762F">
        <w:rPr>
          <w:bCs/>
          <w:lang w:val="es-PR"/>
        </w:rPr>
        <w:t>el Departamento</w:t>
      </w:r>
      <w:r>
        <w:rPr>
          <w:bCs/>
          <w:lang w:val="es-PR"/>
        </w:rPr>
        <w:t>, pág. 42.</w:t>
      </w:r>
    </w:p>
  </w:footnote>
  <w:footnote w:id="8">
    <w:p w14:paraId="343DFF1E" w14:textId="77777777" w:rsidR="00CB1841" w:rsidRDefault="00CB1841">
      <w:pPr>
        <w:pStyle w:val="FootnoteText"/>
      </w:pPr>
      <w:r>
        <w:rPr>
          <w:rStyle w:val="FootnoteReference"/>
        </w:rPr>
        <w:footnoteRef/>
      </w:r>
      <w:r>
        <w:t xml:space="preserve"> Id, pág 43</w:t>
      </w:r>
    </w:p>
  </w:footnote>
  <w:footnote w:id="9">
    <w:p w14:paraId="4970E123" w14:textId="77777777" w:rsidR="00CB1841" w:rsidRDefault="00CB1841">
      <w:pPr>
        <w:pStyle w:val="FootnoteText"/>
      </w:pPr>
      <w:r>
        <w:rPr>
          <w:rStyle w:val="FootnoteReference"/>
        </w:rPr>
        <w:footnoteRef/>
      </w:r>
      <w:r>
        <w:t xml:space="preserve"> Id.</w:t>
      </w:r>
    </w:p>
  </w:footnote>
  <w:footnote w:id="10">
    <w:p w14:paraId="0A79E13F" w14:textId="77777777" w:rsidR="0036762F" w:rsidRDefault="0036762F">
      <w:pPr>
        <w:pStyle w:val="FootnoteText"/>
      </w:pPr>
      <w:r>
        <w:rPr>
          <w:rStyle w:val="FootnoteReference"/>
        </w:rPr>
        <w:footnoteRef/>
      </w:r>
      <w:r>
        <w:t xml:space="preserve"> Id.</w:t>
      </w:r>
    </w:p>
  </w:footnote>
  <w:footnote w:id="11">
    <w:p w14:paraId="00C2E616" w14:textId="77777777" w:rsidR="00CB1841" w:rsidRDefault="00CB1841">
      <w:pPr>
        <w:pStyle w:val="FootnoteText"/>
      </w:pPr>
      <w:r>
        <w:rPr>
          <w:rStyle w:val="FootnoteReference"/>
        </w:rPr>
        <w:footnoteRef/>
      </w:r>
      <w: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0A948" w14:textId="77777777" w:rsidR="0007053B" w:rsidRPr="00F06B4F" w:rsidRDefault="00471383">
    <w:pPr>
      <w:pStyle w:val="Header"/>
      <w:jc w:val="center"/>
      <w:rPr>
        <w:rFonts w:ascii="Book Antiqua" w:hAnsi="Book Antiqua"/>
      </w:rPr>
    </w:pPr>
    <w:r w:rsidRPr="00F06B4F">
      <w:rPr>
        <w:rFonts w:ascii="Book Antiqua" w:hAnsi="Book Antiqua"/>
      </w:rPr>
      <w:fldChar w:fldCharType="begin"/>
    </w:r>
    <w:r w:rsidRPr="00F06B4F">
      <w:rPr>
        <w:rFonts w:ascii="Book Antiqua" w:hAnsi="Book Antiqua"/>
      </w:rPr>
      <w:instrText xml:space="preserve"> PAGE   \* MERGEFORMAT </w:instrText>
    </w:r>
    <w:r w:rsidRPr="00F06B4F">
      <w:rPr>
        <w:rFonts w:ascii="Book Antiqua" w:hAnsi="Book Antiqua"/>
      </w:rPr>
      <w:fldChar w:fldCharType="separate"/>
    </w:r>
    <w:r w:rsidR="005B729E">
      <w:rPr>
        <w:rFonts w:ascii="Book Antiqua" w:hAnsi="Book Antiqua"/>
        <w:noProof/>
      </w:rPr>
      <w:t>2</w:t>
    </w:r>
    <w:r w:rsidRPr="00F06B4F">
      <w:rPr>
        <w:rFonts w:ascii="Book Antiqua" w:hAnsi="Book Antiqua"/>
        <w:noProof/>
      </w:rPr>
      <w:fldChar w:fldCharType="end"/>
    </w:r>
  </w:p>
  <w:p w14:paraId="347B0EC4" w14:textId="77777777" w:rsidR="0007053B" w:rsidRDefault="00070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F65F7"/>
    <w:multiLevelType w:val="hybridMultilevel"/>
    <w:tmpl w:val="212E49B0"/>
    <w:lvl w:ilvl="0" w:tplc="7732459C">
      <w:start w:val="1"/>
      <w:numFmt w:val="lowerLetter"/>
      <w:lvlText w:val="(%1)"/>
      <w:lvlJc w:val="left"/>
      <w:pPr>
        <w:ind w:left="1065" w:hanging="360"/>
      </w:pPr>
      <w:rPr>
        <w:rFonts w:hint="default"/>
        <w:i/>
      </w:rPr>
    </w:lvl>
    <w:lvl w:ilvl="1" w:tplc="500A0019" w:tentative="1">
      <w:start w:val="1"/>
      <w:numFmt w:val="lowerLetter"/>
      <w:lvlText w:val="%2."/>
      <w:lvlJc w:val="left"/>
      <w:pPr>
        <w:ind w:left="1785" w:hanging="360"/>
      </w:pPr>
    </w:lvl>
    <w:lvl w:ilvl="2" w:tplc="500A001B" w:tentative="1">
      <w:start w:val="1"/>
      <w:numFmt w:val="lowerRoman"/>
      <w:lvlText w:val="%3."/>
      <w:lvlJc w:val="right"/>
      <w:pPr>
        <w:ind w:left="2505" w:hanging="180"/>
      </w:pPr>
    </w:lvl>
    <w:lvl w:ilvl="3" w:tplc="500A000F" w:tentative="1">
      <w:start w:val="1"/>
      <w:numFmt w:val="decimal"/>
      <w:lvlText w:val="%4."/>
      <w:lvlJc w:val="left"/>
      <w:pPr>
        <w:ind w:left="3225" w:hanging="360"/>
      </w:pPr>
    </w:lvl>
    <w:lvl w:ilvl="4" w:tplc="500A0019" w:tentative="1">
      <w:start w:val="1"/>
      <w:numFmt w:val="lowerLetter"/>
      <w:lvlText w:val="%5."/>
      <w:lvlJc w:val="left"/>
      <w:pPr>
        <w:ind w:left="3945" w:hanging="360"/>
      </w:pPr>
    </w:lvl>
    <w:lvl w:ilvl="5" w:tplc="500A001B" w:tentative="1">
      <w:start w:val="1"/>
      <w:numFmt w:val="lowerRoman"/>
      <w:lvlText w:val="%6."/>
      <w:lvlJc w:val="right"/>
      <w:pPr>
        <w:ind w:left="4665" w:hanging="180"/>
      </w:pPr>
    </w:lvl>
    <w:lvl w:ilvl="6" w:tplc="500A000F" w:tentative="1">
      <w:start w:val="1"/>
      <w:numFmt w:val="decimal"/>
      <w:lvlText w:val="%7."/>
      <w:lvlJc w:val="left"/>
      <w:pPr>
        <w:ind w:left="5385" w:hanging="360"/>
      </w:pPr>
    </w:lvl>
    <w:lvl w:ilvl="7" w:tplc="500A0019" w:tentative="1">
      <w:start w:val="1"/>
      <w:numFmt w:val="lowerLetter"/>
      <w:lvlText w:val="%8."/>
      <w:lvlJc w:val="left"/>
      <w:pPr>
        <w:ind w:left="6105" w:hanging="360"/>
      </w:pPr>
    </w:lvl>
    <w:lvl w:ilvl="8" w:tplc="500A001B" w:tentative="1">
      <w:start w:val="1"/>
      <w:numFmt w:val="lowerRoman"/>
      <w:lvlText w:val="%9."/>
      <w:lvlJc w:val="right"/>
      <w:pPr>
        <w:ind w:left="6825" w:hanging="180"/>
      </w:pPr>
    </w:lvl>
  </w:abstractNum>
  <w:abstractNum w:abstractNumId="1" w15:restartNumberingAfterBreak="0">
    <w:nsid w:val="05AB2E9F"/>
    <w:multiLevelType w:val="hybridMultilevel"/>
    <w:tmpl w:val="329CFBA2"/>
    <w:lvl w:ilvl="0" w:tplc="DDE2A23A">
      <w:start w:val="16"/>
      <w:numFmt w:val="bullet"/>
      <w:lvlText w:val="-"/>
      <w:lvlJc w:val="left"/>
      <w:pPr>
        <w:ind w:left="720" w:hanging="360"/>
      </w:pPr>
      <w:rPr>
        <w:rFonts w:ascii="Book Antiqua" w:eastAsia="Times New Roman" w:hAnsi="Book Antiqua" w:cs="Times New Roman" w:hint="default"/>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55573622"/>
    <w:multiLevelType w:val="hybridMultilevel"/>
    <w:tmpl w:val="A87C3394"/>
    <w:lvl w:ilvl="0" w:tplc="C49A0568">
      <w:start w:val="1"/>
      <w:numFmt w:val="lowerLetter"/>
      <w:lvlText w:val="(%1)"/>
      <w:lvlJc w:val="left"/>
      <w:pPr>
        <w:ind w:left="720" w:hanging="360"/>
      </w:pPr>
      <w:rPr>
        <w:rFonts w:hint="default"/>
        <w:i/>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5EE6581A"/>
    <w:multiLevelType w:val="hybridMultilevel"/>
    <w:tmpl w:val="955C632A"/>
    <w:lvl w:ilvl="0" w:tplc="3774A5F8">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4" w15:restartNumberingAfterBreak="0">
    <w:nsid w:val="623D7BC8"/>
    <w:multiLevelType w:val="hybridMultilevel"/>
    <w:tmpl w:val="EF1CBF74"/>
    <w:lvl w:ilvl="0" w:tplc="23A0F76E">
      <w:start w:val="1"/>
      <w:numFmt w:val="decimal"/>
      <w:lvlText w:val="(%1)"/>
      <w:lvlJc w:val="left"/>
      <w:pPr>
        <w:ind w:left="1425" w:hanging="360"/>
      </w:pPr>
      <w:rPr>
        <w:rFonts w:hint="default"/>
      </w:rPr>
    </w:lvl>
    <w:lvl w:ilvl="1" w:tplc="500A0019" w:tentative="1">
      <w:start w:val="1"/>
      <w:numFmt w:val="lowerLetter"/>
      <w:lvlText w:val="%2."/>
      <w:lvlJc w:val="left"/>
      <w:pPr>
        <w:ind w:left="2145" w:hanging="360"/>
      </w:pPr>
    </w:lvl>
    <w:lvl w:ilvl="2" w:tplc="500A001B" w:tentative="1">
      <w:start w:val="1"/>
      <w:numFmt w:val="lowerRoman"/>
      <w:lvlText w:val="%3."/>
      <w:lvlJc w:val="right"/>
      <w:pPr>
        <w:ind w:left="2865" w:hanging="180"/>
      </w:pPr>
    </w:lvl>
    <w:lvl w:ilvl="3" w:tplc="500A000F" w:tentative="1">
      <w:start w:val="1"/>
      <w:numFmt w:val="decimal"/>
      <w:lvlText w:val="%4."/>
      <w:lvlJc w:val="left"/>
      <w:pPr>
        <w:ind w:left="3585" w:hanging="360"/>
      </w:pPr>
    </w:lvl>
    <w:lvl w:ilvl="4" w:tplc="500A0019" w:tentative="1">
      <w:start w:val="1"/>
      <w:numFmt w:val="lowerLetter"/>
      <w:lvlText w:val="%5."/>
      <w:lvlJc w:val="left"/>
      <w:pPr>
        <w:ind w:left="4305" w:hanging="360"/>
      </w:pPr>
    </w:lvl>
    <w:lvl w:ilvl="5" w:tplc="500A001B" w:tentative="1">
      <w:start w:val="1"/>
      <w:numFmt w:val="lowerRoman"/>
      <w:lvlText w:val="%6."/>
      <w:lvlJc w:val="right"/>
      <w:pPr>
        <w:ind w:left="5025" w:hanging="180"/>
      </w:pPr>
    </w:lvl>
    <w:lvl w:ilvl="6" w:tplc="500A000F" w:tentative="1">
      <w:start w:val="1"/>
      <w:numFmt w:val="decimal"/>
      <w:lvlText w:val="%7."/>
      <w:lvlJc w:val="left"/>
      <w:pPr>
        <w:ind w:left="5745" w:hanging="360"/>
      </w:pPr>
    </w:lvl>
    <w:lvl w:ilvl="7" w:tplc="500A0019" w:tentative="1">
      <w:start w:val="1"/>
      <w:numFmt w:val="lowerLetter"/>
      <w:lvlText w:val="%8."/>
      <w:lvlJc w:val="left"/>
      <w:pPr>
        <w:ind w:left="6465" w:hanging="360"/>
      </w:pPr>
    </w:lvl>
    <w:lvl w:ilvl="8" w:tplc="500A001B" w:tentative="1">
      <w:start w:val="1"/>
      <w:numFmt w:val="lowerRoman"/>
      <w:lvlText w:val="%9."/>
      <w:lvlJc w:val="right"/>
      <w:pPr>
        <w:ind w:left="7185" w:hanging="180"/>
      </w:pPr>
    </w:lvl>
  </w:abstractNum>
  <w:abstractNum w:abstractNumId="5" w15:restartNumberingAfterBreak="0">
    <w:nsid w:val="6B3A52EF"/>
    <w:multiLevelType w:val="hybridMultilevel"/>
    <w:tmpl w:val="9C865486"/>
    <w:lvl w:ilvl="0" w:tplc="AA087E7A">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767F3F8E"/>
    <w:multiLevelType w:val="hybridMultilevel"/>
    <w:tmpl w:val="EFEA7A18"/>
    <w:lvl w:ilvl="0" w:tplc="58A41940">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C2023CD"/>
    <w:multiLevelType w:val="hybridMultilevel"/>
    <w:tmpl w:val="5EE27D34"/>
    <w:lvl w:ilvl="0" w:tplc="C232B15A">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7DB84701"/>
    <w:multiLevelType w:val="hybridMultilevel"/>
    <w:tmpl w:val="F43A18B2"/>
    <w:lvl w:ilvl="0" w:tplc="C9705DB8">
      <w:start w:val="1"/>
      <w:numFmt w:val="lowerLetter"/>
      <w:lvlText w:val="(%1)"/>
      <w:lvlJc w:val="left"/>
      <w:pPr>
        <w:ind w:left="2835" w:hanging="675"/>
      </w:pPr>
      <w:rPr>
        <w:rFonts w:hint="default"/>
      </w:rPr>
    </w:lvl>
    <w:lvl w:ilvl="1" w:tplc="500A0019" w:tentative="1">
      <w:start w:val="1"/>
      <w:numFmt w:val="lowerLetter"/>
      <w:lvlText w:val="%2."/>
      <w:lvlJc w:val="left"/>
      <w:pPr>
        <w:ind w:left="3240" w:hanging="360"/>
      </w:pPr>
    </w:lvl>
    <w:lvl w:ilvl="2" w:tplc="500A001B" w:tentative="1">
      <w:start w:val="1"/>
      <w:numFmt w:val="lowerRoman"/>
      <w:lvlText w:val="%3."/>
      <w:lvlJc w:val="right"/>
      <w:pPr>
        <w:ind w:left="3960" w:hanging="180"/>
      </w:pPr>
    </w:lvl>
    <w:lvl w:ilvl="3" w:tplc="500A000F" w:tentative="1">
      <w:start w:val="1"/>
      <w:numFmt w:val="decimal"/>
      <w:lvlText w:val="%4."/>
      <w:lvlJc w:val="left"/>
      <w:pPr>
        <w:ind w:left="4680" w:hanging="360"/>
      </w:pPr>
    </w:lvl>
    <w:lvl w:ilvl="4" w:tplc="500A0019" w:tentative="1">
      <w:start w:val="1"/>
      <w:numFmt w:val="lowerLetter"/>
      <w:lvlText w:val="%5."/>
      <w:lvlJc w:val="left"/>
      <w:pPr>
        <w:ind w:left="5400" w:hanging="360"/>
      </w:pPr>
    </w:lvl>
    <w:lvl w:ilvl="5" w:tplc="500A001B" w:tentative="1">
      <w:start w:val="1"/>
      <w:numFmt w:val="lowerRoman"/>
      <w:lvlText w:val="%6."/>
      <w:lvlJc w:val="right"/>
      <w:pPr>
        <w:ind w:left="6120" w:hanging="180"/>
      </w:pPr>
    </w:lvl>
    <w:lvl w:ilvl="6" w:tplc="500A000F" w:tentative="1">
      <w:start w:val="1"/>
      <w:numFmt w:val="decimal"/>
      <w:lvlText w:val="%7."/>
      <w:lvlJc w:val="left"/>
      <w:pPr>
        <w:ind w:left="6840" w:hanging="360"/>
      </w:pPr>
    </w:lvl>
    <w:lvl w:ilvl="7" w:tplc="500A0019" w:tentative="1">
      <w:start w:val="1"/>
      <w:numFmt w:val="lowerLetter"/>
      <w:lvlText w:val="%8."/>
      <w:lvlJc w:val="left"/>
      <w:pPr>
        <w:ind w:left="7560" w:hanging="360"/>
      </w:pPr>
    </w:lvl>
    <w:lvl w:ilvl="8" w:tplc="500A001B" w:tentative="1">
      <w:start w:val="1"/>
      <w:numFmt w:val="lowerRoman"/>
      <w:lvlText w:val="%9."/>
      <w:lvlJc w:val="right"/>
      <w:pPr>
        <w:ind w:left="8280" w:hanging="180"/>
      </w:pPr>
    </w:lvl>
  </w:abstractNum>
  <w:num w:numId="1" w16cid:durableId="463044515">
    <w:abstractNumId w:val="8"/>
  </w:num>
  <w:num w:numId="2" w16cid:durableId="1497724688">
    <w:abstractNumId w:val="2"/>
  </w:num>
  <w:num w:numId="3" w16cid:durableId="1750301031">
    <w:abstractNumId w:val="0"/>
  </w:num>
  <w:num w:numId="4" w16cid:durableId="950278925">
    <w:abstractNumId w:val="4"/>
  </w:num>
  <w:num w:numId="5" w16cid:durableId="1976136701">
    <w:abstractNumId w:val="1"/>
  </w:num>
  <w:num w:numId="6" w16cid:durableId="175270012">
    <w:abstractNumId w:val="7"/>
  </w:num>
  <w:num w:numId="7" w16cid:durableId="737021574">
    <w:abstractNumId w:val="5"/>
  </w:num>
  <w:num w:numId="8" w16cid:durableId="1405295996">
    <w:abstractNumId w:val="3"/>
  </w:num>
  <w:num w:numId="9" w16cid:durableId="15410915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383"/>
    <w:rsid w:val="00000CAD"/>
    <w:rsid w:val="000071B8"/>
    <w:rsid w:val="000154B8"/>
    <w:rsid w:val="0002189C"/>
    <w:rsid w:val="000241D7"/>
    <w:rsid w:val="000250A0"/>
    <w:rsid w:val="00027179"/>
    <w:rsid w:val="00030414"/>
    <w:rsid w:val="000306B1"/>
    <w:rsid w:val="00034BFB"/>
    <w:rsid w:val="00034C03"/>
    <w:rsid w:val="00035765"/>
    <w:rsid w:val="00035BCE"/>
    <w:rsid w:val="00037985"/>
    <w:rsid w:val="00037CA7"/>
    <w:rsid w:val="000404CE"/>
    <w:rsid w:val="0004066B"/>
    <w:rsid w:val="000406B9"/>
    <w:rsid w:val="00042398"/>
    <w:rsid w:val="00043B40"/>
    <w:rsid w:val="000462D7"/>
    <w:rsid w:val="000465F0"/>
    <w:rsid w:val="000466B0"/>
    <w:rsid w:val="00051F0C"/>
    <w:rsid w:val="0005276F"/>
    <w:rsid w:val="00053E1C"/>
    <w:rsid w:val="0005403B"/>
    <w:rsid w:val="000560F4"/>
    <w:rsid w:val="00056B23"/>
    <w:rsid w:val="00067BD8"/>
    <w:rsid w:val="0007053B"/>
    <w:rsid w:val="000714A4"/>
    <w:rsid w:val="00072C25"/>
    <w:rsid w:val="0007700C"/>
    <w:rsid w:val="00080171"/>
    <w:rsid w:val="00081383"/>
    <w:rsid w:val="00084659"/>
    <w:rsid w:val="000877AD"/>
    <w:rsid w:val="00092BC5"/>
    <w:rsid w:val="00092F7F"/>
    <w:rsid w:val="00094AF7"/>
    <w:rsid w:val="000953AD"/>
    <w:rsid w:val="000A0643"/>
    <w:rsid w:val="000A44A3"/>
    <w:rsid w:val="000A4ABB"/>
    <w:rsid w:val="000B0D52"/>
    <w:rsid w:val="000B152B"/>
    <w:rsid w:val="000B18D1"/>
    <w:rsid w:val="000B1C7D"/>
    <w:rsid w:val="000B4E02"/>
    <w:rsid w:val="000B628C"/>
    <w:rsid w:val="000B6CCF"/>
    <w:rsid w:val="000C1211"/>
    <w:rsid w:val="000C231E"/>
    <w:rsid w:val="000C6FD0"/>
    <w:rsid w:val="000D01CB"/>
    <w:rsid w:val="000E0F9C"/>
    <w:rsid w:val="000E334A"/>
    <w:rsid w:val="000E769D"/>
    <w:rsid w:val="000F1777"/>
    <w:rsid w:val="000F7F18"/>
    <w:rsid w:val="0010099A"/>
    <w:rsid w:val="001009BD"/>
    <w:rsid w:val="0010244C"/>
    <w:rsid w:val="00103B85"/>
    <w:rsid w:val="00104F81"/>
    <w:rsid w:val="00105CFE"/>
    <w:rsid w:val="0011042F"/>
    <w:rsid w:val="0011154C"/>
    <w:rsid w:val="001139AC"/>
    <w:rsid w:val="00114CDA"/>
    <w:rsid w:val="00116204"/>
    <w:rsid w:val="00121F2C"/>
    <w:rsid w:val="00122170"/>
    <w:rsid w:val="00126F1F"/>
    <w:rsid w:val="00127132"/>
    <w:rsid w:val="00140D61"/>
    <w:rsid w:val="00141FDB"/>
    <w:rsid w:val="00143F51"/>
    <w:rsid w:val="0014440D"/>
    <w:rsid w:val="0014530B"/>
    <w:rsid w:val="0014700A"/>
    <w:rsid w:val="001478B3"/>
    <w:rsid w:val="001511D4"/>
    <w:rsid w:val="00154222"/>
    <w:rsid w:val="0015655B"/>
    <w:rsid w:val="0016019C"/>
    <w:rsid w:val="00160A59"/>
    <w:rsid w:val="00161C18"/>
    <w:rsid w:val="00162B7B"/>
    <w:rsid w:val="001667EA"/>
    <w:rsid w:val="0016774D"/>
    <w:rsid w:val="001707AF"/>
    <w:rsid w:val="00170A5F"/>
    <w:rsid w:val="00173834"/>
    <w:rsid w:val="00174A4A"/>
    <w:rsid w:val="001768AE"/>
    <w:rsid w:val="00176CE9"/>
    <w:rsid w:val="00180742"/>
    <w:rsid w:val="00182045"/>
    <w:rsid w:val="00185485"/>
    <w:rsid w:val="00186EFF"/>
    <w:rsid w:val="001870BE"/>
    <w:rsid w:val="00191643"/>
    <w:rsid w:val="00192CE6"/>
    <w:rsid w:val="001967B5"/>
    <w:rsid w:val="001A36B6"/>
    <w:rsid w:val="001A47BF"/>
    <w:rsid w:val="001A66C8"/>
    <w:rsid w:val="001B3999"/>
    <w:rsid w:val="001C0B62"/>
    <w:rsid w:val="001C1990"/>
    <w:rsid w:val="001C297B"/>
    <w:rsid w:val="001C3DD3"/>
    <w:rsid w:val="001C50D3"/>
    <w:rsid w:val="001D0ACC"/>
    <w:rsid w:val="001D1159"/>
    <w:rsid w:val="001D1710"/>
    <w:rsid w:val="001D240D"/>
    <w:rsid w:val="001D7583"/>
    <w:rsid w:val="001E0DF6"/>
    <w:rsid w:val="001E14FB"/>
    <w:rsid w:val="001E235B"/>
    <w:rsid w:val="001E364A"/>
    <w:rsid w:val="001E3C81"/>
    <w:rsid w:val="001F0F76"/>
    <w:rsid w:val="001F63CC"/>
    <w:rsid w:val="001F7C84"/>
    <w:rsid w:val="0020023A"/>
    <w:rsid w:val="00201D86"/>
    <w:rsid w:val="00207174"/>
    <w:rsid w:val="00207BBF"/>
    <w:rsid w:val="002106F3"/>
    <w:rsid w:val="002133F1"/>
    <w:rsid w:val="00213467"/>
    <w:rsid w:val="0021380C"/>
    <w:rsid w:val="002142D0"/>
    <w:rsid w:val="002152ED"/>
    <w:rsid w:val="00221A4E"/>
    <w:rsid w:val="002247E8"/>
    <w:rsid w:val="00230DCE"/>
    <w:rsid w:val="00231E77"/>
    <w:rsid w:val="00236B6F"/>
    <w:rsid w:val="00243780"/>
    <w:rsid w:val="002465DF"/>
    <w:rsid w:val="002472C8"/>
    <w:rsid w:val="00247B1D"/>
    <w:rsid w:val="00253209"/>
    <w:rsid w:val="00254E69"/>
    <w:rsid w:val="00257EE4"/>
    <w:rsid w:val="00261416"/>
    <w:rsid w:val="00261EAF"/>
    <w:rsid w:val="00262941"/>
    <w:rsid w:val="00263853"/>
    <w:rsid w:val="00264088"/>
    <w:rsid w:val="0026494C"/>
    <w:rsid w:val="002676DF"/>
    <w:rsid w:val="00267FCD"/>
    <w:rsid w:val="0027167A"/>
    <w:rsid w:val="00273460"/>
    <w:rsid w:val="002755C7"/>
    <w:rsid w:val="00275EA7"/>
    <w:rsid w:val="002801CB"/>
    <w:rsid w:val="00281F59"/>
    <w:rsid w:val="00283200"/>
    <w:rsid w:val="00285529"/>
    <w:rsid w:val="0029096A"/>
    <w:rsid w:val="0029427A"/>
    <w:rsid w:val="0029477C"/>
    <w:rsid w:val="00296A2A"/>
    <w:rsid w:val="002A09D8"/>
    <w:rsid w:val="002A0D61"/>
    <w:rsid w:val="002A155B"/>
    <w:rsid w:val="002A5510"/>
    <w:rsid w:val="002B0F65"/>
    <w:rsid w:val="002B2332"/>
    <w:rsid w:val="002B5C9D"/>
    <w:rsid w:val="002C09D4"/>
    <w:rsid w:val="002C1E37"/>
    <w:rsid w:val="002C2A78"/>
    <w:rsid w:val="002C44F0"/>
    <w:rsid w:val="002C44FC"/>
    <w:rsid w:val="002C600D"/>
    <w:rsid w:val="002C7A45"/>
    <w:rsid w:val="002D15C8"/>
    <w:rsid w:val="002D420F"/>
    <w:rsid w:val="002E18AB"/>
    <w:rsid w:val="002E2B88"/>
    <w:rsid w:val="002E503A"/>
    <w:rsid w:val="002F387E"/>
    <w:rsid w:val="003006AA"/>
    <w:rsid w:val="00301999"/>
    <w:rsid w:val="00310C12"/>
    <w:rsid w:val="00311226"/>
    <w:rsid w:val="00311BA2"/>
    <w:rsid w:val="00313FC6"/>
    <w:rsid w:val="003141FC"/>
    <w:rsid w:val="0031699F"/>
    <w:rsid w:val="00321201"/>
    <w:rsid w:val="003213B1"/>
    <w:rsid w:val="00322D99"/>
    <w:rsid w:val="00323719"/>
    <w:rsid w:val="00325C9A"/>
    <w:rsid w:val="00327431"/>
    <w:rsid w:val="00330007"/>
    <w:rsid w:val="00331497"/>
    <w:rsid w:val="00333499"/>
    <w:rsid w:val="00334B56"/>
    <w:rsid w:val="00335048"/>
    <w:rsid w:val="00336DBE"/>
    <w:rsid w:val="00340542"/>
    <w:rsid w:val="003467C5"/>
    <w:rsid w:val="00351A22"/>
    <w:rsid w:val="003554DC"/>
    <w:rsid w:val="00355966"/>
    <w:rsid w:val="003569F7"/>
    <w:rsid w:val="003606C7"/>
    <w:rsid w:val="00361E30"/>
    <w:rsid w:val="003641EB"/>
    <w:rsid w:val="003660FC"/>
    <w:rsid w:val="0036762F"/>
    <w:rsid w:val="003714E8"/>
    <w:rsid w:val="00371B45"/>
    <w:rsid w:val="003774D7"/>
    <w:rsid w:val="00381664"/>
    <w:rsid w:val="00382354"/>
    <w:rsid w:val="0038664A"/>
    <w:rsid w:val="003878A5"/>
    <w:rsid w:val="00393862"/>
    <w:rsid w:val="00393D0C"/>
    <w:rsid w:val="00395B14"/>
    <w:rsid w:val="00397750"/>
    <w:rsid w:val="003A13F8"/>
    <w:rsid w:val="003A16D1"/>
    <w:rsid w:val="003A1769"/>
    <w:rsid w:val="003A4F8D"/>
    <w:rsid w:val="003A52D4"/>
    <w:rsid w:val="003A7B15"/>
    <w:rsid w:val="003B0FAE"/>
    <w:rsid w:val="003B7389"/>
    <w:rsid w:val="003D0ACE"/>
    <w:rsid w:val="003D55A6"/>
    <w:rsid w:val="003E2A16"/>
    <w:rsid w:val="003E507A"/>
    <w:rsid w:val="003E53FC"/>
    <w:rsid w:val="003E6B51"/>
    <w:rsid w:val="003F29FE"/>
    <w:rsid w:val="003F2E38"/>
    <w:rsid w:val="003F3581"/>
    <w:rsid w:val="003F5BE2"/>
    <w:rsid w:val="003F7213"/>
    <w:rsid w:val="004003EE"/>
    <w:rsid w:val="00401C24"/>
    <w:rsid w:val="00402F59"/>
    <w:rsid w:val="0040344B"/>
    <w:rsid w:val="00405467"/>
    <w:rsid w:val="00410C35"/>
    <w:rsid w:val="00412C4B"/>
    <w:rsid w:val="00416A23"/>
    <w:rsid w:val="00420EC3"/>
    <w:rsid w:val="00421D1D"/>
    <w:rsid w:val="004226BD"/>
    <w:rsid w:val="00422724"/>
    <w:rsid w:val="004316E9"/>
    <w:rsid w:val="00431BCF"/>
    <w:rsid w:val="0043212F"/>
    <w:rsid w:val="004329FC"/>
    <w:rsid w:val="00434EFC"/>
    <w:rsid w:val="00435B97"/>
    <w:rsid w:val="00441F11"/>
    <w:rsid w:val="004461DD"/>
    <w:rsid w:val="00446496"/>
    <w:rsid w:val="0044679C"/>
    <w:rsid w:val="004525CA"/>
    <w:rsid w:val="00453A38"/>
    <w:rsid w:val="0045676F"/>
    <w:rsid w:val="00462DCE"/>
    <w:rsid w:val="00466376"/>
    <w:rsid w:val="00471383"/>
    <w:rsid w:val="00471AA9"/>
    <w:rsid w:val="00472F26"/>
    <w:rsid w:val="00475A87"/>
    <w:rsid w:val="004768E6"/>
    <w:rsid w:val="0047693D"/>
    <w:rsid w:val="004816B2"/>
    <w:rsid w:val="00483521"/>
    <w:rsid w:val="004907A1"/>
    <w:rsid w:val="00495E51"/>
    <w:rsid w:val="0049630F"/>
    <w:rsid w:val="004A061F"/>
    <w:rsid w:val="004A0F07"/>
    <w:rsid w:val="004A105A"/>
    <w:rsid w:val="004A19FE"/>
    <w:rsid w:val="004A3264"/>
    <w:rsid w:val="004A3A34"/>
    <w:rsid w:val="004A443A"/>
    <w:rsid w:val="004A46BE"/>
    <w:rsid w:val="004A4A76"/>
    <w:rsid w:val="004B167A"/>
    <w:rsid w:val="004B28B9"/>
    <w:rsid w:val="004B4292"/>
    <w:rsid w:val="004B53AB"/>
    <w:rsid w:val="004C2330"/>
    <w:rsid w:val="004C2A95"/>
    <w:rsid w:val="004C3D2A"/>
    <w:rsid w:val="004D1281"/>
    <w:rsid w:val="004D2342"/>
    <w:rsid w:val="004D45EC"/>
    <w:rsid w:val="004D5EFC"/>
    <w:rsid w:val="004E03F0"/>
    <w:rsid w:val="004E0CC2"/>
    <w:rsid w:val="004E1E7E"/>
    <w:rsid w:val="004E28CC"/>
    <w:rsid w:val="004E618A"/>
    <w:rsid w:val="004F1409"/>
    <w:rsid w:val="004F667D"/>
    <w:rsid w:val="004F6DD3"/>
    <w:rsid w:val="0050217B"/>
    <w:rsid w:val="005030A0"/>
    <w:rsid w:val="00503618"/>
    <w:rsid w:val="0051340A"/>
    <w:rsid w:val="00513C47"/>
    <w:rsid w:val="0051766A"/>
    <w:rsid w:val="00521343"/>
    <w:rsid w:val="00530AB2"/>
    <w:rsid w:val="005363D0"/>
    <w:rsid w:val="00536CD1"/>
    <w:rsid w:val="00537653"/>
    <w:rsid w:val="0054440F"/>
    <w:rsid w:val="005479D1"/>
    <w:rsid w:val="005548C7"/>
    <w:rsid w:val="00564252"/>
    <w:rsid w:val="005644C2"/>
    <w:rsid w:val="0056518D"/>
    <w:rsid w:val="005660FF"/>
    <w:rsid w:val="00567205"/>
    <w:rsid w:val="00570A26"/>
    <w:rsid w:val="00572DDD"/>
    <w:rsid w:val="00573F7E"/>
    <w:rsid w:val="00574E1B"/>
    <w:rsid w:val="005815D6"/>
    <w:rsid w:val="0058198A"/>
    <w:rsid w:val="0059017A"/>
    <w:rsid w:val="00594D71"/>
    <w:rsid w:val="005A76E6"/>
    <w:rsid w:val="005B59A0"/>
    <w:rsid w:val="005B715A"/>
    <w:rsid w:val="005B729E"/>
    <w:rsid w:val="005C45B9"/>
    <w:rsid w:val="005C661E"/>
    <w:rsid w:val="005D10C1"/>
    <w:rsid w:val="005D17E7"/>
    <w:rsid w:val="005E054C"/>
    <w:rsid w:val="005E18BF"/>
    <w:rsid w:val="005E1FBE"/>
    <w:rsid w:val="005E30C9"/>
    <w:rsid w:val="005E4AE8"/>
    <w:rsid w:val="005E4B78"/>
    <w:rsid w:val="005E508F"/>
    <w:rsid w:val="005F1D08"/>
    <w:rsid w:val="005F6B7A"/>
    <w:rsid w:val="005F7711"/>
    <w:rsid w:val="00604379"/>
    <w:rsid w:val="00605710"/>
    <w:rsid w:val="00606BAA"/>
    <w:rsid w:val="00610480"/>
    <w:rsid w:val="006106D7"/>
    <w:rsid w:val="00611859"/>
    <w:rsid w:val="00614B7F"/>
    <w:rsid w:val="00617DFD"/>
    <w:rsid w:val="00622DA1"/>
    <w:rsid w:val="0062616B"/>
    <w:rsid w:val="00626F57"/>
    <w:rsid w:val="0063055A"/>
    <w:rsid w:val="006349A4"/>
    <w:rsid w:val="00643673"/>
    <w:rsid w:val="00643A9A"/>
    <w:rsid w:val="00643CBE"/>
    <w:rsid w:val="00645974"/>
    <w:rsid w:val="00645B2C"/>
    <w:rsid w:val="006522BF"/>
    <w:rsid w:val="006526DD"/>
    <w:rsid w:val="0065541A"/>
    <w:rsid w:val="00663E9E"/>
    <w:rsid w:val="00670460"/>
    <w:rsid w:val="00673F5E"/>
    <w:rsid w:val="006752FA"/>
    <w:rsid w:val="00675949"/>
    <w:rsid w:val="006763C3"/>
    <w:rsid w:val="00676613"/>
    <w:rsid w:val="00676AAB"/>
    <w:rsid w:val="0068241B"/>
    <w:rsid w:val="0068738C"/>
    <w:rsid w:val="00693597"/>
    <w:rsid w:val="0069472D"/>
    <w:rsid w:val="00694A95"/>
    <w:rsid w:val="00695AD0"/>
    <w:rsid w:val="006A42A8"/>
    <w:rsid w:val="006A5581"/>
    <w:rsid w:val="006B24AB"/>
    <w:rsid w:val="006B3577"/>
    <w:rsid w:val="006B4DEE"/>
    <w:rsid w:val="006B5BF4"/>
    <w:rsid w:val="006B6FE3"/>
    <w:rsid w:val="006C3398"/>
    <w:rsid w:val="006C4244"/>
    <w:rsid w:val="006D14B9"/>
    <w:rsid w:val="006D1FAD"/>
    <w:rsid w:val="006D54AC"/>
    <w:rsid w:val="006D5F65"/>
    <w:rsid w:val="006E07F0"/>
    <w:rsid w:val="006E1689"/>
    <w:rsid w:val="006E2964"/>
    <w:rsid w:val="006E3DF7"/>
    <w:rsid w:val="006E66BC"/>
    <w:rsid w:val="006F1207"/>
    <w:rsid w:val="006F536F"/>
    <w:rsid w:val="006F5455"/>
    <w:rsid w:val="007078F1"/>
    <w:rsid w:val="00711F93"/>
    <w:rsid w:val="0071237A"/>
    <w:rsid w:val="007145C2"/>
    <w:rsid w:val="00716044"/>
    <w:rsid w:val="007163AA"/>
    <w:rsid w:val="00720D2D"/>
    <w:rsid w:val="0073077D"/>
    <w:rsid w:val="0073429C"/>
    <w:rsid w:val="007344C3"/>
    <w:rsid w:val="007346E1"/>
    <w:rsid w:val="007479B9"/>
    <w:rsid w:val="00757781"/>
    <w:rsid w:val="007625C1"/>
    <w:rsid w:val="00766EF6"/>
    <w:rsid w:val="007676F9"/>
    <w:rsid w:val="00767FCC"/>
    <w:rsid w:val="00771A24"/>
    <w:rsid w:val="007742A8"/>
    <w:rsid w:val="00776449"/>
    <w:rsid w:val="00776ED7"/>
    <w:rsid w:val="00780328"/>
    <w:rsid w:val="00781D4C"/>
    <w:rsid w:val="00782BD4"/>
    <w:rsid w:val="00793384"/>
    <w:rsid w:val="007A3FE1"/>
    <w:rsid w:val="007B6F06"/>
    <w:rsid w:val="007B7782"/>
    <w:rsid w:val="007B7980"/>
    <w:rsid w:val="007C0565"/>
    <w:rsid w:val="007C1829"/>
    <w:rsid w:val="007C63B7"/>
    <w:rsid w:val="007D0072"/>
    <w:rsid w:val="007D1985"/>
    <w:rsid w:val="007D3EC7"/>
    <w:rsid w:val="007D67E9"/>
    <w:rsid w:val="007D699F"/>
    <w:rsid w:val="007E5352"/>
    <w:rsid w:val="007E7A96"/>
    <w:rsid w:val="007F1C90"/>
    <w:rsid w:val="007F3EE4"/>
    <w:rsid w:val="007F3F55"/>
    <w:rsid w:val="007F7689"/>
    <w:rsid w:val="008008EC"/>
    <w:rsid w:val="00801553"/>
    <w:rsid w:val="008017B2"/>
    <w:rsid w:val="00803CAD"/>
    <w:rsid w:val="00804699"/>
    <w:rsid w:val="00806D53"/>
    <w:rsid w:val="00807453"/>
    <w:rsid w:val="008117BA"/>
    <w:rsid w:val="00812761"/>
    <w:rsid w:val="00817362"/>
    <w:rsid w:val="00821B95"/>
    <w:rsid w:val="00824626"/>
    <w:rsid w:val="00826501"/>
    <w:rsid w:val="0083354E"/>
    <w:rsid w:val="00836BC3"/>
    <w:rsid w:val="00837C56"/>
    <w:rsid w:val="008408C2"/>
    <w:rsid w:val="00842E22"/>
    <w:rsid w:val="008445E3"/>
    <w:rsid w:val="0084467B"/>
    <w:rsid w:val="008466E1"/>
    <w:rsid w:val="00846FCF"/>
    <w:rsid w:val="00852A62"/>
    <w:rsid w:val="00855C83"/>
    <w:rsid w:val="008571D7"/>
    <w:rsid w:val="008605D2"/>
    <w:rsid w:val="008633E2"/>
    <w:rsid w:val="00867CF3"/>
    <w:rsid w:val="008706C2"/>
    <w:rsid w:val="00872379"/>
    <w:rsid w:val="008736DF"/>
    <w:rsid w:val="00873B2C"/>
    <w:rsid w:val="00873FEA"/>
    <w:rsid w:val="008749AE"/>
    <w:rsid w:val="00875123"/>
    <w:rsid w:val="008773E2"/>
    <w:rsid w:val="00877756"/>
    <w:rsid w:val="00881261"/>
    <w:rsid w:val="00882320"/>
    <w:rsid w:val="008828AF"/>
    <w:rsid w:val="008838DE"/>
    <w:rsid w:val="008849CD"/>
    <w:rsid w:val="00887756"/>
    <w:rsid w:val="008905C3"/>
    <w:rsid w:val="00893541"/>
    <w:rsid w:val="008941B2"/>
    <w:rsid w:val="00896883"/>
    <w:rsid w:val="00896F64"/>
    <w:rsid w:val="008A1388"/>
    <w:rsid w:val="008A18E3"/>
    <w:rsid w:val="008A5CA5"/>
    <w:rsid w:val="008A6A0E"/>
    <w:rsid w:val="008B1164"/>
    <w:rsid w:val="008B3187"/>
    <w:rsid w:val="008B372A"/>
    <w:rsid w:val="008B48B9"/>
    <w:rsid w:val="008C198C"/>
    <w:rsid w:val="008C36B1"/>
    <w:rsid w:val="008D0F03"/>
    <w:rsid w:val="008D1AD7"/>
    <w:rsid w:val="008D235C"/>
    <w:rsid w:val="008D3DD1"/>
    <w:rsid w:val="008D6846"/>
    <w:rsid w:val="008E0F32"/>
    <w:rsid w:val="008E122F"/>
    <w:rsid w:val="008F0B02"/>
    <w:rsid w:val="00903D90"/>
    <w:rsid w:val="00904B13"/>
    <w:rsid w:val="009103B6"/>
    <w:rsid w:val="00915411"/>
    <w:rsid w:val="009155E8"/>
    <w:rsid w:val="00917BC9"/>
    <w:rsid w:val="009208F8"/>
    <w:rsid w:val="00921059"/>
    <w:rsid w:val="009215AB"/>
    <w:rsid w:val="009217EE"/>
    <w:rsid w:val="00925961"/>
    <w:rsid w:val="00925FA9"/>
    <w:rsid w:val="0092611F"/>
    <w:rsid w:val="009300E8"/>
    <w:rsid w:val="0093053A"/>
    <w:rsid w:val="0093157D"/>
    <w:rsid w:val="00931CB5"/>
    <w:rsid w:val="00935DEA"/>
    <w:rsid w:val="00936726"/>
    <w:rsid w:val="00944398"/>
    <w:rsid w:val="0094530E"/>
    <w:rsid w:val="009474BE"/>
    <w:rsid w:val="00955133"/>
    <w:rsid w:val="00956595"/>
    <w:rsid w:val="0096449E"/>
    <w:rsid w:val="009672E7"/>
    <w:rsid w:val="0096731C"/>
    <w:rsid w:val="009737DF"/>
    <w:rsid w:val="00973B85"/>
    <w:rsid w:val="00974AA1"/>
    <w:rsid w:val="00980802"/>
    <w:rsid w:val="00982575"/>
    <w:rsid w:val="009833CE"/>
    <w:rsid w:val="009871DD"/>
    <w:rsid w:val="0098795C"/>
    <w:rsid w:val="00993C5D"/>
    <w:rsid w:val="00993C64"/>
    <w:rsid w:val="009964B7"/>
    <w:rsid w:val="009A0189"/>
    <w:rsid w:val="009A337C"/>
    <w:rsid w:val="009A70B7"/>
    <w:rsid w:val="009B1DDE"/>
    <w:rsid w:val="009B24C7"/>
    <w:rsid w:val="009B3769"/>
    <w:rsid w:val="009B3BA3"/>
    <w:rsid w:val="009B50D4"/>
    <w:rsid w:val="009C484C"/>
    <w:rsid w:val="009C780F"/>
    <w:rsid w:val="009D05CD"/>
    <w:rsid w:val="009D32B2"/>
    <w:rsid w:val="009D599A"/>
    <w:rsid w:val="009D77F6"/>
    <w:rsid w:val="009E0B16"/>
    <w:rsid w:val="009E1772"/>
    <w:rsid w:val="009E5181"/>
    <w:rsid w:val="009E5E8C"/>
    <w:rsid w:val="009E6273"/>
    <w:rsid w:val="009E6350"/>
    <w:rsid w:val="009E7791"/>
    <w:rsid w:val="009F2385"/>
    <w:rsid w:val="009F3C38"/>
    <w:rsid w:val="00A14CFE"/>
    <w:rsid w:val="00A21C02"/>
    <w:rsid w:val="00A22549"/>
    <w:rsid w:val="00A2430B"/>
    <w:rsid w:val="00A244B0"/>
    <w:rsid w:val="00A30633"/>
    <w:rsid w:val="00A30992"/>
    <w:rsid w:val="00A32545"/>
    <w:rsid w:val="00A33CE0"/>
    <w:rsid w:val="00A36D84"/>
    <w:rsid w:val="00A414E7"/>
    <w:rsid w:val="00A42106"/>
    <w:rsid w:val="00A45AB0"/>
    <w:rsid w:val="00A46ADB"/>
    <w:rsid w:val="00A46FA4"/>
    <w:rsid w:val="00A54B87"/>
    <w:rsid w:val="00A55C96"/>
    <w:rsid w:val="00A56FEC"/>
    <w:rsid w:val="00A640D9"/>
    <w:rsid w:val="00A643D9"/>
    <w:rsid w:val="00A6500F"/>
    <w:rsid w:val="00A6606D"/>
    <w:rsid w:val="00A6718D"/>
    <w:rsid w:val="00A70CF4"/>
    <w:rsid w:val="00A7337E"/>
    <w:rsid w:val="00A73528"/>
    <w:rsid w:val="00A75206"/>
    <w:rsid w:val="00A75FFA"/>
    <w:rsid w:val="00A8155C"/>
    <w:rsid w:val="00A84313"/>
    <w:rsid w:val="00A86C99"/>
    <w:rsid w:val="00A97746"/>
    <w:rsid w:val="00AB48DA"/>
    <w:rsid w:val="00AB6262"/>
    <w:rsid w:val="00AB66B9"/>
    <w:rsid w:val="00AC3E4B"/>
    <w:rsid w:val="00AC4809"/>
    <w:rsid w:val="00AC4CD6"/>
    <w:rsid w:val="00AC684F"/>
    <w:rsid w:val="00AD23DA"/>
    <w:rsid w:val="00AD33B1"/>
    <w:rsid w:val="00AD5EFC"/>
    <w:rsid w:val="00AE2192"/>
    <w:rsid w:val="00AE2593"/>
    <w:rsid w:val="00AE4CF5"/>
    <w:rsid w:val="00AE4EB7"/>
    <w:rsid w:val="00AE535A"/>
    <w:rsid w:val="00AE6971"/>
    <w:rsid w:val="00AF3A46"/>
    <w:rsid w:val="00AF4CD3"/>
    <w:rsid w:val="00AF5FE4"/>
    <w:rsid w:val="00B023DF"/>
    <w:rsid w:val="00B02C9D"/>
    <w:rsid w:val="00B0479C"/>
    <w:rsid w:val="00B1185F"/>
    <w:rsid w:val="00B1200F"/>
    <w:rsid w:val="00B1206D"/>
    <w:rsid w:val="00B12F6E"/>
    <w:rsid w:val="00B130E5"/>
    <w:rsid w:val="00B15B7B"/>
    <w:rsid w:val="00B21B6D"/>
    <w:rsid w:val="00B223E6"/>
    <w:rsid w:val="00B23AB1"/>
    <w:rsid w:val="00B23E02"/>
    <w:rsid w:val="00B243EC"/>
    <w:rsid w:val="00B32496"/>
    <w:rsid w:val="00B41C01"/>
    <w:rsid w:val="00B4294D"/>
    <w:rsid w:val="00B45A77"/>
    <w:rsid w:val="00B45D56"/>
    <w:rsid w:val="00B45FD6"/>
    <w:rsid w:val="00B46310"/>
    <w:rsid w:val="00B47FA8"/>
    <w:rsid w:val="00B50163"/>
    <w:rsid w:val="00B50C35"/>
    <w:rsid w:val="00B5137D"/>
    <w:rsid w:val="00B51E79"/>
    <w:rsid w:val="00B5378F"/>
    <w:rsid w:val="00B547A9"/>
    <w:rsid w:val="00B5786C"/>
    <w:rsid w:val="00B60369"/>
    <w:rsid w:val="00B6230B"/>
    <w:rsid w:val="00B710A0"/>
    <w:rsid w:val="00B7133C"/>
    <w:rsid w:val="00B7259A"/>
    <w:rsid w:val="00B741E3"/>
    <w:rsid w:val="00B75048"/>
    <w:rsid w:val="00B81928"/>
    <w:rsid w:val="00B856D4"/>
    <w:rsid w:val="00B87866"/>
    <w:rsid w:val="00B9191A"/>
    <w:rsid w:val="00B944A8"/>
    <w:rsid w:val="00B97162"/>
    <w:rsid w:val="00BA1203"/>
    <w:rsid w:val="00BA13A2"/>
    <w:rsid w:val="00BA2977"/>
    <w:rsid w:val="00BA54EE"/>
    <w:rsid w:val="00BB16A2"/>
    <w:rsid w:val="00BB1F8C"/>
    <w:rsid w:val="00BB4E91"/>
    <w:rsid w:val="00BB7489"/>
    <w:rsid w:val="00BC050A"/>
    <w:rsid w:val="00BC1218"/>
    <w:rsid w:val="00BC2518"/>
    <w:rsid w:val="00BC31D2"/>
    <w:rsid w:val="00BC4090"/>
    <w:rsid w:val="00BC54E8"/>
    <w:rsid w:val="00BC5708"/>
    <w:rsid w:val="00BC630B"/>
    <w:rsid w:val="00BC77F9"/>
    <w:rsid w:val="00BD0276"/>
    <w:rsid w:val="00BD0710"/>
    <w:rsid w:val="00BE154D"/>
    <w:rsid w:val="00BE55B3"/>
    <w:rsid w:val="00BF087E"/>
    <w:rsid w:val="00BF3934"/>
    <w:rsid w:val="00BF64B5"/>
    <w:rsid w:val="00C03B1E"/>
    <w:rsid w:val="00C0567C"/>
    <w:rsid w:val="00C05BD7"/>
    <w:rsid w:val="00C06CFF"/>
    <w:rsid w:val="00C06FC2"/>
    <w:rsid w:val="00C10E6A"/>
    <w:rsid w:val="00C14B8C"/>
    <w:rsid w:val="00C15ADB"/>
    <w:rsid w:val="00C15CB5"/>
    <w:rsid w:val="00C20F0D"/>
    <w:rsid w:val="00C21DA9"/>
    <w:rsid w:val="00C21F4E"/>
    <w:rsid w:val="00C23071"/>
    <w:rsid w:val="00C2423C"/>
    <w:rsid w:val="00C2624B"/>
    <w:rsid w:val="00C274A7"/>
    <w:rsid w:val="00C32B8E"/>
    <w:rsid w:val="00C3406A"/>
    <w:rsid w:val="00C360CD"/>
    <w:rsid w:val="00C36E37"/>
    <w:rsid w:val="00C407CC"/>
    <w:rsid w:val="00C46AF3"/>
    <w:rsid w:val="00C47AB1"/>
    <w:rsid w:val="00C501B1"/>
    <w:rsid w:val="00C50836"/>
    <w:rsid w:val="00C50FE5"/>
    <w:rsid w:val="00C55E0E"/>
    <w:rsid w:val="00C55E9A"/>
    <w:rsid w:val="00C605BC"/>
    <w:rsid w:val="00C6352C"/>
    <w:rsid w:val="00C701EE"/>
    <w:rsid w:val="00C72968"/>
    <w:rsid w:val="00C827F0"/>
    <w:rsid w:val="00C83512"/>
    <w:rsid w:val="00C8361E"/>
    <w:rsid w:val="00C974A0"/>
    <w:rsid w:val="00C97B94"/>
    <w:rsid w:val="00CA039E"/>
    <w:rsid w:val="00CA0D7F"/>
    <w:rsid w:val="00CA0EA7"/>
    <w:rsid w:val="00CA138E"/>
    <w:rsid w:val="00CA1C7B"/>
    <w:rsid w:val="00CA4D3F"/>
    <w:rsid w:val="00CB1841"/>
    <w:rsid w:val="00CB4375"/>
    <w:rsid w:val="00CB4E85"/>
    <w:rsid w:val="00CB729D"/>
    <w:rsid w:val="00CC7AFB"/>
    <w:rsid w:val="00CD03A0"/>
    <w:rsid w:val="00CD286D"/>
    <w:rsid w:val="00CD5B06"/>
    <w:rsid w:val="00CD6594"/>
    <w:rsid w:val="00CD6F8D"/>
    <w:rsid w:val="00CE17F8"/>
    <w:rsid w:val="00CF5942"/>
    <w:rsid w:val="00CF796C"/>
    <w:rsid w:val="00CF7A73"/>
    <w:rsid w:val="00D06A8B"/>
    <w:rsid w:val="00D10CD2"/>
    <w:rsid w:val="00D1144E"/>
    <w:rsid w:val="00D121A2"/>
    <w:rsid w:val="00D125EB"/>
    <w:rsid w:val="00D14392"/>
    <w:rsid w:val="00D15A8C"/>
    <w:rsid w:val="00D273EC"/>
    <w:rsid w:val="00D30FE5"/>
    <w:rsid w:val="00D326F8"/>
    <w:rsid w:val="00D32DED"/>
    <w:rsid w:val="00D33E83"/>
    <w:rsid w:val="00D3521F"/>
    <w:rsid w:val="00D455EA"/>
    <w:rsid w:val="00D4605F"/>
    <w:rsid w:val="00D46F4D"/>
    <w:rsid w:val="00D50565"/>
    <w:rsid w:val="00D52EB8"/>
    <w:rsid w:val="00D57F5C"/>
    <w:rsid w:val="00D60B58"/>
    <w:rsid w:val="00D62D07"/>
    <w:rsid w:val="00D64CA9"/>
    <w:rsid w:val="00D67B1E"/>
    <w:rsid w:val="00D67B98"/>
    <w:rsid w:val="00D760C1"/>
    <w:rsid w:val="00D76DB4"/>
    <w:rsid w:val="00D77802"/>
    <w:rsid w:val="00D80367"/>
    <w:rsid w:val="00D81668"/>
    <w:rsid w:val="00D85341"/>
    <w:rsid w:val="00D8538B"/>
    <w:rsid w:val="00D90562"/>
    <w:rsid w:val="00D936F6"/>
    <w:rsid w:val="00DA29CF"/>
    <w:rsid w:val="00DA3F0A"/>
    <w:rsid w:val="00DA4976"/>
    <w:rsid w:val="00DB2B4D"/>
    <w:rsid w:val="00DB5D9D"/>
    <w:rsid w:val="00DC0BD0"/>
    <w:rsid w:val="00DC3981"/>
    <w:rsid w:val="00DD07E5"/>
    <w:rsid w:val="00DD6A84"/>
    <w:rsid w:val="00DD7399"/>
    <w:rsid w:val="00DE1707"/>
    <w:rsid w:val="00DE1D8C"/>
    <w:rsid w:val="00DE6CC9"/>
    <w:rsid w:val="00DF0618"/>
    <w:rsid w:val="00DF0B93"/>
    <w:rsid w:val="00DF2225"/>
    <w:rsid w:val="00E0235A"/>
    <w:rsid w:val="00E03DA3"/>
    <w:rsid w:val="00E13145"/>
    <w:rsid w:val="00E15DBA"/>
    <w:rsid w:val="00E20039"/>
    <w:rsid w:val="00E24962"/>
    <w:rsid w:val="00E25D2A"/>
    <w:rsid w:val="00E30E94"/>
    <w:rsid w:val="00E31FE3"/>
    <w:rsid w:val="00E3341C"/>
    <w:rsid w:val="00E358E6"/>
    <w:rsid w:val="00E41B5F"/>
    <w:rsid w:val="00E46DA4"/>
    <w:rsid w:val="00E470FE"/>
    <w:rsid w:val="00E51C9B"/>
    <w:rsid w:val="00E526C5"/>
    <w:rsid w:val="00E55ED6"/>
    <w:rsid w:val="00E574B1"/>
    <w:rsid w:val="00E57DF1"/>
    <w:rsid w:val="00E57EAD"/>
    <w:rsid w:val="00E60B8B"/>
    <w:rsid w:val="00E626B7"/>
    <w:rsid w:val="00E6497F"/>
    <w:rsid w:val="00E64BD4"/>
    <w:rsid w:val="00E74426"/>
    <w:rsid w:val="00E76A24"/>
    <w:rsid w:val="00E8094E"/>
    <w:rsid w:val="00E81573"/>
    <w:rsid w:val="00E83D08"/>
    <w:rsid w:val="00E84625"/>
    <w:rsid w:val="00E85041"/>
    <w:rsid w:val="00E87AE3"/>
    <w:rsid w:val="00E97769"/>
    <w:rsid w:val="00EB036F"/>
    <w:rsid w:val="00EB1BAA"/>
    <w:rsid w:val="00EC7FAD"/>
    <w:rsid w:val="00ED1597"/>
    <w:rsid w:val="00ED2442"/>
    <w:rsid w:val="00ED324E"/>
    <w:rsid w:val="00ED388F"/>
    <w:rsid w:val="00ED3DA4"/>
    <w:rsid w:val="00EE1084"/>
    <w:rsid w:val="00EE1DFE"/>
    <w:rsid w:val="00EE23C2"/>
    <w:rsid w:val="00EE53EC"/>
    <w:rsid w:val="00EE67B4"/>
    <w:rsid w:val="00EF07A7"/>
    <w:rsid w:val="00EF083E"/>
    <w:rsid w:val="00EF132F"/>
    <w:rsid w:val="00EF1550"/>
    <w:rsid w:val="00EF5251"/>
    <w:rsid w:val="00EF6948"/>
    <w:rsid w:val="00F014FF"/>
    <w:rsid w:val="00F024B8"/>
    <w:rsid w:val="00F027C4"/>
    <w:rsid w:val="00F02DF5"/>
    <w:rsid w:val="00F03BDF"/>
    <w:rsid w:val="00F03FDF"/>
    <w:rsid w:val="00F0457B"/>
    <w:rsid w:val="00F06011"/>
    <w:rsid w:val="00F06D79"/>
    <w:rsid w:val="00F073B9"/>
    <w:rsid w:val="00F153EB"/>
    <w:rsid w:val="00F1675A"/>
    <w:rsid w:val="00F17036"/>
    <w:rsid w:val="00F2075F"/>
    <w:rsid w:val="00F22E32"/>
    <w:rsid w:val="00F30E8A"/>
    <w:rsid w:val="00F36B87"/>
    <w:rsid w:val="00F378A7"/>
    <w:rsid w:val="00F46A63"/>
    <w:rsid w:val="00F46AEC"/>
    <w:rsid w:val="00F50E70"/>
    <w:rsid w:val="00F52331"/>
    <w:rsid w:val="00F52E60"/>
    <w:rsid w:val="00F53E3D"/>
    <w:rsid w:val="00F556AA"/>
    <w:rsid w:val="00F55E38"/>
    <w:rsid w:val="00F625EB"/>
    <w:rsid w:val="00F64187"/>
    <w:rsid w:val="00F65DAB"/>
    <w:rsid w:val="00F711BF"/>
    <w:rsid w:val="00F72319"/>
    <w:rsid w:val="00F75808"/>
    <w:rsid w:val="00F759C2"/>
    <w:rsid w:val="00F761B9"/>
    <w:rsid w:val="00F76BA7"/>
    <w:rsid w:val="00F7777F"/>
    <w:rsid w:val="00F86F90"/>
    <w:rsid w:val="00F92970"/>
    <w:rsid w:val="00F93714"/>
    <w:rsid w:val="00F96D91"/>
    <w:rsid w:val="00FA3DD1"/>
    <w:rsid w:val="00FA3DDC"/>
    <w:rsid w:val="00FB0328"/>
    <w:rsid w:val="00FB2188"/>
    <w:rsid w:val="00FB40BA"/>
    <w:rsid w:val="00FB41EA"/>
    <w:rsid w:val="00FB6A65"/>
    <w:rsid w:val="00FB6D71"/>
    <w:rsid w:val="00FC0102"/>
    <w:rsid w:val="00FC418D"/>
    <w:rsid w:val="00FC532B"/>
    <w:rsid w:val="00FC6309"/>
    <w:rsid w:val="00FC63FB"/>
    <w:rsid w:val="00FD1E18"/>
    <w:rsid w:val="00FD4ECB"/>
    <w:rsid w:val="00FD5CE9"/>
    <w:rsid w:val="00FD670A"/>
    <w:rsid w:val="00FD758C"/>
    <w:rsid w:val="00FE14E2"/>
    <w:rsid w:val="00FE43F9"/>
    <w:rsid w:val="00FE48AA"/>
    <w:rsid w:val="00FE761F"/>
    <w:rsid w:val="00FF308B"/>
    <w:rsid w:val="00FF4DFA"/>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B12A9"/>
  <w15:chartTrackingRefBased/>
  <w15:docId w15:val="{75F77BA2-8BB7-4922-A77A-798E97FD3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383"/>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471383"/>
    <w:pPr>
      <w:tabs>
        <w:tab w:val="left" w:pos="648"/>
        <w:tab w:val="right" w:pos="7776"/>
        <w:tab w:val="left" w:pos="7848"/>
      </w:tabs>
    </w:pPr>
  </w:style>
  <w:style w:type="paragraph" w:styleId="Header">
    <w:name w:val="header"/>
    <w:basedOn w:val="Normal"/>
    <w:link w:val="HeaderChar"/>
    <w:uiPriority w:val="99"/>
    <w:unhideWhenUsed/>
    <w:rsid w:val="00471383"/>
    <w:pPr>
      <w:tabs>
        <w:tab w:val="center" w:pos="4680"/>
        <w:tab w:val="right" w:pos="9360"/>
      </w:tabs>
    </w:pPr>
  </w:style>
  <w:style w:type="character" w:customStyle="1" w:styleId="HeaderChar">
    <w:name w:val="Header Char"/>
    <w:link w:val="Header"/>
    <w:uiPriority w:val="99"/>
    <w:rsid w:val="00471383"/>
    <w:rPr>
      <w:rFonts w:ascii="Times New Roman" w:eastAsia="Times New Roman" w:hAnsi="Times New Roman" w:cs="Times New Roman"/>
      <w:sz w:val="24"/>
      <w:szCs w:val="20"/>
      <w:lang w:val="en-US"/>
    </w:rPr>
  </w:style>
  <w:style w:type="character" w:styleId="LineNumber">
    <w:name w:val="line number"/>
    <w:basedOn w:val="DefaultParagraphFont"/>
    <w:uiPriority w:val="99"/>
    <w:semiHidden/>
    <w:unhideWhenUsed/>
    <w:rsid w:val="00471383"/>
  </w:style>
  <w:style w:type="paragraph" w:styleId="BalloonText">
    <w:name w:val="Balloon Text"/>
    <w:basedOn w:val="Normal"/>
    <w:link w:val="BalloonTextChar"/>
    <w:uiPriority w:val="99"/>
    <w:semiHidden/>
    <w:unhideWhenUsed/>
    <w:rsid w:val="004B4292"/>
    <w:rPr>
      <w:rFonts w:ascii="Segoe UI" w:hAnsi="Segoe UI" w:cs="Segoe UI"/>
      <w:sz w:val="18"/>
      <w:szCs w:val="18"/>
    </w:rPr>
  </w:style>
  <w:style w:type="character" w:customStyle="1" w:styleId="BalloonTextChar">
    <w:name w:val="Balloon Text Char"/>
    <w:link w:val="BalloonText"/>
    <w:uiPriority w:val="99"/>
    <w:semiHidden/>
    <w:rsid w:val="004B4292"/>
    <w:rPr>
      <w:rFonts w:ascii="Segoe UI" w:eastAsia="Times New Roman" w:hAnsi="Segoe UI" w:cs="Segoe UI"/>
      <w:sz w:val="18"/>
      <w:szCs w:val="18"/>
      <w:lang w:val="en-US"/>
    </w:rPr>
  </w:style>
  <w:style w:type="paragraph" w:styleId="ListParagraph">
    <w:name w:val="List Paragraph"/>
    <w:basedOn w:val="Normal"/>
    <w:uiPriority w:val="34"/>
    <w:qFormat/>
    <w:rsid w:val="00F027C4"/>
    <w:pPr>
      <w:ind w:left="720"/>
      <w:contextualSpacing/>
    </w:pPr>
  </w:style>
  <w:style w:type="paragraph" w:styleId="FootnoteText">
    <w:name w:val="footnote text"/>
    <w:basedOn w:val="Normal"/>
    <w:link w:val="FootnoteTextChar"/>
    <w:uiPriority w:val="99"/>
    <w:semiHidden/>
    <w:unhideWhenUsed/>
    <w:rsid w:val="0051766A"/>
    <w:rPr>
      <w:sz w:val="20"/>
    </w:rPr>
  </w:style>
  <w:style w:type="character" w:customStyle="1" w:styleId="FootnoteTextChar">
    <w:name w:val="Footnote Text Char"/>
    <w:link w:val="FootnoteText"/>
    <w:uiPriority w:val="99"/>
    <w:semiHidden/>
    <w:rsid w:val="0051766A"/>
    <w:rPr>
      <w:rFonts w:ascii="Times New Roman" w:eastAsia="Times New Roman" w:hAnsi="Times New Roman" w:cs="Times New Roman"/>
      <w:sz w:val="20"/>
      <w:szCs w:val="20"/>
      <w:lang w:val="en-US"/>
    </w:rPr>
  </w:style>
  <w:style w:type="character" w:styleId="FootnoteReference">
    <w:name w:val="footnote reference"/>
    <w:uiPriority w:val="99"/>
    <w:semiHidden/>
    <w:unhideWhenUsed/>
    <w:rsid w:val="0051766A"/>
    <w:rPr>
      <w:vertAlign w:val="superscript"/>
    </w:rPr>
  </w:style>
  <w:style w:type="character" w:styleId="Hyperlink">
    <w:name w:val="Hyperlink"/>
    <w:uiPriority w:val="99"/>
    <w:unhideWhenUsed/>
    <w:rsid w:val="002C600D"/>
    <w:rPr>
      <w:color w:val="0563C1"/>
      <w:u w:val="single"/>
    </w:rPr>
  </w:style>
  <w:style w:type="paragraph" w:customStyle="1" w:styleId="Default">
    <w:name w:val="Default"/>
    <w:rsid w:val="00B75048"/>
    <w:pPr>
      <w:autoSpaceDE w:val="0"/>
      <w:autoSpaceDN w:val="0"/>
      <w:adjustRightInd w:val="0"/>
    </w:pPr>
    <w:rPr>
      <w:rFonts w:ascii="Times New Roman" w:hAnsi="Times New Roman"/>
      <w:color w:val="000000"/>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575193">
      <w:bodyDiv w:val="1"/>
      <w:marLeft w:val="0"/>
      <w:marRight w:val="0"/>
      <w:marTop w:val="0"/>
      <w:marBottom w:val="0"/>
      <w:divBdr>
        <w:top w:val="none" w:sz="0" w:space="0" w:color="auto"/>
        <w:left w:val="none" w:sz="0" w:space="0" w:color="auto"/>
        <w:bottom w:val="none" w:sz="0" w:space="0" w:color="auto"/>
        <w:right w:val="none" w:sz="0" w:space="0" w:color="auto"/>
      </w:divBdr>
    </w:div>
    <w:div w:id="1335955660">
      <w:bodyDiv w:val="1"/>
      <w:marLeft w:val="0"/>
      <w:marRight w:val="0"/>
      <w:marTop w:val="0"/>
      <w:marBottom w:val="0"/>
      <w:divBdr>
        <w:top w:val="none" w:sz="0" w:space="0" w:color="auto"/>
        <w:left w:val="none" w:sz="0" w:space="0" w:color="auto"/>
        <w:bottom w:val="none" w:sz="0" w:space="0" w:color="auto"/>
        <w:right w:val="none" w:sz="0" w:space="0" w:color="auto"/>
      </w:divBdr>
    </w:div>
    <w:div w:id="1813519221">
      <w:bodyDiv w:val="1"/>
      <w:marLeft w:val="0"/>
      <w:marRight w:val="0"/>
      <w:marTop w:val="0"/>
      <w:marBottom w:val="0"/>
      <w:divBdr>
        <w:top w:val="none" w:sz="0" w:space="0" w:color="auto"/>
        <w:left w:val="none" w:sz="0" w:space="0" w:color="auto"/>
        <w:bottom w:val="none" w:sz="0" w:space="0" w:color="auto"/>
        <w:right w:val="none" w:sz="0" w:space="0" w:color="auto"/>
      </w:divBdr>
    </w:div>
    <w:div w:id="2069722051">
      <w:bodyDiv w:val="1"/>
      <w:marLeft w:val="0"/>
      <w:marRight w:val="0"/>
      <w:marTop w:val="0"/>
      <w:marBottom w:val="0"/>
      <w:divBdr>
        <w:top w:val="none" w:sz="0" w:space="0" w:color="auto"/>
        <w:left w:val="none" w:sz="0" w:space="0" w:color="auto"/>
        <w:bottom w:val="none" w:sz="0" w:space="0" w:color="auto"/>
        <w:right w:val="none" w:sz="0" w:space="0" w:color="auto"/>
      </w:divBdr>
    </w:div>
    <w:div w:id="210306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F3D1F-9378-493C-A08B-FDFAF382E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3823</Words>
  <Characters>20310</Characters>
  <Application>Microsoft Office Word</Application>
  <DocSecurity>0</DocSecurity>
  <Lines>332</Lines>
  <Paragraphs>79</Paragraphs>
  <ScaleCrop>false</ScaleCrop>
  <HeadingPairs>
    <vt:vector size="2" baseType="variant">
      <vt:variant>
        <vt:lpstr>Title</vt:lpstr>
      </vt:variant>
      <vt:variant>
        <vt:i4>1</vt:i4>
      </vt:variant>
    </vt:vector>
  </HeadingPairs>
  <TitlesOfParts>
    <vt:vector size="1" baseType="lpstr">
      <vt:lpstr/>
    </vt:vector>
  </TitlesOfParts>
  <Company>Oficina de Servicios Legislativos</Company>
  <LinksUpToDate>false</LinksUpToDate>
  <CharactersWithSpaces>24119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Gladys J. Burgos Torres</cp:lastModifiedBy>
  <cp:revision>5</cp:revision>
  <cp:lastPrinted>2025-12-15T19:17:00Z</cp:lastPrinted>
  <dcterms:created xsi:type="dcterms:W3CDTF">2026-01-08T19:10:00Z</dcterms:created>
  <dcterms:modified xsi:type="dcterms:W3CDTF">2026-01-08T20:41:00Z</dcterms:modified>
</cp:coreProperties>
</file>