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440BF8" w:rsidRDefault="00850770">
      <w:pPr>
        <w:jc w:val="center"/>
        <w:rPr>
          <w:rFonts w:ascii="Book Antiqua" w:eastAsia="Book Antiqua" w:hAnsi="Book Antiqua" w:cs="Book Antiqua"/>
          <w:bCs/>
          <w:color w:val="000000" w:themeColor="text1"/>
          <w:sz w:val="28"/>
          <w:szCs w:val="28"/>
          <w:lang w:val="es-PR"/>
        </w:rPr>
      </w:pPr>
      <w:r w:rsidRPr="00440B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40BF8">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5619A63B" w:rsidR="00FF2214" w:rsidRPr="002F48BA" w:rsidRDefault="00DC5755">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20</w:t>
      </w:r>
      <w:r w:rsidRPr="00110E02">
        <w:rPr>
          <w:rFonts w:ascii="Book Antiqua" w:eastAsia="Book Antiqua" w:hAnsi="Book Antiqua" w:cs="Book Antiqua"/>
          <w:color w:val="000000" w:themeColor="text1"/>
          <w:vertAlign w:val="superscript"/>
          <w:lang w:val="es-PR"/>
        </w:rPr>
        <w:t>ma</w:t>
      </w:r>
      <w:r w:rsidR="00850770" w:rsidRPr="002F48BA">
        <w:rPr>
          <w:rFonts w:ascii="Book Antiqua" w:eastAsia="Book Antiqua" w:hAnsi="Book Antiqua" w:cs="Book Antiqua"/>
          <w:color w:val="000000" w:themeColor="text1"/>
          <w:lang w:val="es-PR"/>
        </w:rPr>
        <w:tab/>
        <w:t>Asamblea</w:t>
      </w:r>
      <w:r w:rsidR="00850770" w:rsidRPr="002F48BA">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3</w:t>
      </w:r>
      <w:r w:rsidRPr="00110E02">
        <w:rPr>
          <w:rFonts w:ascii="Book Antiqua" w:eastAsia="Book Antiqua" w:hAnsi="Book Antiqua" w:cs="Book Antiqua"/>
          <w:color w:val="000000" w:themeColor="text1"/>
          <w:vertAlign w:val="superscript"/>
          <w:lang w:val="es-PR"/>
        </w:rPr>
        <w:t>ra</w:t>
      </w:r>
      <w:r w:rsidR="00850770" w:rsidRPr="002F48BA">
        <w:rPr>
          <w:rFonts w:ascii="Book Antiqua" w:eastAsia="Book Antiqua" w:hAnsi="Book Antiqua" w:cs="Book Antiqua"/>
          <w:color w:val="000000" w:themeColor="text1"/>
          <w:vertAlign w:val="superscript"/>
          <w:lang w:val="es-PR"/>
        </w:rPr>
        <w:tab/>
      </w:r>
      <w:r w:rsidR="00850770"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40071FA9"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w:t>
      </w:r>
      <w:r w:rsidR="00333F7E">
        <w:rPr>
          <w:rFonts w:ascii="Book Antiqua" w:hAnsi="Book Antiqua"/>
          <w:b/>
          <w:sz w:val="52"/>
          <w:szCs w:val="52"/>
          <w:lang w:val="es-PR"/>
        </w:rPr>
        <w:t>1014</w:t>
      </w:r>
    </w:p>
    <w:p w14:paraId="4A8A7A6F" w14:textId="77777777" w:rsidR="00950505" w:rsidRPr="00171EEB" w:rsidRDefault="00950505" w:rsidP="00950505">
      <w:pPr>
        <w:jc w:val="center"/>
        <w:rPr>
          <w:rFonts w:ascii="Book Antiqua" w:hAnsi="Book Antiqua"/>
          <w:lang w:val="es-PR"/>
        </w:rPr>
      </w:pPr>
    </w:p>
    <w:p w14:paraId="3D87D176" w14:textId="66530541" w:rsidR="00950505" w:rsidRPr="002B18E6" w:rsidRDefault="00440BF8" w:rsidP="00950505">
      <w:pPr>
        <w:jc w:val="center"/>
        <w:rPr>
          <w:rFonts w:ascii="Book Antiqua" w:hAnsi="Book Antiqua"/>
          <w:b/>
          <w:sz w:val="48"/>
          <w:lang w:val="es-PR"/>
        </w:rPr>
      </w:pPr>
      <w:r>
        <w:rPr>
          <w:rFonts w:ascii="Book Antiqua" w:hAnsi="Book Antiqua"/>
          <w:lang w:val="es-PR"/>
        </w:rPr>
        <w:t xml:space="preserve"> </w:t>
      </w:r>
      <w:r w:rsidR="00333F7E">
        <w:rPr>
          <w:rFonts w:ascii="Book Antiqua" w:hAnsi="Book Antiqua"/>
          <w:lang w:val="es-PR"/>
        </w:rPr>
        <w:t>12</w:t>
      </w:r>
      <w:r w:rsidR="00E74FAD">
        <w:rPr>
          <w:rFonts w:ascii="Book Antiqua" w:hAnsi="Book Antiqua"/>
          <w:lang w:val="es-PR"/>
        </w:rPr>
        <w:t xml:space="preserve"> </w:t>
      </w:r>
      <w:r w:rsidRPr="002B18E6">
        <w:rPr>
          <w:rFonts w:ascii="Book Antiqua" w:hAnsi="Book Antiqua"/>
          <w:lang w:val="es-PR"/>
        </w:rPr>
        <w:t xml:space="preserve">DE </w:t>
      </w:r>
      <w:r w:rsidR="002E1966">
        <w:rPr>
          <w:rFonts w:ascii="Book Antiqua" w:hAnsi="Book Antiqua"/>
          <w:lang w:val="es-PR"/>
        </w:rPr>
        <w:t xml:space="preserve">ENERO </w:t>
      </w:r>
      <w:r w:rsidRPr="002B18E6">
        <w:rPr>
          <w:rFonts w:ascii="Book Antiqua" w:hAnsi="Book Antiqua"/>
          <w:lang w:val="es-PR"/>
        </w:rPr>
        <w:t xml:space="preserve">DE </w:t>
      </w:r>
      <w:r w:rsidR="00E74FAD" w:rsidRPr="002B18E6">
        <w:rPr>
          <w:rFonts w:ascii="Book Antiqua" w:hAnsi="Book Antiqua"/>
          <w:lang w:val="es-PR"/>
        </w:rPr>
        <w:t>202</w:t>
      </w:r>
      <w:r w:rsidR="00696BA8">
        <w:rPr>
          <w:rFonts w:ascii="Book Antiqua" w:hAnsi="Book Antiqua"/>
          <w:lang w:val="es-PR"/>
        </w:rPr>
        <w:t>6</w:t>
      </w:r>
    </w:p>
    <w:p w14:paraId="1E7B6D3E" w14:textId="77777777" w:rsidR="00950505" w:rsidRPr="00171EEB" w:rsidRDefault="00950505" w:rsidP="00950505">
      <w:pPr>
        <w:jc w:val="center"/>
        <w:rPr>
          <w:rFonts w:ascii="Book Antiqua" w:hAnsi="Book Antiqua"/>
          <w:lang w:val="es-PR"/>
        </w:rPr>
      </w:pPr>
    </w:p>
    <w:p w14:paraId="40459EB5" w14:textId="5ABF7685" w:rsidR="00440BF8" w:rsidRPr="00B00227" w:rsidRDefault="00440BF8" w:rsidP="006A4427">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por</w:t>
      </w:r>
      <w:r w:rsidR="002B5BBC">
        <w:rPr>
          <w:rFonts w:ascii="Book Antiqua" w:eastAsia="Book Antiqua" w:hAnsi="Book Antiqua" w:cs="Book Antiqua"/>
          <w:color w:val="000000" w:themeColor="text1"/>
          <w:lang w:val="es-PR"/>
        </w:rPr>
        <w:t xml:space="preserve"> </w:t>
      </w:r>
      <w:r w:rsidR="006A4427">
        <w:rPr>
          <w:rFonts w:ascii="Book Antiqua" w:eastAsia="Book Antiqua" w:hAnsi="Book Antiqua" w:cs="Book Antiqua"/>
          <w:color w:val="000000" w:themeColor="text1"/>
          <w:lang w:val="es-PR"/>
        </w:rPr>
        <w:t xml:space="preserve">el </w:t>
      </w:r>
      <w:r w:rsidR="006A4427" w:rsidRPr="00110E02">
        <w:rPr>
          <w:rFonts w:ascii="Book Antiqua" w:eastAsia="Book Antiqua" w:hAnsi="Book Antiqua" w:cs="Book Antiqua"/>
          <w:color w:val="000000" w:themeColor="text1"/>
          <w:lang w:val="es-ES"/>
        </w:rPr>
        <w:t xml:space="preserve">representante </w:t>
      </w:r>
      <w:r w:rsidR="006A4427" w:rsidRPr="00110E02">
        <w:rPr>
          <w:rFonts w:ascii="Book Antiqua" w:eastAsia="Book Antiqua" w:hAnsi="Book Antiqua" w:cs="Book Antiqua"/>
          <w:i/>
          <w:iCs/>
          <w:color w:val="000000" w:themeColor="text1"/>
          <w:lang w:val="es-ES"/>
        </w:rPr>
        <w:t>Méndez Núñez</w:t>
      </w:r>
      <w:r w:rsidR="006A4427" w:rsidRPr="00110E02">
        <w:rPr>
          <w:rFonts w:ascii="Book Antiqua" w:eastAsia="Book Antiqua" w:hAnsi="Book Antiqua" w:cs="Book Antiqua"/>
          <w:color w:val="000000" w:themeColor="text1"/>
          <w:lang w:val="es-ES"/>
        </w:rPr>
        <w:t xml:space="preserve">; la representante </w:t>
      </w:r>
      <w:r w:rsidR="006A4427" w:rsidRPr="00110E02">
        <w:rPr>
          <w:rFonts w:ascii="Book Antiqua" w:eastAsia="Book Antiqua" w:hAnsi="Book Antiqua" w:cs="Book Antiqua"/>
          <w:i/>
          <w:iCs/>
          <w:color w:val="000000" w:themeColor="text1"/>
          <w:lang w:val="es-ES"/>
        </w:rPr>
        <w:t>Lebrón Rodríguez</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Peña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Torres Zamora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Román López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Aponte Hernández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Carlo Acosta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Charbonier Chinea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Colón Rodríguez</w:t>
      </w:r>
      <w:r w:rsidR="006A4427" w:rsidRPr="00110E02">
        <w:rPr>
          <w:rFonts w:ascii="Book Antiqua" w:eastAsia="Book Antiqua" w:hAnsi="Book Antiqua" w:cs="Book Antiqua"/>
          <w:color w:val="000000" w:themeColor="text1"/>
          <w:lang w:val="es-ES"/>
        </w:rPr>
        <w:t xml:space="preserve">; la representante del </w:t>
      </w:r>
      <w:r w:rsidR="006A4427" w:rsidRPr="00110E02">
        <w:rPr>
          <w:rFonts w:ascii="Book Antiqua" w:eastAsia="Book Antiqua" w:hAnsi="Book Antiqua" w:cs="Book Antiqua"/>
          <w:i/>
          <w:iCs/>
          <w:color w:val="000000" w:themeColor="text1"/>
          <w:lang w:val="es-ES"/>
        </w:rPr>
        <w:t>Valle Correa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Estévez Vélez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Franqui Atiles</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González Aguayo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González González</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Hernández Concepción</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Jiménez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López Román</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Martínez Vázquez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Medina Calderón</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Morey Noble</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Muriel Sánchez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Navarro Suárez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Nieves Rosario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Ocasio Ramos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Pacheco Burgos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Parés Otero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Cordero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Ortiz</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Pérez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Ramos Rivera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Robles Rivera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Aguiló</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Roque Gracia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Sanabria Colón</w:t>
      </w:r>
      <w:r w:rsidR="006A4427" w:rsidRPr="00110E02">
        <w:rPr>
          <w:rFonts w:ascii="Book Antiqua" w:eastAsia="Book Antiqua" w:hAnsi="Book Antiqua" w:cs="Book Antiqua"/>
          <w:color w:val="000000" w:themeColor="text1"/>
          <w:lang w:val="es-ES"/>
        </w:rPr>
        <w:t xml:space="preserve"> y </w:t>
      </w:r>
      <w:r w:rsidR="006A4427" w:rsidRPr="00110E02">
        <w:rPr>
          <w:rFonts w:ascii="Book Antiqua" w:eastAsia="Book Antiqua" w:hAnsi="Book Antiqua" w:cs="Book Antiqua"/>
          <w:i/>
          <w:iCs/>
          <w:color w:val="000000" w:themeColor="text1"/>
          <w:lang w:val="es-ES"/>
        </w:rPr>
        <w:t>Santiago Guzmá</w:t>
      </w:r>
      <w:r w:rsidR="00C84C50" w:rsidRPr="00110E02">
        <w:rPr>
          <w:rFonts w:ascii="Book Antiqua" w:eastAsia="Book Antiqua" w:hAnsi="Book Antiqua" w:cs="Book Antiqua"/>
          <w:i/>
          <w:iCs/>
          <w:color w:val="000000" w:themeColor="text1"/>
          <w:lang w:val="es-ES"/>
        </w:rPr>
        <w:t>n</w:t>
      </w:r>
    </w:p>
    <w:bookmarkEnd w:id="0"/>
    <w:p w14:paraId="18A0DB58" w14:textId="77777777" w:rsidR="00950505" w:rsidRPr="00440BF8" w:rsidRDefault="00950505" w:rsidP="00950505">
      <w:pPr>
        <w:jc w:val="center"/>
        <w:rPr>
          <w:rFonts w:ascii="Book Antiqua" w:hAnsi="Book Antiqua"/>
          <w:lang w:val="es-ES"/>
        </w:rPr>
      </w:pPr>
    </w:p>
    <w:p w14:paraId="6E0B8939" w14:textId="043A36DE" w:rsidR="00950505" w:rsidRPr="00171EEB" w:rsidRDefault="00950505" w:rsidP="00950505">
      <w:pPr>
        <w:jc w:val="center"/>
        <w:rPr>
          <w:rFonts w:ascii="Book Antiqua" w:hAnsi="Book Antiqua"/>
          <w:lang w:val="es-PR"/>
        </w:rPr>
      </w:pPr>
      <w:r w:rsidRPr="00171EEB">
        <w:rPr>
          <w:rFonts w:ascii="Book Antiqua" w:hAnsi="Book Antiqua"/>
          <w:lang w:val="es-PR"/>
        </w:rPr>
        <w:t>Referido a</w:t>
      </w:r>
      <w:r w:rsidR="00743767">
        <w:rPr>
          <w:rFonts w:ascii="Book Antiqua" w:hAnsi="Book Antiqua"/>
          <w:lang w:val="es-PR"/>
        </w:rPr>
        <w:t xml:space="preserve"> la Comisión de Hacienda</w:t>
      </w:r>
    </w:p>
    <w:p w14:paraId="4B9C3823" w14:textId="77777777" w:rsidR="00950505" w:rsidRPr="00171EEB" w:rsidRDefault="00950505" w:rsidP="00950505">
      <w:pPr>
        <w:jc w:val="both"/>
        <w:rPr>
          <w:rFonts w:ascii="Book Antiqua" w:hAnsi="Book Antiqua"/>
          <w:lang w:val="es-PR"/>
        </w:rPr>
      </w:pPr>
    </w:p>
    <w:p w14:paraId="43228070" w14:textId="77777777" w:rsidR="00950505" w:rsidRPr="00171EEB" w:rsidRDefault="00950505" w:rsidP="00950505">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3B2357">
      <w:pPr>
        <w:jc w:val="both"/>
        <w:rPr>
          <w:rFonts w:ascii="Book Antiqua" w:eastAsia="Book Antiqua" w:hAnsi="Book Antiqua" w:cs="Book Antiqua"/>
          <w:color w:val="000000" w:themeColor="text1"/>
          <w:lang w:val="es-PR"/>
        </w:rPr>
      </w:pPr>
    </w:p>
    <w:p w14:paraId="7A63EC96" w14:textId="77777777" w:rsidR="000D52BA" w:rsidRDefault="00552282" w:rsidP="009B52DC">
      <w:pPr>
        <w:suppressLineNumbers/>
        <w:ind w:left="540" w:hanging="540"/>
        <w:jc w:val="both"/>
        <w:rPr>
          <w:rFonts w:ascii="Book Antiqua" w:hAnsi="Book Antiqua"/>
          <w:color w:val="000000" w:themeColor="text1"/>
          <w:lang w:val="es-PR"/>
        </w:rPr>
      </w:pPr>
      <w:r w:rsidRPr="00552282">
        <w:rPr>
          <w:rFonts w:ascii="Book Antiqua" w:eastAsia="Book Antiqua" w:hAnsi="Book Antiqua" w:cs="Book Antiqua"/>
          <w:color w:val="000000" w:themeColor="text1"/>
          <w:lang w:val="es-PR"/>
        </w:rPr>
        <w:t xml:space="preserve">Para </w:t>
      </w:r>
      <w:r w:rsidR="000D52BA" w:rsidRPr="00E609F8">
        <w:rPr>
          <w:rFonts w:ascii="Book Antiqua" w:hAnsi="Book Antiqua"/>
          <w:color w:val="000000" w:themeColor="text1"/>
          <w:lang w:val="es-PR"/>
        </w:rPr>
        <w:t xml:space="preserve">enmendar la Secciones 1010.01, 1021.01, 1021.02, 1021.06, 1022.07, 1031.02, 1033.18, 1078.02, 1081.01, 3030.03, 4030.05, 4030.17 y 6041.11, de la Ley Núm. 1-2011, según enmendada, conocida como “Código de Rentas Internas de Puerto Rico de 2011 con el fin de reducir la carga contributiva de los contribuyentes en Puerto Rico; y para otros fines relacionados. </w:t>
      </w:r>
    </w:p>
    <w:p w14:paraId="37D2E559" w14:textId="77777777" w:rsidR="009B52DC" w:rsidRPr="00E609F8" w:rsidRDefault="009B52DC" w:rsidP="009B52DC">
      <w:pPr>
        <w:suppressLineNumbers/>
        <w:ind w:left="540" w:hanging="540"/>
        <w:jc w:val="both"/>
        <w:rPr>
          <w:rFonts w:ascii="Book Antiqua" w:hAnsi="Book Antiqua"/>
          <w:color w:val="000000" w:themeColor="text1"/>
          <w:lang w:val="es-PR"/>
        </w:rPr>
      </w:pPr>
    </w:p>
    <w:p w14:paraId="7CAF70FE" w14:textId="783469A7" w:rsidR="00841D09" w:rsidRDefault="00C254AD" w:rsidP="009B52DC">
      <w:pPr>
        <w:suppressLineNumbers/>
        <w:ind w:left="446" w:hanging="446"/>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6BD50F77" w14:textId="77777777" w:rsidR="009B52DC" w:rsidRDefault="009B52DC" w:rsidP="009B52DC">
      <w:pPr>
        <w:suppressLineNumbers/>
        <w:ind w:left="446" w:hanging="446"/>
        <w:jc w:val="center"/>
        <w:rPr>
          <w:rFonts w:ascii="Book Antiqua" w:eastAsia="Book Antiqua" w:hAnsi="Book Antiqua" w:cs="Book Antiqua"/>
          <w:bCs/>
          <w:color w:val="000000" w:themeColor="text1"/>
          <w:lang w:val="es-PR"/>
        </w:rPr>
      </w:pPr>
    </w:p>
    <w:p w14:paraId="1BD36B9D" w14:textId="293D6D53" w:rsidR="003A52D8" w:rsidRPr="00425ED1" w:rsidRDefault="009B52DC" w:rsidP="009B52DC">
      <w:pPr>
        <w:suppressLineNumbers/>
        <w:jc w:val="both"/>
        <w:rPr>
          <w:rFonts w:ascii="Book Antiqua" w:hAnsi="Book Antiqua"/>
          <w:color w:val="000000" w:themeColor="text1"/>
          <w:lang w:val="es-PR"/>
        </w:rPr>
      </w:pPr>
      <w:bookmarkStart w:id="1" w:name="_Hlk219046712"/>
      <w:r>
        <w:rPr>
          <w:rFonts w:ascii="Book Antiqua" w:hAnsi="Book Antiqua"/>
          <w:color w:val="000000" w:themeColor="text1"/>
          <w:lang w:val="es-PR"/>
        </w:rPr>
        <w:tab/>
      </w:r>
      <w:r w:rsidR="003A52D8" w:rsidRPr="0022131A">
        <w:rPr>
          <w:rFonts w:ascii="Book Antiqua" w:hAnsi="Book Antiqua"/>
          <w:color w:val="000000" w:themeColor="text1"/>
          <w:lang w:val="es-PR"/>
        </w:rPr>
        <w:t xml:space="preserve">Puerto Rico ha atravesado décadas de desafíos fiscales que han afectado su desarrollo económico </w:t>
      </w:r>
      <w:r w:rsidR="003A52D8">
        <w:rPr>
          <w:rFonts w:ascii="Book Antiqua" w:hAnsi="Book Antiqua"/>
          <w:color w:val="000000" w:themeColor="text1"/>
          <w:lang w:val="es-PR"/>
        </w:rPr>
        <w:t xml:space="preserve">así </w:t>
      </w:r>
      <w:r w:rsidR="003A52D8" w:rsidRPr="0022131A">
        <w:rPr>
          <w:rFonts w:ascii="Book Antiqua" w:hAnsi="Book Antiqua"/>
          <w:color w:val="000000" w:themeColor="text1"/>
          <w:lang w:val="es-PR"/>
        </w:rPr>
        <w:t>como su atractivo para la inversión y calidad de vida</w:t>
      </w:r>
      <w:r w:rsidR="003A52D8">
        <w:rPr>
          <w:rFonts w:ascii="Book Antiqua" w:hAnsi="Book Antiqua"/>
          <w:color w:val="000000" w:themeColor="text1"/>
          <w:lang w:val="es-PR"/>
        </w:rPr>
        <w:t xml:space="preserve"> de todos</w:t>
      </w:r>
      <w:r w:rsidR="003A52D8" w:rsidRPr="0022131A">
        <w:rPr>
          <w:rFonts w:ascii="Book Antiqua" w:hAnsi="Book Antiqua"/>
          <w:color w:val="000000" w:themeColor="text1"/>
          <w:lang w:val="es-PR"/>
        </w:rPr>
        <w:t>. Por muchos años, nuestro panorama fiscal ha estado marcado por políticas</w:t>
      </w:r>
      <w:r w:rsidR="003A52D8">
        <w:rPr>
          <w:rFonts w:ascii="Book Antiqua" w:hAnsi="Book Antiqua"/>
          <w:color w:val="000000" w:themeColor="text1"/>
          <w:lang w:val="es-PR"/>
        </w:rPr>
        <w:t xml:space="preserve"> fiscales</w:t>
      </w:r>
      <w:r w:rsidR="003A52D8" w:rsidRPr="0022131A">
        <w:rPr>
          <w:rFonts w:ascii="Book Antiqua" w:hAnsi="Book Antiqua"/>
          <w:color w:val="000000" w:themeColor="text1"/>
          <w:lang w:val="es-PR"/>
        </w:rPr>
        <w:t xml:space="preserve"> ineficientes y sistemas burocráticos que dificultan el crecimiento sostenible. Hoy más que nunca, es vital replantear el modelo contributivo y de </w:t>
      </w:r>
      <w:r w:rsidR="003A52D8" w:rsidRPr="00425ED1">
        <w:rPr>
          <w:rFonts w:ascii="Book Antiqua" w:hAnsi="Book Antiqua"/>
          <w:color w:val="000000" w:themeColor="text1"/>
          <w:lang w:val="es-PR"/>
        </w:rPr>
        <w:t>finanzas</w:t>
      </w:r>
      <w:r w:rsidR="003A52D8" w:rsidRPr="0022131A">
        <w:rPr>
          <w:rFonts w:ascii="Book Antiqua" w:hAnsi="Book Antiqua"/>
          <w:color w:val="000000" w:themeColor="text1"/>
          <w:lang w:val="es-PR"/>
        </w:rPr>
        <w:t xml:space="preserve"> públicas para transformar </w:t>
      </w:r>
      <w:r w:rsidR="003A52D8">
        <w:rPr>
          <w:rFonts w:ascii="Book Antiqua" w:hAnsi="Book Antiqua"/>
          <w:color w:val="000000" w:themeColor="text1"/>
          <w:lang w:val="es-PR"/>
        </w:rPr>
        <w:t xml:space="preserve">nuestra Isla </w:t>
      </w:r>
      <w:r w:rsidR="003A52D8" w:rsidRPr="0022131A">
        <w:rPr>
          <w:rFonts w:ascii="Book Antiqua" w:hAnsi="Book Antiqua"/>
          <w:color w:val="000000" w:themeColor="text1"/>
          <w:lang w:val="es-PR"/>
        </w:rPr>
        <w:t xml:space="preserve">en un lugar atractivo para vivir y para la inversión y con un ambiente </w:t>
      </w:r>
      <w:r w:rsidR="003A52D8">
        <w:rPr>
          <w:rFonts w:ascii="Book Antiqua" w:hAnsi="Book Antiqua"/>
          <w:color w:val="000000" w:themeColor="text1"/>
          <w:lang w:val="es-PR"/>
        </w:rPr>
        <w:t>list</w:t>
      </w:r>
      <w:r w:rsidR="003A52D8" w:rsidRPr="0022131A">
        <w:rPr>
          <w:rFonts w:ascii="Book Antiqua" w:hAnsi="Book Antiqua"/>
          <w:color w:val="000000" w:themeColor="text1"/>
          <w:lang w:val="es-PR"/>
        </w:rPr>
        <w:t xml:space="preserve">o para el establecimiento de negocios y desarrollo económico. Impera la necesidad de </w:t>
      </w:r>
      <w:r w:rsidR="003A52D8" w:rsidRPr="0022131A">
        <w:rPr>
          <w:rFonts w:ascii="Book Antiqua" w:hAnsi="Book Antiqua"/>
          <w:color w:val="000000" w:themeColor="text1"/>
          <w:lang w:val="es-PR"/>
        </w:rPr>
        <w:lastRenderedPageBreak/>
        <w:t>implementar una reforma que no solo simplifique y modernice nuestros procesos fiscales, sino que también fomente un entorno de apertura económica centrado en nuestros empresarios locales y la justicia social. Esta base es esencial para promover un desarrollo económico sostenible y la libertad económica, haciendo que Puerto Rico se convierta en un lugar próspero para su ciudadanía y</w:t>
      </w:r>
      <w:r w:rsidR="003A52D8">
        <w:rPr>
          <w:rFonts w:ascii="Book Antiqua" w:hAnsi="Book Antiqua"/>
          <w:color w:val="000000" w:themeColor="text1"/>
          <w:lang w:val="es-PR"/>
        </w:rPr>
        <w:t>,</w:t>
      </w:r>
      <w:r w:rsidR="003A52D8" w:rsidRPr="0022131A">
        <w:rPr>
          <w:rFonts w:ascii="Book Antiqua" w:hAnsi="Book Antiqua"/>
          <w:color w:val="000000" w:themeColor="text1"/>
          <w:lang w:val="es-PR"/>
        </w:rPr>
        <w:t xml:space="preserve"> para la inversión local y extranjera.</w:t>
      </w:r>
    </w:p>
    <w:p w14:paraId="18D430BE" w14:textId="77777777" w:rsidR="003A52D8" w:rsidRDefault="003A52D8" w:rsidP="009B52DC">
      <w:pPr>
        <w:suppressLineNumbers/>
        <w:ind w:firstLine="720"/>
        <w:jc w:val="both"/>
        <w:rPr>
          <w:rFonts w:ascii="Book Antiqua" w:hAnsi="Book Antiqua"/>
          <w:color w:val="000000" w:themeColor="text1"/>
          <w:lang w:val="es-PR"/>
        </w:rPr>
      </w:pPr>
    </w:p>
    <w:p w14:paraId="1F5EA02C" w14:textId="230B3A82" w:rsidR="003A52D8" w:rsidRDefault="009B52DC" w:rsidP="009B52DC">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Pr>
          <w:rFonts w:ascii="Book Antiqua" w:hAnsi="Book Antiqua"/>
          <w:color w:val="000000" w:themeColor="text1"/>
          <w:lang w:val="es-PR"/>
        </w:rPr>
        <w:t>E</w:t>
      </w:r>
      <w:r w:rsidR="003A52D8" w:rsidRPr="0022131A">
        <w:rPr>
          <w:rFonts w:ascii="Book Antiqua" w:hAnsi="Book Antiqua"/>
          <w:color w:val="000000" w:themeColor="text1"/>
          <w:lang w:val="es-PR"/>
        </w:rPr>
        <w:t xml:space="preserve">stamos conscientes de la responsabilidad que conlleva liberar a Puerto Rico de las presiones impuestas por la Junta de Supervisión Fiscal (JSF). </w:t>
      </w:r>
      <w:r w:rsidR="003A52D8">
        <w:rPr>
          <w:rFonts w:ascii="Book Antiqua" w:hAnsi="Book Antiqua"/>
          <w:color w:val="000000" w:themeColor="text1"/>
          <w:lang w:val="es-PR"/>
        </w:rPr>
        <w:t xml:space="preserve"> En verano del 2025 nuestra Administración logró nuestro primer</w:t>
      </w:r>
      <w:r w:rsidR="003A52D8" w:rsidRPr="0022131A">
        <w:rPr>
          <w:rFonts w:ascii="Book Antiqua" w:hAnsi="Book Antiqua"/>
          <w:color w:val="000000" w:themeColor="text1"/>
          <w:lang w:val="es-PR"/>
        </w:rPr>
        <w:t xml:space="preserve"> presupuesto balanceado,</w:t>
      </w:r>
      <w:r w:rsidR="003A52D8">
        <w:rPr>
          <w:rFonts w:ascii="Book Antiqua" w:hAnsi="Book Antiqua"/>
          <w:color w:val="000000" w:themeColor="text1"/>
          <w:lang w:val="es-PR"/>
        </w:rPr>
        <w:t xml:space="preserve"> confirmado por la JSF.</w:t>
      </w:r>
      <w:r w:rsidR="003A52D8" w:rsidRPr="00635BF9">
        <w:rPr>
          <w:rFonts w:ascii="Book Antiqua" w:hAnsi="Book Antiqua"/>
          <w:color w:val="000000" w:themeColor="text1"/>
          <w:lang w:val="es-PR"/>
        </w:rPr>
        <w:t xml:space="preserve"> </w:t>
      </w:r>
      <w:r w:rsidR="003A52D8">
        <w:rPr>
          <w:rFonts w:ascii="Book Antiqua" w:hAnsi="Book Antiqua"/>
          <w:color w:val="000000" w:themeColor="text1"/>
          <w:lang w:val="es-PR"/>
        </w:rPr>
        <w:t>De la misma manera</w:t>
      </w:r>
      <w:r w:rsidR="003A52D8" w:rsidRPr="0022131A">
        <w:rPr>
          <w:rFonts w:ascii="Book Antiqua" w:hAnsi="Book Antiqua"/>
          <w:color w:val="000000" w:themeColor="text1"/>
          <w:lang w:val="es-PR"/>
        </w:rPr>
        <w:t xml:space="preserve"> implementamos reformas estructurales que increment</w:t>
      </w:r>
      <w:r w:rsidR="003A52D8">
        <w:rPr>
          <w:rFonts w:ascii="Book Antiqua" w:hAnsi="Book Antiqua"/>
          <w:color w:val="000000" w:themeColor="text1"/>
          <w:lang w:val="es-PR"/>
        </w:rPr>
        <w:t>a</w:t>
      </w:r>
      <w:r w:rsidR="003A52D8" w:rsidRPr="0022131A">
        <w:rPr>
          <w:rFonts w:ascii="Book Antiqua" w:hAnsi="Book Antiqua"/>
          <w:color w:val="000000" w:themeColor="text1"/>
          <w:lang w:val="es-PR"/>
        </w:rPr>
        <w:t>n la eficiencia en los recaudos y promuevan una gestión fiscal responsable.</w:t>
      </w:r>
      <w:r w:rsidR="003A52D8">
        <w:rPr>
          <w:rFonts w:ascii="Book Antiqua" w:hAnsi="Book Antiqua"/>
          <w:color w:val="000000" w:themeColor="text1"/>
          <w:lang w:val="es-PR"/>
        </w:rPr>
        <w:t xml:space="preserve"> </w:t>
      </w:r>
    </w:p>
    <w:p w14:paraId="0C3385D7" w14:textId="77777777" w:rsidR="003A52D8" w:rsidRDefault="003A52D8" w:rsidP="009B52DC">
      <w:pPr>
        <w:suppressLineNumbers/>
        <w:ind w:firstLine="720"/>
        <w:jc w:val="both"/>
        <w:rPr>
          <w:rFonts w:ascii="Book Antiqua" w:hAnsi="Book Antiqua"/>
          <w:color w:val="000000" w:themeColor="text1"/>
          <w:lang w:val="es-PR"/>
        </w:rPr>
      </w:pPr>
    </w:p>
    <w:p w14:paraId="2FA23205" w14:textId="00D04BDF" w:rsidR="003A52D8" w:rsidRDefault="009B52DC" w:rsidP="009B52DC">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sidRPr="00967034">
        <w:rPr>
          <w:rFonts w:ascii="Book Antiqua" w:hAnsi="Book Antiqua"/>
          <w:color w:val="000000" w:themeColor="text1"/>
          <w:lang w:val="es-PR"/>
        </w:rPr>
        <w:t>Como parte de esta R</w:t>
      </w:r>
      <w:r w:rsidR="003A52D8" w:rsidRPr="000129CB">
        <w:rPr>
          <w:rFonts w:ascii="Book Antiqua" w:hAnsi="Book Antiqua"/>
          <w:color w:val="000000" w:themeColor="text1"/>
          <w:lang w:val="es-PR"/>
        </w:rPr>
        <w:t>eforma, en</w:t>
      </w:r>
      <w:r w:rsidR="003A52D8">
        <w:rPr>
          <w:rFonts w:ascii="Book Antiqua" w:hAnsi="Book Antiqua"/>
          <w:color w:val="000000" w:themeColor="text1"/>
          <w:lang w:val="es-PR"/>
        </w:rPr>
        <w:t xml:space="preserve"> el 2025 se adelantó la aprobación de 10 leyes que sientan las bases para esta segunda parte de la reducción de la reducción de la imposición tributaria. Las siguientes ya forman parte de este logro: </w:t>
      </w:r>
    </w:p>
    <w:p w14:paraId="7C65A408" w14:textId="77777777" w:rsidR="003A52D8" w:rsidRDefault="003A52D8" w:rsidP="003A52D8">
      <w:pPr>
        <w:suppressLineNumbers/>
        <w:ind w:firstLine="720"/>
        <w:jc w:val="both"/>
        <w:rPr>
          <w:rFonts w:ascii="Book Antiqua" w:hAnsi="Book Antiqua"/>
          <w:color w:val="000000" w:themeColor="text1"/>
          <w:lang w:val="es-PR"/>
        </w:rPr>
      </w:pPr>
    </w:p>
    <w:tbl>
      <w:tblPr>
        <w:tblStyle w:val="TableGrid"/>
        <w:tblW w:w="0" w:type="auto"/>
        <w:tblLook w:val="04A0" w:firstRow="1" w:lastRow="0" w:firstColumn="1" w:lastColumn="0" w:noHBand="0" w:noVBand="1"/>
      </w:tblPr>
      <w:tblGrid>
        <w:gridCol w:w="4675"/>
        <w:gridCol w:w="4675"/>
      </w:tblGrid>
      <w:tr w:rsidR="003A52D8" w:rsidRPr="000129CB" w14:paraId="78B11850" w14:textId="77777777" w:rsidTr="002B28D0">
        <w:tc>
          <w:tcPr>
            <w:tcW w:w="4675" w:type="dxa"/>
          </w:tcPr>
          <w:p w14:paraId="6252CC47" w14:textId="77777777" w:rsidR="003A52D8" w:rsidRPr="000129CB" w:rsidRDefault="003A52D8" w:rsidP="002B28D0">
            <w:pPr>
              <w:jc w:val="center"/>
              <w:rPr>
                <w:rFonts w:ascii="Book Antiqua" w:hAnsi="Book Antiqua"/>
                <w:sz w:val="21"/>
                <w:szCs w:val="21"/>
                <w:lang w:val="es-PR"/>
              </w:rPr>
            </w:pPr>
            <w:r w:rsidRPr="000129CB">
              <w:rPr>
                <w:rFonts w:ascii="Book Antiqua" w:hAnsi="Book Antiqua"/>
                <w:sz w:val="21"/>
                <w:szCs w:val="21"/>
                <w:lang w:val="es-PR"/>
              </w:rPr>
              <w:t>Número de la Ley</w:t>
            </w:r>
          </w:p>
        </w:tc>
        <w:tc>
          <w:tcPr>
            <w:tcW w:w="4675" w:type="dxa"/>
          </w:tcPr>
          <w:p w14:paraId="1D73A5EC" w14:textId="77777777" w:rsidR="003A52D8" w:rsidRPr="000129CB" w:rsidRDefault="003A52D8" w:rsidP="002B28D0">
            <w:pPr>
              <w:jc w:val="center"/>
              <w:rPr>
                <w:rFonts w:ascii="Book Antiqua" w:hAnsi="Book Antiqua"/>
                <w:sz w:val="21"/>
                <w:szCs w:val="21"/>
                <w:lang w:val="es-PR"/>
              </w:rPr>
            </w:pPr>
            <w:r w:rsidRPr="000129CB">
              <w:rPr>
                <w:rFonts w:ascii="Book Antiqua" w:hAnsi="Book Antiqua"/>
                <w:sz w:val="21"/>
                <w:szCs w:val="21"/>
                <w:lang w:val="es-PR"/>
              </w:rPr>
              <w:t>Tema</w:t>
            </w:r>
          </w:p>
        </w:tc>
      </w:tr>
      <w:tr w:rsidR="003A52D8" w:rsidRPr="009B52DC" w14:paraId="22D1C258" w14:textId="77777777" w:rsidTr="002B28D0">
        <w:tc>
          <w:tcPr>
            <w:tcW w:w="4675" w:type="dxa"/>
          </w:tcPr>
          <w:p w14:paraId="3CFE9D23"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64-2025</w:t>
            </w:r>
          </w:p>
        </w:tc>
        <w:tc>
          <w:tcPr>
            <w:tcW w:w="4675" w:type="dxa"/>
          </w:tcPr>
          <w:p w14:paraId="0EDF2D19" w14:textId="77777777" w:rsidR="003A52D8" w:rsidRPr="000129CB" w:rsidRDefault="003A52D8" w:rsidP="002B28D0">
            <w:pPr>
              <w:jc w:val="both"/>
              <w:rPr>
                <w:rFonts w:ascii="Book Antiqua" w:hAnsi="Book Antiqua"/>
                <w:sz w:val="21"/>
                <w:szCs w:val="21"/>
                <w:lang w:val="es-PR"/>
              </w:rPr>
            </w:pPr>
            <w:r>
              <w:rPr>
                <w:rFonts w:ascii="Book Antiqua" w:hAnsi="Book Antiqua"/>
                <w:sz w:val="21"/>
                <w:szCs w:val="21"/>
                <w:lang w:val="es-PR"/>
              </w:rPr>
              <w:t>A</w:t>
            </w:r>
            <w:r w:rsidRPr="000129CB">
              <w:rPr>
                <w:rFonts w:ascii="Book Antiqua" w:hAnsi="Book Antiqua"/>
                <w:sz w:val="21"/>
                <w:szCs w:val="21"/>
                <w:lang w:val="es-PR"/>
              </w:rPr>
              <w:t>clara y amplía las exenciones contributivas a entidades sin fines de lucro</w:t>
            </w:r>
          </w:p>
        </w:tc>
      </w:tr>
      <w:tr w:rsidR="003A52D8" w:rsidRPr="009B52DC" w14:paraId="689A8D0E" w14:textId="77777777" w:rsidTr="002B28D0">
        <w:tc>
          <w:tcPr>
            <w:tcW w:w="4675" w:type="dxa"/>
          </w:tcPr>
          <w:p w14:paraId="64196E87"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65-2025</w:t>
            </w:r>
          </w:p>
          <w:p w14:paraId="3EB2129A" w14:textId="77777777" w:rsidR="003A52D8" w:rsidRPr="000129CB" w:rsidRDefault="003A52D8" w:rsidP="002B28D0">
            <w:pPr>
              <w:jc w:val="both"/>
              <w:rPr>
                <w:rFonts w:ascii="Book Antiqua" w:hAnsi="Book Antiqua"/>
                <w:sz w:val="21"/>
                <w:szCs w:val="21"/>
                <w:lang w:val="es-PR"/>
              </w:rPr>
            </w:pPr>
          </w:p>
        </w:tc>
        <w:tc>
          <w:tcPr>
            <w:tcW w:w="4675" w:type="dxa"/>
          </w:tcPr>
          <w:p w14:paraId="50806474"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Simplificación de procesos contributivos en el Departamento de Hacienda</w:t>
            </w:r>
          </w:p>
        </w:tc>
      </w:tr>
      <w:tr w:rsidR="003A52D8" w:rsidRPr="009B52DC" w14:paraId="38D1083A" w14:textId="77777777" w:rsidTr="002B28D0">
        <w:tc>
          <w:tcPr>
            <w:tcW w:w="4675" w:type="dxa"/>
          </w:tcPr>
          <w:p w14:paraId="0C2246E7"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66-2025</w:t>
            </w:r>
          </w:p>
          <w:p w14:paraId="1A06C637" w14:textId="77777777" w:rsidR="003A52D8" w:rsidRPr="000129CB" w:rsidRDefault="003A52D8" w:rsidP="002B28D0">
            <w:pPr>
              <w:jc w:val="both"/>
              <w:rPr>
                <w:rFonts w:ascii="Book Antiqua" w:hAnsi="Book Antiqua"/>
                <w:sz w:val="21"/>
                <w:szCs w:val="21"/>
                <w:lang w:val="es-PR"/>
              </w:rPr>
            </w:pPr>
          </w:p>
        </w:tc>
        <w:tc>
          <w:tcPr>
            <w:tcW w:w="4675" w:type="dxa"/>
          </w:tcPr>
          <w:p w14:paraId="10EEEB99"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Extensión de exención a la contribución sobre el ingreso de la renta de propiedad residencial</w:t>
            </w:r>
          </w:p>
        </w:tc>
      </w:tr>
      <w:tr w:rsidR="003A52D8" w:rsidRPr="009B52DC" w14:paraId="5DD7172A" w14:textId="77777777" w:rsidTr="002B28D0">
        <w:tc>
          <w:tcPr>
            <w:tcW w:w="4675" w:type="dxa"/>
          </w:tcPr>
          <w:p w14:paraId="46356306"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67-2025</w:t>
            </w:r>
          </w:p>
          <w:p w14:paraId="0924C1BD" w14:textId="77777777" w:rsidR="003A52D8" w:rsidRPr="000129CB" w:rsidRDefault="003A52D8" w:rsidP="002B28D0">
            <w:pPr>
              <w:jc w:val="both"/>
              <w:rPr>
                <w:rFonts w:ascii="Book Antiqua" w:hAnsi="Book Antiqua"/>
                <w:sz w:val="21"/>
                <w:szCs w:val="21"/>
                <w:lang w:val="es-PR"/>
              </w:rPr>
            </w:pPr>
          </w:p>
        </w:tc>
        <w:tc>
          <w:tcPr>
            <w:tcW w:w="4675" w:type="dxa"/>
          </w:tcPr>
          <w:p w14:paraId="622919FE" w14:textId="77777777" w:rsidR="003A52D8" w:rsidRPr="000129CB" w:rsidRDefault="003A52D8" w:rsidP="002B28D0">
            <w:pPr>
              <w:jc w:val="both"/>
              <w:rPr>
                <w:rFonts w:ascii="Book Antiqua" w:hAnsi="Book Antiqua"/>
                <w:i/>
                <w:iCs/>
                <w:sz w:val="21"/>
                <w:szCs w:val="21"/>
                <w:lang w:val="es-PR"/>
              </w:rPr>
            </w:pPr>
            <w:r w:rsidRPr="000129CB">
              <w:rPr>
                <w:rFonts w:ascii="Book Antiqua" w:hAnsi="Book Antiqua"/>
                <w:sz w:val="21"/>
                <w:szCs w:val="21"/>
                <w:lang w:val="es-PR"/>
              </w:rPr>
              <w:t xml:space="preserve">Exenciones a los agricultores </w:t>
            </w:r>
            <w:r w:rsidRPr="000129CB">
              <w:rPr>
                <w:rFonts w:ascii="Book Antiqua" w:hAnsi="Book Antiqua"/>
                <w:i/>
                <w:iCs/>
                <w:sz w:val="21"/>
                <w:szCs w:val="21"/>
                <w:lang w:val="es-PR"/>
              </w:rPr>
              <w:t>bona fide</w:t>
            </w:r>
          </w:p>
        </w:tc>
      </w:tr>
      <w:tr w:rsidR="003A52D8" w:rsidRPr="009B52DC" w14:paraId="374D4DE6" w14:textId="77777777" w:rsidTr="002B28D0">
        <w:tc>
          <w:tcPr>
            <w:tcW w:w="4675" w:type="dxa"/>
          </w:tcPr>
          <w:p w14:paraId="1FA083B2"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72-2025</w:t>
            </w:r>
          </w:p>
          <w:p w14:paraId="6BE90A8B" w14:textId="77777777" w:rsidR="003A52D8" w:rsidRPr="000129CB" w:rsidRDefault="003A52D8" w:rsidP="002B28D0">
            <w:pPr>
              <w:jc w:val="both"/>
              <w:rPr>
                <w:rFonts w:ascii="Book Antiqua" w:hAnsi="Book Antiqua"/>
                <w:sz w:val="21"/>
                <w:szCs w:val="21"/>
                <w:lang w:val="es-PR"/>
              </w:rPr>
            </w:pPr>
          </w:p>
        </w:tc>
        <w:tc>
          <w:tcPr>
            <w:tcW w:w="4675" w:type="dxa"/>
          </w:tcPr>
          <w:p w14:paraId="66467041"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Cobro del IVU Municipal a través del Sistema S.U.R.I. del Departamento de Hacienda</w:t>
            </w:r>
          </w:p>
        </w:tc>
      </w:tr>
      <w:tr w:rsidR="003A52D8" w:rsidRPr="009B52DC" w14:paraId="20B3AA49" w14:textId="77777777" w:rsidTr="002B28D0">
        <w:tc>
          <w:tcPr>
            <w:tcW w:w="4675" w:type="dxa"/>
          </w:tcPr>
          <w:p w14:paraId="2BB233B1"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78-2025</w:t>
            </w:r>
          </w:p>
          <w:p w14:paraId="6E75DD8C" w14:textId="77777777" w:rsidR="003A52D8" w:rsidRPr="000129CB" w:rsidRDefault="003A52D8" w:rsidP="002B28D0">
            <w:pPr>
              <w:jc w:val="both"/>
              <w:rPr>
                <w:rFonts w:ascii="Book Antiqua" w:hAnsi="Book Antiqua"/>
                <w:sz w:val="21"/>
                <w:szCs w:val="21"/>
                <w:lang w:val="es-PR"/>
              </w:rPr>
            </w:pPr>
          </w:p>
        </w:tc>
        <w:tc>
          <w:tcPr>
            <w:tcW w:w="4675" w:type="dxa"/>
          </w:tcPr>
          <w:p w14:paraId="3AC1324E"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Exención total del cobro del IVU a los medicamentos recetados</w:t>
            </w:r>
          </w:p>
        </w:tc>
      </w:tr>
      <w:tr w:rsidR="003A52D8" w:rsidRPr="009B52DC" w14:paraId="09B975BB" w14:textId="77777777" w:rsidTr="002B28D0">
        <w:tc>
          <w:tcPr>
            <w:tcW w:w="4675" w:type="dxa"/>
          </w:tcPr>
          <w:p w14:paraId="27988518"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177-2025</w:t>
            </w:r>
          </w:p>
          <w:p w14:paraId="2136A3A4" w14:textId="77777777" w:rsidR="003A52D8" w:rsidRPr="000129CB" w:rsidRDefault="003A52D8" w:rsidP="002B28D0">
            <w:pPr>
              <w:jc w:val="both"/>
              <w:rPr>
                <w:rFonts w:ascii="Book Antiqua" w:hAnsi="Book Antiqua"/>
                <w:sz w:val="21"/>
                <w:szCs w:val="21"/>
                <w:lang w:val="es-PR"/>
              </w:rPr>
            </w:pPr>
          </w:p>
        </w:tc>
        <w:tc>
          <w:tcPr>
            <w:tcW w:w="4675" w:type="dxa"/>
          </w:tcPr>
          <w:p w14:paraId="48308DB7"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Permi</w:t>
            </w:r>
            <w:r>
              <w:rPr>
                <w:rFonts w:ascii="Book Antiqua" w:hAnsi="Book Antiqua"/>
                <w:sz w:val="21"/>
                <w:szCs w:val="21"/>
                <w:lang w:val="es-PR"/>
              </w:rPr>
              <w:t>te</w:t>
            </w:r>
            <w:r w:rsidRPr="000129CB">
              <w:rPr>
                <w:rFonts w:ascii="Book Antiqua" w:hAnsi="Book Antiqua"/>
                <w:sz w:val="21"/>
                <w:szCs w:val="21"/>
                <w:lang w:val="es-PR"/>
              </w:rPr>
              <w:t xml:space="preserve"> la creación de cuentas ABLE: cuentas de ahorro para personas con discapacidades</w:t>
            </w:r>
          </w:p>
        </w:tc>
      </w:tr>
      <w:tr w:rsidR="003A52D8" w:rsidRPr="009B52DC" w14:paraId="25D38F6A" w14:textId="77777777" w:rsidTr="002B28D0">
        <w:tc>
          <w:tcPr>
            <w:tcW w:w="4675" w:type="dxa"/>
          </w:tcPr>
          <w:p w14:paraId="2AE64F04"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178-2025</w:t>
            </w:r>
          </w:p>
          <w:p w14:paraId="60721C40" w14:textId="77777777" w:rsidR="003A52D8" w:rsidRPr="000129CB" w:rsidRDefault="003A52D8" w:rsidP="002B28D0">
            <w:pPr>
              <w:jc w:val="both"/>
              <w:rPr>
                <w:rFonts w:ascii="Book Antiqua" w:hAnsi="Book Antiqua"/>
                <w:sz w:val="21"/>
                <w:szCs w:val="21"/>
                <w:lang w:val="es-PR"/>
              </w:rPr>
            </w:pPr>
          </w:p>
        </w:tc>
        <w:tc>
          <w:tcPr>
            <w:tcW w:w="4675" w:type="dxa"/>
          </w:tcPr>
          <w:p w14:paraId="14B2AE40"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Aumenta la deducción permitida para las cuentas IRA’s Educativas</w:t>
            </w:r>
          </w:p>
        </w:tc>
      </w:tr>
      <w:tr w:rsidR="003A52D8" w:rsidRPr="009B52DC" w14:paraId="123020E0" w14:textId="77777777" w:rsidTr="002B28D0">
        <w:tc>
          <w:tcPr>
            <w:tcW w:w="4675" w:type="dxa"/>
          </w:tcPr>
          <w:p w14:paraId="403197E5"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179-2025</w:t>
            </w:r>
          </w:p>
          <w:p w14:paraId="499D037C" w14:textId="77777777" w:rsidR="003A52D8" w:rsidRPr="000129CB" w:rsidRDefault="003A52D8" w:rsidP="002B28D0">
            <w:pPr>
              <w:jc w:val="both"/>
              <w:rPr>
                <w:rFonts w:ascii="Book Antiqua" w:hAnsi="Book Antiqua"/>
                <w:sz w:val="21"/>
                <w:szCs w:val="21"/>
                <w:lang w:val="es-PR"/>
              </w:rPr>
            </w:pPr>
          </w:p>
        </w:tc>
        <w:tc>
          <w:tcPr>
            <w:tcW w:w="4675" w:type="dxa"/>
          </w:tcPr>
          <w:p w14:paraId="279B76FA"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Aumenta la deducción permitida para las cuentas IRA’s (Regulares)</w:t>
            </w:r>
          </w:p>
        </w:tc>
      </w:tr>
      <w:tr w:rsidR="003A52D8" w:rsidRPr="009B52DC" w14:paraId="1A7599C7" w14:textId="77777777" w:rsidTr="002B28D0">
        <w:tc>
          <w:tcPr>
            <w:tcW w:w="4675" w:type="dxa"/>
          </w:tcPr>
          <w:p w14:paraId="5B69F2DC"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Ley 180-2025</w:t>
            </w:r>
          </w:p>
          <w:p w14:paraId="0A96D8B0" w14:textId="77777777" w:rsidR="003A52D8" w:rsidRPr="000129CB" w:rsidRDefault="003A52D8" w:rsidP="002B28D0">
            <w:pPr>
              <w:jc w:val="both"/>
              <w:rPr>
                <w:rFonts w:ascii="Book Antiqua" w:hAnsi="Book Antiqua"/>
                <w:sz w:val="21"/>
                <w:szCs w:val="21"/>
                <w:lang w:val="es-PR"/>
              </w:rPr>
            </w:pPr>
          </w:p>
        </w:tc>
        <w:tc>
          <w:tcPr>
            <w:tcW w:w="4675" w:type="dxa"/>
          </w:tcPr>
          <w:p w14:paraId="58038797" w14:textId="77777777" w:rsidR="003A52D8" w:rsidRPr="000129CB" w:rsidRDefault="003A52D8" w:rsidP="002B28D0">
            <w:pPr>
              <w:jc w:val="both"/>
              <w:rPr>
                <w:rFonts w:ascii="Book Antiqua" w:hAnsi="Book Antiqua"/>
                <w:sz w:val="21"/>
                <w:szCs w:val="21"/>
                <w:lang w:val="es-PR"/>
              </w:rPr>
            </w:pPr>
            <w:r w:rsidRPr="000129CB">
              <w:rPr>
                <w:rFonts w:ascii="Book Antiqua" w:hAnsi="Book Antiqua"/>
                <w:sz w:val="21"/>
                <w:szCs w:val="21"/>
                <w:lang w:val="es-PR"/>
              </w:rPr>
              <w:t>Exenciones a las ganancias de capital producto de la venta de la residencia principal del vendedor</w:t>
            </w:r>
          </w:p>
        </w:tc>
      </w:tr>
    </w:tbl>
    <w:p w14:paraId="2C992CAE" w14:textId="77777777" w:rsidR="003A52D8" w:rsidRDefault="003A52D8" w:rsidP="003A52D8">
      <w:pPr>
        <w:suppressLineNumbers/>
        <w:jc w:val="both"/>
        <w:rPr>
          <w:rFonts w:ascii="Book Antiqua" w:hAnsi="Book Antiqua"/>
          <w:color w:val="000000" w:themeColor="text1"/>
          <w:lang w:val="es-PR"/>
        </w:rPr>
      </w:pPr>
    </w:p>
    <w:p w14:paraId="0B53CA55" w14:textId="51FB57CB" w:rsidR="003A52D8" w:rsidRPr="00162B79" w:rsidRDefault="009B52DC" w:rsidP="003A52D8">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Pr>
          <w:rFonts w:ascii="Book Antiqua" w:hAnsi="Book Antiqua"/>
          <w:color w:val="000000" w:themeColor="text1"/>
          <w:lang w:val="es-PR"/>
        </w:rPr>
        <w:t xml:space="preserve">Por lo tanto, este </w:t>
      </w:r>
      <w:r w:rsidR="003A52D8" w:rsidRPr="00162B79">
        <w:rPr>
          <w:rFonts w:ascii="Book Antiqua" w:hAnsi="Book Antiqua"/>
          <w:color w:val="000000" w:themeColor="text1"/>
          <w:lang w:val="es-PR"/>
        </w:rPr>
        <w:t xml:space="preserve">proyecto de ley forma parte de una </w:t>
      </w:r>
      <w:r w:rsidR="003A52D8">
        <w:rPr>
          <w:rFonts w:ascii="Book Antiqua" w:hAnsi="Book Antiqua"/>
          <w:color w:val="000000" w:themeColor="text1"/>
          <w:lang w:val="es-PR"/>
        </w:rPr>
        <w:t>segunda fase que busca</w:t>
      </w:r>
      <w:r w:rsidR="003A52D8" w:rsidRPr="00162B79">
        <w:rPr>
          <w:rFonts w:ascii="Book Antiqua" w:hAnsi="Book Antiqua"/>
          <w:color w:val="000000" w:themeColor="text1"/>
          <w:lang w:val="es-PR"/>
        </w:rPr>
        <w:t xml:space="preserve"> reformar el sistema contributivo en Puerto Rico, </w:t>
      </w:r>
      <w:r w:rsidR="003A52D8">
        <w:rPr>
          <w:rFonts w:ascii="Book Antiqua" w:hAnsi="Book Antiqua"/>
          <w:color w:val="000000" w:themeColor="text1"/>
          <w:lang w:val="es-PR"/>
        </w:rPr>
        <w:t>promoviendo así</w:t>
      </w:r>
      <w:r w:rsidR="003A52D8" w:rsidRPr="00162B79">
        <w:rPr>
          <w:rFonts w:ascii="Book Antiqua" w:hAnsi="Book Antiqua"/>
          <w:color w:val="000000" w:themeColor="text1"/>
          <w:lang w:val="es-PR"/>
        </w:rPr>
        <w:t xml:space="preserve"> una estructura fiscal más equitativa</w:t>
      </w:r>
      <w:r w:rsidR="003A52D8">
        <w:rPr>
          <w:rFonts w:ascii="Book Antiqua" w:hAnsi="Book Antiqua"/>
          <w:color w:val="000000" w:themeColor="text1"/>
          <w:lang w:val="es-PR"/>
        </w:rPr>
        <w:t xml:space="preserve"> y</w:t>
      </w:r>
      <w:r w:rsidR="003A52D8" w:rsidRPr="00162B79">
        <w:rPr>
          <w:rFonts w:ascii="Book Antiqua" w:hAnsi="Book Antiqua"/>
          <w:color w:val="000000" w:themeColor="text1"/>
          <w:lang w:val="es-PR"/>
        </w:rPr>
        <w:t xml:space="preserve"> sencilla. Este proyecto atiende específicamente la contribución sobre ingresos a nivel de los individuos, una de las áreas prioritarias en las futuras fases de reforma fiscal.</w:t>
      </w:r>
    </w:p>
    <w:p w14:paraId="2885DE6B" w14:textId="77777777" w:rsidR="003A52D8" w:rsidRDefault="003A52D8" w:rsidP="003A52D8">
      <w:pPr>
        <w:suppressLineNumbers/>
        <w:jc w:val="both"/>
        <w:rPr>
          <w:rFonts w:ascii="Book Antiqua" w:hAnsi="Book Antiqua"/>
          <w:color w:val="000000" w:themeColor="text1"/>
          <w:lang w:val="es-PR"/>
        </w:rPr>
      </w:pPr>
    </w:p>
    <w:p w14:paraId="32B289E9" w14:textId="6B470D36" w:rsidR="003A52D8" w:rsidRPr="00162B79" w:rsidRDefault="009B52DC" w:rsidP="003A52D8">
      <w:pPr>
        <w:suppressLineNumbers/>
        <w:jc w:val="both"/>
        <w:rPr>
          <w:rFonts w:ascii="Book Antiqua" w:hAnsi="Book Antiqua"/>
          <w:color w:val="000000" w:themeColor="text1"/>
          <w:lang w:val="es-PR"/>
        </w:rPr>
      </w:pPr>
      <w:r>
        <w:rPr>
          <w:rFonts w:ascii="Book Antiqua" w:hAnsi="Book Antiqua"/>
          <w:color w:val="000000" w:themeColor="text1"/>
          <w:lang w:val="es-PR"/>
        </w:rPr>
        <w:lastRenderedPageBreak/>
        <w:tab/>
      </w:r>
      <w:r w:rsidR="003A52D8">
        <w:rPr>
          <w:rFonts w:ascii="Book Antiqua" w:hAnsi="Book Antiqua"/>
          <w:color w:val="000000" w:themeColor="text1"/>
          <w:lang w:val="es-PR"/>
        </w:rPr>
        <w:t>Las</w:t>
      </w:r>
      <w:r w:rsidR="003A52D8" w:rsidRPr="00162B79">
        <w:rPr>
          <w:rFonts w:ascii="Book Antiqua" w:hAnsi="Book Antiqua"/>
          <w:color w:val="000000" w:themeColor="text1"/>
          <w:lang w:val="es-PR"/>
        </w:rPr>
        <w:t xml:space="preserve"> tasas contributivas de individuos en Puerto Rico son de las más altas en todos los estados de Estados Unidos de América. A nivel de la clase media trabajadora, estas tasas multiplican casi por dos las tasas de contribución sobre ingresos a nivel federal. Por ejemplo, un individuo que gane $61,500 en Puerto Rico ya está sujeto a una tasa marginal de contribución sobre ingresos de aproximadamente 33%, mientras que en el sistema federal la tasa para ese mismo ingreso es de aproximadamente 22%. Esta diferencia representa una carga significativa para los contribuyentes y afecta la competitividad y la justicia del sistema fiscal puertorriqueño.</w:t>
      </w:r>
    </w:p>
    <w:p w14:paraId="06617DB9" w14:textId="77777777" w:rsidR="003A52D8" w:rsidRDefault="003A52D8" w:rsidP="003A52D8">
      <w:pPr>
        <w:suppressLineNumbers/>
        <w:jc w:val="both"/>
        <w:rPr>
          <w:rFonts w:ascii="Book Antiqua" w:hAnsi="Book Antiqua"/>
          <w:color w:val="000000" w:themeColor="text1"/>
          <w:lang w:val="es-PR"/>
        </w:rPr>
      </w:pPr>
    </w:p>
    <w:p w14:paraId="6520E005" w14:textId="1FD2C548" w:rsidR="003A52D8" w:rsidRPr="00162B79" w:rsidRDefault="009B52DC" w:rsidP="003A52D8">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sidRPr="00162B79">
        <w:rPr>
          <w:rFonts w:ascii="Book Antiqua" w:hAnsi="Book Antiqua"/>
          <w:color w:val="000000" w:themeColor="text1"/>
          <w:lang w:val="es-PR"/>
        </w:rPr>
        <w:t xml:space="preserve">El proyecto busca reducir </w:t>
      </w:r>
      <w:r w:rsidR="003A52D8">
        <w:rPr>
          <w:rFonts w:ascii="Book Antiqua" w:hAnsi="Book Antiqua"/>
          <w:color w:val="000000" w:themeColor="text1"/>
          <w:lang w:val="es-PR"/>
        </w:rPr>
        <w:t xml:space="preserve">esa carga </w:t>
      </w:r>
      <w:r w:rsidR="003A52D8" w:rsidRPr="00162B79">
        <w:rPr>
          <w:rFonts w:ascii="Book Antiqua" w:hAnsi="Book Antiqua"/>
          <w:color w:val="000000" w:themeColor="text1"/>
          <w:lang w:val="es-PR"/>
        </w:rPr>
        <w:t>tributaria, cerrando la brecha existente entre la tasa de contribución local y la federal, facilitando así la economía de los contribuyentes y promoviendo una mayor equidad fiscal. A manera de ejemplo, para un individuo, soltero y sin dependientes que gane $61,500, la tasa efectiva de contribución sobre ingresos se reduciría de 13% a 10%, lo que representa en promedio un ahorro de $2,000 en la planilla de contribución sobre ingresos que vence el 15 de abril de 202</w:t>
      </w:r>
      <w:r w:rsidR="003A52D8">
        <w:rPr>
          <w:rFonts w:ascii="Book Antiqua" w:hAnsi="Book Antiqua"/>
          <w:color w:val="000000" w:themeColor="text1"/>
          <w:lang w:val="es-PR"/>
        </w:rPr>
        <w:t>6</w:t>
      </w:r>
      <w:r w:rsidR="003A52D8" w:rsidRPr="00162B79">
        <w:rPr>
          <w:rFonts w:ascii="Book Antiqua" w:hAnsi="Book Antiqua"/>
          <w:color w:val="000000" w:themeColor="text1"/>
          <w:lang w:val="es-PR"/>
        </w:rPr>
        <w:t>, atendiendo de esta manera a la clase media trabajadora.</w:t>
      </w:r>
    </w:p>
    <w:p w14:paraId="393F1A66" w14:textId="77777777" w:rsidR="003A52D8" w:rsidRDefault="003A52D8" w:rsidP="003A52D8">
      <w:pPr>
        <w:suppressLineNumbers/>
        <w:jc w:val="both"/>
        <w:rPr>
          <w:rFonts w:ascii="Book Antiqua" w:hAnsi="Book Antiqua"/>
          <w:color w:val="000000" w:themeColor="text1"/>
          <w:lang w:val="es-PR"/>
        </w:rPr>
      </w:pPr>
    </w:p>
    <w:p w14:paraId="44E49B30" w14:textId="64EFD7FA" w:rsidR="003A52D8" w:rsidRPr="00162B79" w:rsidRDefault="009B52DC" w:rsidP="003A52D8">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sidRPr="00162B79">
        <w:rPr>
          <w:rFonts w:ascii="Book Antiqua" w:hAnsi="Book Antiqua"/>
          <w:color w:val="000000" w:themeColor="text1"/>
          <w:lang w:val="es-PR"/>
        </w:rPr>
        <w:t xml:space="preserve">En línea con esto, el Comité de Reforma Contributiva tiene en agenda para las próximas fases la revisión y modernización de los impuestos al consumo, la contribución sobre ingresos a las corporaciones y las contribuciones municipales, </w:t>
      </w:r>
      <w:r w:rsidR="003A52D8">
        <w:rPr>
          <w:rFonts w:ascii="Book Antiqua" w:hAnsi="Book Antiqua"/>
          <w:color w:val="000000" w:themeColor="text1"/>
          <w:lang w:val="es-PR"/>
        </w:rPr>
        <w:t>con</w:t>
      </w:r>
      <w:r w:rsidR="003A52D8" w:rsidRPr="00162B79">
        <w:rPr>
          <w:rFonts w:ascii="Book Antiqua" w:hAnsi="Book Antiqua"/>
          <w:color w:val="000000" w:themeColor="text1"/>
          <w:lang w:val="es-PR"/>
        </w:rPr>
        <w:t xml:space="preserve"> el fin de fortalecer la justicia y eficiencia del sistema tributario en Puerto Rico.</w:t>
      </w:r>
    </w:p>
    <w:p w14:paraId="11225C01" w14:textId="77777777" w:rsidR="003A52D8" w:rsidRPr="00162B79" w:rsidRDefault="003A52D8" w:rsidP="003A52D8">
      <w:pPr>
        <w:suppressLineNumbers/>
        <w:ind w:firstLine="720"/>
        <w:jc w:val="both"/>
        <w:rPr>
          <w:rFonts w:ascii="Book Antiqua" w:hAnsi="Book Antiqua"/>
          <w:color w:val="000000" w:themeColor="text1"/>
          <w:lang w:val="es-PR"/>
        </w:rPr>
      </w:pPr>
    </w:p>
    <w:p w14:paraId="6E30447D" w14:textId="603D7566" w:rsidR="003A52D8" w:rsidRPr="00162B79" w:rsidRDefault="009B52DC" w:rsidP="003A52D8">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Pr>
          <w:rFonts w:ascii="Book Antiqua" w:hAnsi="Book Antiqua"/>
          <w:color w:val="000000" w:themeColor="text1"/>
          <w:lang w:val="es-PR"/>
        </w:rPr>
        <w:t>Esta medida</w:t>
      </w:r>
      <w:r w:rsidR="003A52D8" w:rsidRPr="00162B79">
        <w:rPr>
          <w:rFonts w:ascii="Book Antiqua" w:hAnsi="Book Antiqua"/>
          <w:color w:val="000000" w:themeColor="text1"/>
          <w:lang w:val="es-PR"/>
        </w:rPr>
        <w:t xml:space="preserve"> también propone otras </w:t>
      </w:r>
      <w:r w:rsidR="003A52D8">
        <w:rPr>
          <w:rFonts w:ascii="Book Antiqua" w:hAnsi="Book Antiqua"/>
          <w:color w:val="000000" w:themeColor="text1"/>
          <w:lang w:val="es-PR"/>
        </w:rPr>
        <w:t>disposiciones</w:t>
      </w:r>
      <w:r w:rsidR="003A52D8" w:rsidRPr="00162B79">
        <w:rPr>
          <w:rFonts w:ascii="Book Antiqua" w:hAnsi="Book Antiqua"/>
          <w:color w:val="000000" w:themeColor="text1"/>
          <w:lang w:val="es-PR"/>
        </w:rPr>
        <w:t xml:space="preserve"> para reducir la carga contributiva de los individuos, incluyendo la revisión y ajuste por inflación de las exenciones personales, por dependientes y para pensionados, que actualmente no reflejan los efectos de la inflación desde la reforma del 2011. Además, busca simplificar el sistema tributario eliminando componentes complejos como el ajuste gradual, el descuento por cómputo de contribución sobre ingresos y la contribución básica alterna en ingresos sujetos a tasas preferenciales. Esto facilitará el cumplimiento de los contribuyentes y promoverá una gestión tributaria más eficiente.</w:t>
      </w:r>
    </w:p>
    <w:p w14:paraId="4CC05D1B" w14:textId="77777777" w:rsidR="003A52D8" w:rsidRPr="00162B79" w:rsidRDefault="003A52D8" w:rsidP="003A52D8">
      <w:pPr>
        <w:suppressLineNumbers/>
        <w:ind w:firstLine="720"/>
        <w:jc w:val="both"/>
        <w:rPr>
          <w:rFonts w:ascii="Book Antiqua" w:hAnsi="Book Antiqua"/>
          <w:color w:val="000000" w:themeColor="text1"/>
          <w:lang w:val="es-PR"/>
        </w:rPr>
      </w:pPr>
    </w:p>
    <w:p w14:paraId="0AC0ABA7" w14:textId="30CDB341" w:rsidR="003A52D8" w:rsidRPr="00162B79" w:rsidRDefault="009B52DC" w:rsidP="003A52D8">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Pr>
          <w:rFonts w:ascii="Book Antiqua" w:hAnsi="Book Antiqua"/>
          <w:color w:val="000000" w:themeColor="text1"/>
          <w:lang w:val="es-PR"/>
        </w:rPr>
        <w:t>Este</w:t>
      </w:r>
      <w:r w:rsidR="003A52D8" w:rsidRPr="00162B79">
        <w:rPr>
          <w:rFonts w:ascii="Book Antiqua" w:hAnsi="Book Antiqua"/>
          <w:color w:val="000000" w:themeColor="text1"/>
          <w:lang w:val="es-PR"/>
        </w:rPr>
        <w:t xml:space="preserve"> proyecto, también se incluye la simplificación a compañías de responsabilidad limitada que puedan elegir tratamiento de entidad ignorada su dueño una persona natural o entidad jurídica y se simplifica la elección de entidad conducto cuando los únicos dueños de la compañía de responsabilidad limitada sean individuos, permitiendo hacer la elección siguiendo los parámetros aplicables a las corporaciones de individuos.</w:t>
      </w:r>
    </w:p>
    <w:p w14:paraId="1C85ED27" w14:textId="77777777" w:rsidR="003A52D8" w:rsidRPr="00162B79" w:rsidRDefault="003A52D8" w:rsidP="003A52D8">
      <w:pPr>
        <w:suppressLineNumbers/>
        <w:ind w:firstLine="720"/>
        <w:jc w:val="both"/>
        <w:rPr>
          <w:rFonts w:ascii="Book Antiqua" w:hAnsi="Book Antiqua"/>
          <w:color w:val="000000" w:themeColor="text1"/>
          <w:lang w:val="es-PR"/>
        </w:rPr>
      </w:pPr>
    </w:p>
    <w:p w14:paraId="58E7AF95" w14:textId="452AAEC8" w:rsidR="003A52D8" w:rsidRPr="00162B79" w:rsidRDefault="009B52DC" w:rsidP="003A52D8">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sidRPr="00162B79">
        <w:rPr>
          <w:rFonts w:ascii="Book Antiqua" w:hAnsi="Book Antiqua"/>
          <w:color w:val="000000" w:themeColor="text1"/>
          <w:lang w:val="es-PR"/>
        </w:rPr>
        <w:t>Para lograr la reducción de las tasas contributivas y cumplir con el requisito de la Junta de Supervisión Fiscal de que toda medida contributiva tenga un efecto neutral en el fisco se</w:t>
      </w:r>
      <w:r w:rsidR="003A52D8">
        <w:rPr>
          <w:rFonts w:ascii="Book Antiqua" w:hAnsi="Book Antiqua"/>
          <w:color w:val="000000" w:themeColor="text1"/>
          <w:lang w:val="es-PR"/>
        </w:rPr>
        <w:t xml:space="preserve"> </w:t>
      </w:r>
      <w:r w:rsidR="003A52D8" w:rsidRPr="00162B79">
        <w:rPr>
          <w:rFonts w:ascii="Book Antiqua" w:hAnsi="Book Antiqua"/>
          <w:color w:val="000000" w:themeColor="text1"/>
          <w:lang w:val="es-PR"/>
        </w:rPr>
        <w:t xml:space="preserve">derogan ciertas exenciones al impuesto sobre ventas y uso que no representan un incremento en el costo de vida y cuyos recaudos, junto con la disciplina </w:t>
      </w:r>
      <w:r w:rsidR="003A52D8" w:rsidRPr="00162B79">
        <w:rPr>
          <w:rFonts w:ascii="Book Antiqua" w:hAnsi="Book Antiqua"/>
          <w:color w:val="000000" w:themeColor="text1"/>
          <w:lang w:val="es-PR"/>
        </w:rPr>
        <w:lastRenderedPageBreak/>
        <w:t>gubernamental de reducción de gastos son necesarios para ofrecer esta segunda etapa de reforma contributiva para reducir los impuestos a la clase media trabajadora.</w:t>
      </w:r>
    </w:p>
    <w:p w14:paraId="4B47CCBB" w14:textId="77777777" w:rsidR="003A52D8" w:rsidRPr="00162B79" w:rsidRDefault="003A52D8" w:rsidP="003A52D8">
      <w:pPr>
        <w:suppressLineNumbers/>
        <w:ind w:firstLine="720"/>
        <w:jc w:val="both"/>
        <w:rPr>
          <w:rFonts w:ascii="Book Antiqua" w:hAnsi="Book Antiqua"/>
          <w:color w:val="000000" w:themeColor="text1"/>
          <w:lang w:val="es-PR"/>
        </w:rPr>
      </w:pPr>
    </w:p>
    <w:p w14:paraId="1C860777" w14:textId="3263DFEA" w:rsidR="003A52D8" w:rsidRPr="00162B79" w:rsidRDefault="009B52DC" w:rsidP="003A52D8">
      <w:pPr>
        <w:suppressLineNumbers/>
        <w:jc w:val="both"/>
        <w:rPr>
          <w:rFonts w:ascii="Book Antiqua" w:hAnsi="Book Antiqua"/>
          <w:color w:val="000000" w:themeColor="text1"/>
          <w:lang w:val="es-PR"/>
        </w:rPr>
      </w:pPr>
      <w:r>
        <w:rPr>
          <w:rFonts w:ascii="Book Antiqua" w:hAnsi="Book Antiqua"/>
          <w:color w:val="000000" w:themeColor="text1"/>
          <w:lang w:val="es-PR"/>
        </w:rPr>
        <w:tab/>
      </w:r>
      <w:r w:rsidR="003A52D8" w:rsidRPr="00162B79">
        <w:rPr>
          <w:rFonts w:ascii="Book Antiqua" w:hAnsi="Book Antiqua"/>
          <w:color w:val="000000" w:themeColor="text1"/>
          <w:lang w:val="es-PR"/>
        </w:rPr>
        <w:t>Esta Administración está comprometida con mejorar la situación económica de toda nuestra clase trabajadora, por tanto, se propone reducir la carga contributiva de los individuos.  Además, estas reformas buscan fortalecer y modernizar nuestro sistema tributario, promoviendo una economía más justa y competitiva, en línea con las mejores prácticas internacionales y los objetivos de una política fiscal responsable y equitativa.</w:t>
      </w:r>
    </w:p>
    <w:bookmarkEnd w:id="1"/>
    <w:p w14:paraId="08630150" w14:textId="77777777" w:rsidR="00841D09" w:rsidRPr="00E9507A" w:rsidRDefault="00841D09" w:rsidP="00841D09">
      <w:pPr>
        <w:jc w:val="both"/>
        <w:textAlignment w:val="baseline"/>
        <w:rPr>
          <w:rFonts w:ascii="Book Antiqua" w:hAnsi="Book Antiqua" w:cs="Segoe UI"/>
          <w:lang w:val="es-PR"/>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8"/>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3AF69D55" w14:textId="77777777" w:rsidR="000D52BA" w:rsidRPr="00E609F8" w:rsidRDefault="000D52BA" w:rsidP="000D52BA">
      <w:pPr>
        <w:pStyle w:val="Heading1"/>
        <w:rPr>
          <w:color w:val="000000" w:themeColor="text1"/>
          <w:lang w:val="es-PR"/>
        </w:rPr>
      </w:pPr>
      <w:bookmarkStart w:id="2" w:name="{20D8}"/>
      <w:bookmarkStart w:id="3" w:name="_Hlk189832381"/>
      <w:r w:rsidRPr="00E609F8">
        <w:rPr>
          <w:color w:val="000000" w:themeColor="text1"/>
          <w:lang w:val="es-PR"/>
        </w:rPr>
        <w:t>Artículo 1.— Se enmienda el párrafo (3) del apartado (a) la Sección 1010.01 de la Ley 1-2011, según enmendada, para que se lea como sigue:</w:t>
      </w:r>
      <w:bookmarkEnd w:id="2"/>
      <w:bookmarkEnd w:id="3"/>
    </w:p>
    <w:p w14:paraId="21FE8A84"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 xml:space="preserve">“Sección 1010.01.— Definiciones. </w:t>
      </w:r>
    </w:p>
    <w:p w14:paraId="3D14AC1E" w14:textId="77777777" w:rsidR="000D52BA" w:rsidRPr="00E609F8" w:rsidRDefault="000D52BA" w:rsidP="000D52BA">
      <w:pPr>
        <w:pStyle w:val="ListParagraph"/>
        <w:numPr>
          <w:ilvl w:val="0"/>
          <w:numId w:val="24"/>
        </w:numPr>
        <w:spacing w:line="480" w:lineRule="auto"/>
        <w:ind w:left="720" w:firstLine="0"/>
        <w:contextualSpacing w:val="0"/>
        <w:jc w:val="both"/>
        <w:rPr>
          <w:rFonts w:ascii="Book Antiqua" w:hAnsi="Book Antiqua"/>
          <w:color w:val="000000" w:themeColor="text1"/>
          <w:lang w:val="es-PR"/>
        </w:rPr>
      </w:pPr>
      <w:r w:rsidRPr="00E609F8">
        <w:rPr>
          <w:rFonts w:ascii="Book Antiqua" w:hAnsi="Book Antiqua"/>
          <w:color w:val="000000" w:themeColor="text1"/>
          <w:lang w:val="es-PR"/>
        </w:rPr>
        <w:t>Según se utilizan en este Subtítulo, cuando no resultare manifiestamente incompatible con los fines del mismo —</w:t>
      </w:r>
    </w:p>
    <w:p w14:paraId="5D1BBD49" w14:textId="77777777" w:rsidR="000D52BA" w:rsidRPr="00E609F8" w:rsidRDefault="000D52BA" w:rsidP="000D52BA">
      <w:pPr>
        <w:pStyle w:val="ListParagraph"/>
        <w:numPr>
          <w:ilvl w:val="0"/>
          <w:numId w:val="25"/>
        </w:numPr>
        <w:spacing w:line="480" w:lineRule="auto"/>
        <w:ind w:left="720" w:firstLine="0"/>
        <w:contextualSpacing w:val="0"/>
        <w:jc w:val="both"/>
        <w:rPr>
          <w:rFonts w:ascii="Book Antiqua" w:hAnsi="Book Antiqua"/>
          <w:color w:val="000000" w:themeColor="text1"/>
          <w:lang w:val="es-PR"/>
        </w:rPr>
      </w:pPr>
      <w:r w:rsidRPr="00E609F8">
        <w:rPr>
          <w:rFonts w:ascii="Book Antiqua" w:hAnsi="Book Antiqua"/>
          <w:color w:val="000000" w:themeColor="text1"/>
          <w:lang w:val="es-PR"/>
        </w:rPr>
        <w:t>…</w:t>
      </w:r>
    </w:p>
    <w:p w14:paraId="0C3970D1" w14:textId="77777777" w:rsidR="000D52BA" w:rsidRPr="00E609F8" w:rsidRDefault="000D52BA" w:rsidP="000D52BA">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w:t>
      </w:r>
    </w:p>
    <w:p w14:paraId="12A9A67E" w14:textId="77777777" w:rsidR="000D52BA" w:rsidRPr="00E609F8" w:rsidRDefault="000D52BA" w:rsidP="000D52BA">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 xml:space="preserve">(3) Compañía de responsabilidad limitada. — El término “compañía de responsabilidad limitada” se refiere a aquellas entidades organizadas bajo el Capítulo XIX de la Ley Núm. 164 de 16 de diciembre de 2009, según enmendada, conocida como la “Ley General de Corporaciones” incluyendo aquellas entidades comúnmente denominadas como compañías de responsabilidad limitada en series. El término “compañía de responsabilidad limitada” se refiere a aquellas entidades organizadas bajo leyes análogas de cualquier estado de los Estados Unidos de América o de un país extranjero. Para propósitos de este Subtítulo las compañías de responsabilidad limitada estarán sujetas a tributación de la misma </w:t>
      </w:r>
      <w:r w:rsidRPr="00E609F8">
        <w:rPr>
          <w:rFonts w:ascii="Book Antiqua" w:hAnsi="Book Antiqua"/>
          <w:color w:val="000000" w:themeColor="text1"/>
          <w:lang w:val="es-PR"/>
        </w:rPr>
        <w:lastRenderedPageBreak/>
        <w:t>forma y manera que las corporaciones; disponiéndose, sin embargo, que podrán elegir ser tratadas para propósitos contributivos como sociedades, bajo las reglas aplicables a sociedades y socios contenidas en el Capítulo 7 de este Subtítulo, aunque sean compañías de un solo dueño para años contributivos comenzados antes del 1 de enero de 2022, y como Entidades Conducto sujetas a las reglas aplicables contenidas en el Subcapítulo H del Capítulo 7 de este Subtítulo, o como Entidades Ignoradas cuando tengan un solo dueño que sea un individuo residente, para años contributivos comenzados luego del 31 de diciembre de 2021. Para años contributivos comenzados luego del 31 de diciembre de 2023, podrá elegir ser tratada como Entidad Ignorada aun cuando su único dueño no sea un individuo residente</w:t>
      </w:r>
      <w:r w:rsidRPr="00E609F8">
        <w:rPr>
          <w:rFonts w:ascii="Book Antiqua" w:hAnsi="Book Antiqua"/>
          <w:i/>
          <w:iCs/>
          <w:color w:val="000000" w:themeColor="text1"/>
          <w:lang w:val="es-PR"/>
        </w:rPr>
        <w:t>,</w:t>
      </w:r>
      <w:r w:rsidRPr="00E609F8">
        <w:rPr>
          <w:rFonts w:ascii="Book Antiqua" w:hAnsi="Book Antiqua"/>
          <w:color w:val="000000" w:themeColor="text1"/>
          <w:lang w:val="es-PR"/>
        </w:rPr>
        <w:t xml:space="preserve"> </w:t>
      </w:r>
      <w:r w:rsidRPr="00E609F8">
        <w:rPr>
          <w:rFonts w:ascii="Book Antiqua" w:hAnsi="Book Antiqua"/>
          <w:i/>
          <w:iCs/>
          <w:color w:val="000000" w:themeColor="text1"/>
          <w:lang w:val="es-PR"/>
        </w:rPr>
        <w:t>es decir, compañías de un solo dueño sea este una personal natural o persona jurídica, podrán elegir ser tratadas como Entidad Ignorada</w:t>
      </w:r>
      <w:r w:rsidRPr="00E609F8">
        <w:rPr>
          <w:rFonts w:ascii="Book Antiqua" w:hAnsi="Book Antiqua"/>
          <w:color w:val="000000" w:themeColor="text1"/>
          <w:lang w:val="es-PR"/>
        </w:rPr>
        <w:t xml:space="preserve">. </w:t>
      </w:r>
    </w:p>
    <w:p w14:paraId="1164FBD4" w14:textId="77777777" w:rsidR="000D52BA" w:rsidRPr="00E609F8" w:rsidRDefault="000D52BA" w:rsidP="000D52BA">
      <w:pPr>
        <w:spacing w:line="480" w:lineRule="auto"/>
        <w:ind w:left="720"/>
        <w:jc w:val="both"/>
        <w:rPr>
          <w:rFonts w:ascii="Book Antiqua" w:hAnsi="Book Antiqua"/>
          <w:i/>
          <w:iCs/>
          <w:color w:val="000000" w:themeColor="text1"/>
          <w:lang w:val="es-PR"/>
        </w:rPr>
      </w:pPr>
      <w:r w:rsidRPr="00E609F8">
        <w:rPr>
          <w:rFonts w:ascii="Book Antiqua" w:hAnsi="Book Antiqua"/>
          <w:color w:val="000000" w:themeColor="text1"/>
          <w:lang w:val="es-PR"/>
        </w:rPr>
        <w:t xml:space="preserve">El Secretario establecerá, mediante reglamento, la forma y manera de hacer dicha elección la cual deberá presentarse en o antes de la fecha dispuesta para presentar la planilla de contribución sobre ingresos del año de la elección, incluyendo prórrogas. </w:t>
      </w:r>
    </w:p>
    <w:p w14:paraId="6A1DB580" w14:textId="77777777" w:rsidR="000D52BA" w:rsidRPr="00E609F8" w:rsidRDefault="000D52BA" w:rsidP="000D52BA">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 xml:space="preserve">(A) … </w:t>
      </w:r>
    </w:p>
    <w:p w14:paraId="10C8E644" w14:textId="77777777" w:rsidR="000D52BA" w:rsidRPr="00E609F8" w:rsidRDefault="000D52BA" w:rsidP="000D52BA">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(B) …</w:t>
      </w:r>
    </w:p>
    <w:p w14:paraId="06366E5D" w14:textId="77777777" w:rsidR="000D52BA" w:rsidRPr="00E609F8" w:rsidRDefault="000D52BA" w:rsidP="000D52BA">
      <w:pPr>
        <w:spacing w:line="480" w:lineRule="auto"/>
        <w:ind w:left="720"/>
        <w:jc w:val="both"/>
        <w:rPr>
          <w:rFonts w:ascii="Book Antiqua" w:hAnsi="Book Antiqua"/>
          <w:i/>
          <w:iCs/>
          <w:color w:val="000000" w:themeColor="text1"/>
          <w:lang w:val="es-PR"/>
        </w:rPr>
      </w:pPr>
      <w:r w:rsidRPr="00E609F8">
        <w:rPr>
          <w:rFonts w:ascii="Book Antiqua" w:hAnsi="Book Antiqua"/>
          <w:color w:val="000000" w:themeColor="text1"/>
          <w:lang w:val="es-PR"/>
        </w:rPr>
        <w:t xml:space="preserve">(C) En el caso de que una corporación se convierta en una compañía de responsabilidad limitada bajo las disposiciones del Artículo 19.16 de la Ley 164-2009, según enmendada, o disposición análoga de una ley sucesora o la ley de aquella jurisdicción foránea bajo la cual se organizó la entidad, la entidad podrá </w:t>
      </w:r>
      <w:r w:rsidRPr="00E609F8">
        <w:rPr>
          <w:rFonts w:ascii="Book Antiqua" w:hAnsi="Book Antiqua"/>
          <w:color w:val="000000" w:themeColor="text1"/>
          <w:lang w:val="es-PR"/>
        </w:rPr>
        <w:lastRenderedPageBreak/>
        <w:t xml:space="preserve">escoger que la elección de tributar como sociedad, para años contributivos comenzados antes del 1 de enero de 2022 y como Entidad Conducto, o Entidad Ignorada, cuando tenga un solo dueño, para años contributivos comenzados luego del 31 de diciembre de 2021, se retrotraiga al año contributivo anterior si al momento de la conversión la planilla de contribución sobre ingresos para dicho año no ha vencido, incluyendo prórrogas. Nada de lo aquí dispuesto podrá interpretarse como que dicha conversión es una reorganización, según definido en el apartado (g) de la Sección 1034.04. Para años contributivos comenzados luego del 31 de diciembre de </w:t>
      </w:r>
      <w:r w:rsidRPr="00E609F8">
        <w:rPr>
          <w:rFonts w:ascii="Book Antiqua" w:hAnsi="Book Antiqua"/>
          <w:b/>
          <w:bCs/>
          <w:color w:val="000000" w:themeColor="text1"/>
          <w:lang w:val="es-PR"/>
        </w:rPr>
        <w:t>[2023]</w:t>
      </w:r>
      <w:r w:rsidRPr="00E609F8">
        <w:rPr>
          <w:rFonts w:ascii="Book Antiqua" w:hAnsi="Book Antiqua"/>
          <w:color w:val="000000" w:themeColor="text1"/>
          <w:lang w:val="es-PR"/>
        </w:rPr>
        <w:t xml:space="preserve"> </w:t>
      </w:r>
      <w:r w:rsidRPr="00E609F8">
        <w:rPr>
          <w:rFonts w:ascii="Book Antiqua" w:hAnsi="Book Antiqua"/>
          <w:i/>
          <w:iCs/>
          <w:color w:val="000000" w:themeColor="text1"/>
          <w:lang w:val="es-PR"/>
        </w:rPr>
        <w:t>2021</w:t>
      </w:r>
      <w:r w:rsidRPr="00E609F8">
        <w:rPr>
          <w:rFonts w:ascii="Book Antiqua" w:hAnsi="Book Antiqua"/>
          <w:color w:val="000000" w:themeColor="text1"/>
          <w:lang w:val="es-PR"/>
        </w:rPr>
        <w:t>, podrá elegir ser tratada como Entidad Ignorada aun cuando su único dueño no sea un individuo residente</w:t>
      </w:r>
      <w:r w:rsidRPr="00E609F8">
        <w:rPr>
          <w:rFonts w:ascii="Book Antiqua" w:hAnsi="Book Antiqua"/>
          <w:i/>
          <w:iCs/>
          <w:color w:val="000000" w:themeColor="text1"/>
          <w:lang w:val="es-PR"/>
        </w:rPr>
        <w:t>,</w:t>
      </w:r>
      <w:r w:rsidRPr="00E609F8">
        <w:rPr>
          <w:rFonts w:ascii="Book Antiqua" w:hAnsi="Book Antiqua"/>
          <w:color w:val="000000" w:themeColor="text1"/>
          <w:lang w:val="es-PR"/>
        </w:rPr>
        <w:t xml:space="preserve"> </w:t>
      </w:r>
      <w:r w:rsidRPr="00E609F8">
        <w:rPr>
          <w:rFonts w:ascii="Book Antiqua" w:hAnsi="Book Antiqua"/>
          <w:i/>
          <w:iCs/>
          <w:color w:val="000000" w:themeColor="text1"/>
          <w:lang w:val="es-PR"/>
        </w:rPr>
        <w:t xml:space="preserve">es decir, compañías de un solo dueño sea este una personal natural o persona jurídica, podrán elegir ser tratadas como Entidad Ignorada. </w:t>
      </w:r>
    </w:p>
    <w:p w14:paraId="713486FA" w14:textId="77777777" w:rsidR="000D52BA" w:rsidRPr="00E609F8" w:rsidRDefault="000D52BA" w:rsidP="000D52BA">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(D) …</w:t>
      </w:r>
    </w:p>
    <w:p w14:paraId="072B1092" w14:textId="77777777" w:rsidR="000D52BA" w:rsidRPr="00E609F8" w:rsidRDefault="000D52BA" w:rsidP="000D52BA">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(4) …</w:t>
      </w:r>
    </w:p>
    <w:p w14:paraId="1A276C4F" w14:textId="77777777" w:rsidR="000D52BA" w:rsidRPr="00E609F8" w:rsidRDefault="000D52BA" w:rsidP="000D52BA">
      <w:pPr>
        <w:spacing w:line="480" w:lineRule="auto"/>
        <w:ind w:left="720"/>
        <w:jc w:val="both"/>
        <w:rPr>
          <w:rFonts w:ascii="Book Antiqua" w:hAnsi="Book Antiqua"/>
          <w:color w:val="000000" w:themeColor="text1"/>
          <w:shd w:val="clear" w:color="auto" w:fill="FFFFFF"/>
          <w:lang w:val="es-PR"/>
        </w:rPr>
      </w:pPr>
      <w:r w:rsidRPr="00E609F8">
        <w:rPr>
          <w:rFonts w:ascii="Book Antiqua" w:hAnsi="Book Antiqua"/>
          <w:color w:val="000000" w:themeColor="text1"/>
          <w:shd w:val="clear" w:color="auto" w:fill="FFFFFF"/>
          <w:lang w:val="es-PR"/>
        </w:rPr>
        <w:t>…”</w:t>
      </w:r>
    </w:p>
    <w:p w14:paraId="7572E02C" w14:textId="77777777" w:rsidR="000D52BA" w:rsidRPr="00E609F8" w:rsidRDefault="000D52BA" w:rsidP="000D52BA">
      <w:pPr>
        <w:pStyle w:val="Heading1"/>
        <w:rPr>
          <w:color w:val="000000" w:themeColor="text1"/>
          <w:lang w:val="es-PR"/>
        </w:rPr>
      </w:pPr>
      <w:r w:rsidRPr="00E609F8">
        <w:rPr>
          <w:color w:val="000000" w:themeColor="text1"/>
          <w:lang w:val="es-PR"/>
        </w:rPr>
        <w:t>Artículo 2.— Se enmienda la Sección 1021.01 de la Ley 1-2011, según enmendada, conocida como “Código de Rentas Internas de Puerto Rico de 2011”, para que se lea como sigue: </w:t>
      </w:r>
    </w:p>
    <w:p w14:paraId="530EF125"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“Sección 1021.01.— Contribución Normal a Individuos.</w:t>
      </w:r>
    </w:p>
    <w:p w14:paraId="7F45E756"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37C8D8B6" w14:textId="77777777" w:rsidR="000D52BA" w:rsidRPr="00E609F8" w:rsidRDefault="000D52BA" w:rsidP="000D52BA">
      <w:pPr>
        <w:numPr>
          <w:ilvl w:val="1"/>
          <w:numId w:val="20"/>
        </w:numPr>
        <w:spacing w:after="160" w:line="480" w:lineRule="auto"/>
        <w:ind w:left="16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2F2E8B5F" w14:textId="77777777" w:rsidR="000D52BA" w:rsidRPr="00E609F8" w:rsidRDefault="000D52BA" w:rsidP="000D52BA">
      <w:pPr>
        <w:spacing w:after="160" w:line="480" w:lineRule="auto"/>
        <w:ind w:left="16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w:t>
      </w:r>
    </w:p>
    <w:p w14:paraId="27A57968" w14:textId="77777777" w:rsidR="000D52BA" w:rsidRPr="00E609F8" w:rsidRDefault="000D52BA" w:rsidP="000D52BA">
      <w:pPr>
        <w:spacing w:after="160" w:line="480" w:lineRule="auto"/>
        <w:ind w:left="126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(3) Contribución para los años contributivos que comiencen después de 31 de diciembre de 2012</w:t>
      </w:r>
      <w:r w:rsidRPr="00E609F8">
        <w:rPr>
          <w:rFonts w:ascii="Book Antiqua" w:hAnsi="Book Antiqua" w:cs="Segoe UI"/>
          <w:i/>
          <w:iCs/>
          <w:color w:val="000000" w:themeColor="text1"/>
          <w:lang w:val="es-PR"/>
        </w:rPr>
        <w:t>, pero antes de 1 de enero de 2025:</w:t>
      </w:r>
    </w:p>
    <w:p w14:paraId="122F3F9C" w14:textId="77777777" w:rsidR="000D52BA" w:rsidRPr="00E609F8" w:rsidRDefault="000D52BA" w:rsidP="000D52BA">
      <w:pPr>
        <w:spacing w:after="160" w:line="480" w:lineRule="auto"/>
        <w:ind w:left="12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39A7F952" w14:textId="77777777" w:rsidR="000D52BA" w:rsidRDefault="000D52BA" w:rsidP="000D52BA">
      <w:pPr>
        <w:spacing w:after="160" w:line="480" w:lineRule="auto"/>
        <w:ind w:left="1260"/>
        <w:jc w:val="both"/>
        <w:textAlignment w:val="baseline"/>
        <w:rPr>
          <w:rFonts w:ascii="Book Antiqua" w:hAnsi="Book Antiqua" w:cs="Segoe UI"/>
          <w:i/>
          <w:iCs/>
          <w:color w:val="000000" w:themeColor="text1"/>
          <w:lang w:val="es-PR"/>
        </w:rPr>
      </w:pPr>
      <w:r w:rsidRPr="00E609F8">
        <w:rPr>
          <w:rFonts w:ascii="Book Antiqua" w:hAnsi="Book Antiqua" w:cs="Segoe UI"/>
          <w:i/>
          <w:iCs/>
          <w:color w:val="000000" w:themeColor="text1"/>
          <w:lang w:val="es-PR"/>
        </w:rPr>
        <w:t>(4) Contribución para los años contributivos que comiencen después de 31 de diciembre de 2024.-</w:t>
      </w:r>
    </w:p>
    <w:p w14:paraId="4E68BD2B" w14:textId="3402C993" w:rsidR="003A6747" w:rsidRPr="00FA191B" w:rsidRDefault="003A6747" w:rsidP="003A6747">
      <w:pPr>
        <w:spacing w:after="160" w:line="480" w:lineRule="auto"/>
        <w:ind w:left="72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Si el ingreso neto sujeto a Contribución fuere: </w:t>
      </w:r>
      <w:r w:rsidRPr="00FA191B">
        <w:rPr>
          <w:rFonts w:ascii="Book Antiqua" w:hAnsi="Book Antiqua" w:cs="Segoe UI"/>
          <w:i/>
          <w:iCs/>
          <w:color w:val="000000" w:themeColor="text1"/>
          <w:lang w:val="es-PR"/>
        </w:rPr>
        <w:tab/>
      </w:r>
      <w:r>
        <w:rPr>
          <w:rFonts w:ascii="Book Antiqua" w:hAnsi="Book Antiqua" w:cs="Segoe UI"/>
          <w:i/>
          <w:iCs/>
          <w:color w:val="000000" w:themeColor="text1"/>
          <w:lang w:val="es-PR"/>
        </w:rPr>
        <w:tab/>
      </w:r>
      <w:r w:rsidRPr="00FA191B">
        <w:rPr>
          <w:rFonts w:ascii="Book Antiqua" w:hAnsi="Book Antiqua" w:cs="Segoe UI"/>
          <w:i/>
          <w:iCs/>
          <w:color w:val="000000" w:themeColor="text1"/>
          <w:lang w:val="es-PR"/>
        </w:rPr>
        <w:t>La contribución será:</w:t>
      </w:r>
    </w:p>
    <w:p w14:paraId="232DF5A9" w14:textId="77777777" w:rsidR="003A6747" w:rsidRPr="00FA191B" w:rsidRDefault="003A6747" w:rsidP="003A6747">
      <w:pPr>
        <w:spacing w:after="160" w:line="480" w:lineRule="auto"/>
        <w:ind w:left="72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No mayor de $12,500 </w:t>
      </w:r>
      <w:r>
        <w:rPr>
          <w:rFonts w:ascii="Book Antiqua" w:hAnsi="Book Antiqua" w:cs="Segoe UI"/>
          <w:i/>
          <w:iCs/>
          <w:color w:val="000000" w:themeColor="text1"/>
          <w:lang w:val="es-PR"/>
        </w:rPr>
        <w:t xml:space="preserve">     </w:t>
      </w:r>
      <w:r w:rsidRPr="00FA191B">
        <w:rPr>
          <w:rFonts w:ascii="Book Antiqua" w:hAnsi="Book Antiqua" w:cs="Segoe UI"/>
          <w:i/>
          <w:iCs/>
          <w:color w:val="000000" w:themeColor="text1"/>
          <w:lang w:val="es-PR"/>
        </w:rPr>
        <w:tab/>
      </w:r>
      <w:r>
        <w:rPr>
          <w:rFonts w:ascii="Book Antiqua" w:hAnsi="Book Antiqua" w:cs="Segoe UI"/>
          <w:i/>
          <w:iCs/>
          <w:color w:val="000000" w:themeColor="text1"/>
          <w:lang w:val="es-PR"/>
        </w:rPr>
        <w:t xml:space="preserve">                                    </w:t>
      </w:r>
      <w:r>
        <w:rPr>
          <w:rFonts w:ascii="Book Antiqua" w:hAnsi="Book Antiqua" w:cs="Segoe UI"/>
          <w:i/>
          <w:iCs/>
          <w:color w:val="000000" w:themeColor="text1"/>
          <w:lang w:val="es-PR"/>
        </w:rPr>
        <w:tab/>
        <w:t xml:space="preserve"> </w:t>
      </w:r>
      <w:r w:rsidRPr="00FA191B">
        <w:rPr>
          <w:rFonts w:ascii="Book Antiqua" w:hAnsi="Book Antiqua" w:cs="Segoe UI"/>
          <w:i/>
          <w:iCs/>
          <w:color w:val="000000" w:themeColor="text1"/>
          <w:lang w:val="es-PR"/>
        </w:rPr>
        <w:t>0 por ciento</w:t>
      </w:r>
    </w:p>
    <w:p w14:paraId="35362279" w14:textId="77777777" w:rsidR="003A6747" w:rsidRPr="00FA191B" w:rsidRDefault="003A6747" w:rsidP="003A6747">
      <w:pPr>
        <w:spacing w:after="160" w:line="480" w:lineRule="auto"/>
        <w:ind w:left="6480" w:hanging="576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En exceso de $12,500 pero no en exceso de $25,000 </w:t>
      </w:r>
      <w:r w:rsidRPr="00FA191B">
        <w:rPr>
          <w:rFonts w:ascii="Book Antiqua" w:hAnsi="Book Antiqua" w:cs="Segoe UI"/>
          <w:i/>
          <w:iCs/>
          <w:color w:val="000000" w:themeColor="text1"/>
          <w:lang w:val="es-PR"/>
        </w:rPr>
        <w:tab/>
        <w:t xml:space="preserve">6 por ciento del exceso sobre </w:t>
      </w:r>
      <w:r>
        <w:rPr>
          <w:rFonts w:ascii="Book Antiqua" w:hAnsi="Book Antiqua" w:cs="Segoe UI"/>
          <w:i/>
          <w:iCs/>
          <w:color w:val="000000" w:themeColor="text1"/>
          <w:lang w:val="es-PR"/>
        </w:rPr>
        <w:t xml:space="preserve">  </w:t>
      </w:r>
      <w:r w:rsidRPr="00FA191B">
        <w:rPr>
          <w:rFonts w:ascii="Book Antiqua" w:hAnsi="Book Antiqua" w:cs="Segoe UI"/>
          <w:i/>
          <w:iCs/>
          <w:color w:val="000000" w:themeColor="text1"/>
          <w:lang w:val="es-PR"/>
        </w:rPr>
        <w:t>$12,500</w:t>
      </w:r>
    </w:p>
    <w:p w14:paraId="78D539C5" w14:textId="77777777" w:rsidR="003A6747" w:rsidRPr="00FA191B" w:rsidRDefault="003A6747" w:rsidP="003A6747">
      <w:pPr>
        <w:spacing w:after="160" w:line="480" w:lineRule="auto"/>
        <w:ind w:left="6480" w:hanging="576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En exceso de $25,000 pero no en exceso de $50,000 </w:t>
      </w:r>
      <w:r w:rsidRPr="00FA191B">
        <w:rPr>
          <w:rFonts w:ascii="Book Antiqua" w:hAnsi="Book Antiqua" w:cs="Segoe UI"/>
          <w:i/>
          <w:iCs/>
          <w:color w:val="000000" w:themeColor="text1"/>
          <w:lang w:val="es-PR"/>
        </w:rPr>
        <w:tab/>
        <w:t>$750 más el 12 por ciento del exceso sobre $25,000</w:t>
      </w:r>
    </w:p>
    <w:p w14:paraId="27163527" w14:textId="77777777" w:rsidR="003A6747" w:rsidRPr="00FA191B" w:rsidRDefault="003A6747" w:rsidP="003A6747">
      <w:pPr>
        <w:spacing w:after="160" w:line="480" w:lineRule="auto"/>
        <w:ind w:left="6480" w:hanging="576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En exceso de $50,000 pero no en exceso de $100,000 </w:t>
      </w:r>
      <w:r w:rsidRPr="00FA191B">
        <w:rPr>
          <w:rFonts w:ascii="Book Antiqua" w:hAnsi="Book Antiqua" w:cs="Segoe UI"/>
          <w:i/>
          <w:iCs/>
          <w:color w:val="000000" w:themeColor="text1"/>
          <w:lang w:val="es-PR"/>
        </w:rPr>
        <w:tab/>
        <w:t>$3,750 más el 24 por ciento del exceso sobre $50,000</w:t>
      </w:r>
    </w:p>
    <w:p w14:paraId="1A01D2F1" w14:textId="77777777" w:rsidR="003A6747" w:rsidRPr="00FA191B" w:rsidRDefault="003A6747" w:rsidP="003A6747">
      <w:pPr>
        <w:spacing w:after="160" w:line="480" w:lineRule="auto"/>
        <w:ind w:left="6480" w:hanging="576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En exceso de $100,000 pero no en exceso de $150,000</w:t>
      </w:r>
      <w:r w:rsidRPr="00FA191B">
        <w:rPr>
          <w:rFonts w:ascii="Book Antiqua" w:hAnsi="Book Antiqua" w:cs="Segoe UI"/>
          <w:i/>
          <w:iCs/>
          <w:color w:val="000000" w:themeColor="text1"/>
          <w:lang w:val="es-PR"/>
        </w:rPr>
        <w:tab/>
        <w:t>$15,750 más el 29 por ciento del exceso sobre $100,000</w:t>
      </w:r>
    </w:p>
    <w:p w14:paraId="53061CC0" w14:textId="77777777" w:rsidR="003A6747" w:rsidRPr="00FA191B" w:rsidRDefault="003A6747" w:rsidP="003A6747">
      <w:pPr>
        <w:spacing w:after="160" w:line="480" w:lineRule="auto"/>
        <w:ind w:left="6360" w:hanging="564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En exceso de $150,000</w:t>
      </w:r>
      <w:r w:rsidRPr="00FA191B">
        <w:rPr>
          <w:rFonts w:ascii="Book Antiqua" w:hAnsi="Book Antiqua" w:cs="Segoe UI"/>
          <w:i/>
          <w:iCs/>
          <w:color w:val="000000" w:themeColor="text1"/>
          <w:lang w:val="es-PR"/>
        </w:rPr>
        <w:tab/>
      </w:r>
      <w:r>
        <w:rPr>
          <w:rFonts w:ascii="Book Antiqua" w:hAnsi="Book Antiqua" w:cs="Segoe UI"/>
          <w:i/>
          <w:iCs/>
          <w:color w:val="000000" w:themeColor="text1"/>
          <w:lang w:val="es-PR"/>
        </w:rPr>
        <w:t xml:space="preserve"> </w:t>
      </w:r>
      <w:r w:rsidRPr="00FA191B">
        <w:rPr>
          <w:rFonts w:ascii="Book Antiqua" w:hAnsi="Book Antiqua" w:cs="Segoe UI"/>
          <w:i/>
          <w:iCs/>
          <w:color w:val="000000" w:themeColor="text1"/>
          <w:lang w:val="es-PR"/>
        </w:rPr>
        <w:t>$30,250 más el 33 por ciento</w:t>
      </w:r>
      <w:r>
        <w:rPr>
          <w:rFonts w:ascii="Book Antiqua" w:hAnsi="Book Antiqua" w:cs="Segoe UI"/>
          <w:i/>
          <w:iCs/>
          <w:color w:val="000000" w:themeColor="text1"/>
          <w:lang w:val="es-PR"/>
        </w:rPr>
        <w:t xml:space="preserve"> del </w:t>
      </w:r>
      <w:r w:rsidRPr="00FA191B">
        <w:rPr>
          <w:rFonts w:ascii="Book Antiqua" w:hAnsi="Book Antiqua" w:cs="Segoe UI"/>
          <w:i/>
          <w:iCs/>
          <w:color w:val="000000" w:themeColor="text1"/>
          <w:lang w:val="es-PR"/>
        </w:rPr>
        <w:t>exceso sobre $150,000</w:t>
      </w:r>
    </w:p>
    <w:p w14:paraId="3A1DD5E3" w14:textId="77777777" w:rsidR="000D52BA" w:rsidRPr="00E609F8" w:rsidRDefault="000D52BA" w:rsidP="0026425C">
      <w:pPr>
        <w:spacing w:after="160" w:line="480" w:lineRule="auto"/>
        <w:ind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 xml:space="preserve">(b) … </w:t>
      </w:r>
    </w:p>
    <w:p w14:paraId="25A33484" w14:textId="77777777" w:rsidR="000D52BA" w:rsidRPr="00E609F8" w:rsidRDefault="000D52BA" w:rsidP="000D52BA">
      <w:pPr>
        <w:numPr>
          <w:ilvl w:val="1"/>
          <w:numId w:val="22"/>
        </w:numPr>
        <w:spacing w:after="160" w:line="480" w:lineRule="auto"/>
        <w:ind w:left="16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w:t>
      </w:r>
    </w:p>
    <w:p w14:paraId="012277A3" w14:textId="77777777" w:rsidR="000D52BA" w:rsidRPr="00E609F8" w:rsidRDefault="000D52BA" w:rsidP="000D52BA">
      <w:pPr>
        <w:spacing w:after="160" w:line="480" w:lineRule="auto"/>
        <w:ind w:left="12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225446DD" w14:textId="77777777" w:rsidR="000D52BA" w:rsidRPr="00E609F8" w:rsidRDefault="000D52BA" w:rsidP="000D52BA">
      <w:pPr>
        <w:spacing w:after="160" w:line="480" w:lineRule="auto"/>
        <w:ind w:left="12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(4)</w:t>
      </w:r>
      <w:r w:rsidRPr="00E609F8">
        <w:rPr>
          <w:rFonts w:ascii="Book Antiqua" w:hAnsi="Book Antiqua"/>
          <w:color w:val="000000" w:themeColor="text1"/>
          <w:lang w:val="es-PR"/>
        </w:rPr>
        <w:t xml:space="preserve"> </w:t>
      </w:r>
      <w:r w:rsidRPr="00E609F8">
        <w:rPr>
          <w:rFonts w:ascii="Book Antiqua" w:hAnsi="Book Antiqua" w:cs="Segoe UI"/>
          <w:color w:val="000000" w:themeColor="text1"/>
          <w:lang w:val="es-PR"/>
        </w:rPr>
        <w:t>Para los años contributivos comenzados después del 31 de diciembre del 2013</w:t>
      </w:r>
      <w:r w:rsidRPr="00E609F8">
        <w:rPr>
          <w:rFonts w:ascii="Book Antiqua" w:hAnsi="Book Antiqua" w:cs="Segoe UI"/>
          <w:i/>
          <w:iCs/>
          <w:color w:val="000000" w:themeColor="text1"/>
          <w:lang w:val="es-PR"/>
        </w:rPr>
        <w:t xml:space="preserve"> pero antes de 1 de enero de 2025</w:t>
      </w:r>
      <w:r w:rsidRPr="00E609F8">
        <w:rPr>
          <w:rFonts w:ascii="Book Antiqua" w:hAnsi="Book Antiqua" w:cs="Segoe UI"/>
          <w:color w:val="000000" w:themeColor="text1"/>
          <w:lang w:val="es-PR"/>
        </w:rPr>
        <w:t xml:space="preserve"> la contribución impuesta por el apartado (a) de esta Sección (determinada sin considerar este apartado) será aumentada por cinco (5) por ciento del exceso del ingreso neto sujeto a contribución sobre quinientos mil (500,000) dólares.</w:t>
      </w:r>
    </w:p>
    <w:p w14:paraId="162F4AEE" w14:textId="77777777" w:rsidR="000D52BA" w:rsidRPr="00E609F8" w:rsidRDefault="000D52BA" w:rsidP="000D52BA">
      <w:pPr>
        <w:spacing w:after="160" w:line="480" w:lineRule="auto"/>
        <w:ind w:left="12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(5) …</w:t>
      </w:r>
    </w:p>
    <w:p w14:paraId="2F5A45BF" w14:textId="77777777" w:rsidR="000D52BA" w:rsidRPr="00E609F8" w:rsidRDefault="000D52BA" w:rsidP="000D52BA">
      <w:pPr>
        <w:spacing w:after="160" w:line="480" w:lineRule="auto"/>
        <w:ind w:left="72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(c) Para años contributivos comenzados después del 31 de diciembre de 2018</w:t>
      </w:r>
      <w:r w:rsidRPr="00E609F8">
        <w:rPr>
          <w:rFonts w:ascii="Book Antiqua" w:hAnsi="Book Antiqua" w:cs="Segoe UI"/>
          <w:i/>
          <w:iCs/>
          <w:color w:val="000000" w:themeColor="text1"/>
          <w:lang w:val="es-PR"/>
        </w:rPr>
        <w:t xml:space="preserve"> pero antes de 1 de enero de 2025</w:t>
      </w:r>
      <w:r w:rsidRPr="00E609F8">
        <w:rPr>
          <w:rFonts w:ascii="Book Antiqua" w:hAnsi="Book Antiqua" w:cs="Segoe UI"/>
          <w:color w:val="000000" w:themeColor="text1"/>
          <w:lang w:val="es-PR"/>
        </w:rPr>
        <w:t>, la contribución determinada bajo esta Sección será el noventa y cinco (95) por ciento de la suma de las cantidades determinadas en los apartados (a) y (b) de esta Sección. Disponiéndose que para años contributivos comenzados después del 31 de diciembre de 2019 y para individuos con un ingreso bruto que no exceda de cien mil (100,000) dólares, la contribución determinada bajo esta sección será el noventa y dos (92) por ciento de la suma de las cantidades determinadas en los apartados (a) y (b) de esta sección.</w:t>
      </w:r>
    </w:p>
    <w:p w14:paraId="353271D6"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i/>
          <w:iCs/>
          <w:color w:val="000000" w:themeColor="text1"/>
          <w:lang w:val="es-PR"/>
        </w:rPr>
        <w:t xml:space="preserve">(d)  Aumento por inflación. Para años comenzados luego del 31 de diciembre de 2025, las cantidades de límite de ingreso neto dispuestas en el párrafo (4) del apartado (a) de esta sección estarán sujetos al aumento dispuesto por inflación según ajustado por el Servicio de Rentas Internas Federal. El Secretario de Hacienda deberá emitir un boletín informativo </w:t>
      </w:r>
      <w:r w:rsidRPr="00E609F8">
        <w:rPr>
          <w:rFonts w:ascii="Book Antiqua" w:hAnsi="Book Antiqua" w:cs="Segoe UI"/>
          <w:i/>
          <w:iCs/>
          <w:color w:val="000000" w:themeColor="text1"/>
          <w:lang w:val="es-PR"/>
        </w:rPr>
        <w:lastRenderedPageBreak/>
        <w:t>notificando los umbrales de ingreso neto, una vez el Servicio de Rentas Internas Federal haya publicado los ajustes por inflación.</w:t>
      </w:r>
      <w:r w:rsidRPr="00E609F8">
        <w:rPr>
          <w:rFonts w:ascii="Book Antiqua" w:hAnsi="Book Antiqua" w:cs="Segoe UI"/>
          <w:color w:val="000000" w:themeColor="text1"/>
          <w:lang w:val="es-PR"/>
        </w:rPr>
        <w:t>”</w:t>
      </w:r>
    </w:p>
    <w:p w14:paraId="6B45FED6" w14:textId="77777777" w:rsidR="000D52BA" w:rsidRPr="00E609F8" w:rsidRDefault="000D52BA" w:rsidP="000D52BA">
      <w:pPr>
        <w:pStyle w:val="Heading1"/>
        <w:rPr>
          <w:color w:val="000000" w:themeColor="text1"/>
          <w:lang w:val="es-PR"/>
        </w:rPr>
      </w:pPr>
      <w:r w:rsidRPr="00E609F8">
        <w:rPr>
          <w:color w:val="000000" w:themeColor="text1"/>
          <w:lang w:val="es-PR"/>
        </w:rPr>
        <w:t>Artículo 3.— Se enmienda el inciso (B) del párrafo (2) del apartado (a) de la Sección 1021.02 de la Ley 1-2011, según enmendada, conocida como “Código de Rentas Internas de Puerto Rico de 2011”, para que se lea como sigue: </w:t>
      </w:r>
    </w:p>
    <w:p w14:paraId="774E4300"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“Sección 1021.02.— Contribución Básica Alterna a Individuos.</w:t>
      </w:r>
    </w:p>
    <w:p w14:paraId="106D44C6"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4AF41774"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 …</w:t>
      </w:r>
    </w:p>
    <w:p w14:paraId="11348779"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 …</w:t>
      </w:r>
    </w:p>
    <w:p w14:paraId="273DE7A1" w14:textId="77777777" w:rsidR="000D52BA" w:rsidRPr="00E609F8" w:rsidRDefault="000D52BA" w:rsidP="000D52BA">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0CEBC796" w14:textId="77777777" w:rsidR="000D52BA" w:rsidRPr="00E609F8" w:rsidRDefault="000D52BA" w:rsidP="000D52BA">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4C546C88" w14:textId="77777777" w:rsidR="000D52BA" w:rsidRPr="00E609F8" w:rsidRDefault="000D52BA" w:rsidP="000D52BA">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(i) …</w:t>
      </w:r>
    </w:p>
    <w:p w14:paraId="5DD4693B" w14:textId="77777777" w:rsidR="000D52BA" w:rsidRPr="00E609F8" w:rsidRDefault="000D52BA" w:rsidP="000D52BA">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38D5F5BE" w14:textId="77777777" w:rsidR="000D52BA" w:rsidRPr="00E609F8" w:rsidRDefault="000D52BA" w:rsidP="000D52BA">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 xml:space="preserve">(xiii) Para años contributivos comenzados después del 31 de diciembre de 2024, la cantidad realmente distribuida o puesta a disposición de cualquier participante o beneficiario por un fideicomiso de empleados exentos según la Sección 1081.01(a) de este Código que esté sujeta a la tasa de diez (10) por ciento bajo la Sección 1081.01 (b) de este Código </w:t>
      </w:r>
      <w:r w:rsidRPr="00E609F8">
        <w:rPr>
          <w:rFonts w:ascii="Book Antiqua" w:hAnsi="Book Antiqua" w:cs="Segoe UI"/>
          <w:i/>
          <w:iCs/>
          <w:color w:val="000000" w:themeColor="text1"/>
          <w:lang w:val="es-PR"/>
        </w:rPr>
        <w:t>y las distribuciones totales según lo dispuesto en la Sección 1081.01(b)(1)(B) sujetas a la tasa del veinte (20) por ciento.</w:t>
      </w:r>
    </w:p>
    <w:p w14:paraId="034156CA" w14:textId="77777777" w:rsidR="000D52BA" w:rsidRPr="00E609F8" w:rsidRDefault="000D52BA" w:rsidP="000D52BA">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(xiv) …</w:t>
      </w:r>
    </w:p>
    <w:p w14:paraId="7CAB31E9" w14:textId="77777777" w:rsidR="000D52BA" w:rsidRPr="00E609F8" w:rsidRDefault="000D52BA" w:rsidP="000D52BA">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i/>
          <w:iCs/>
          <w:color w:val="000000" w:themeColor="text1"/>
          <w:lang w:val="es-PR"/>
        </w:rPr>
        <w:t>(xv) Para años contributivos comenzados después del 31 de diciembre de 2024, los ingresos recibidos por un individuo que están sujetos a contribución a tasas preferenciales, según lo dispuesto en el subcapítulo C del capítulo 2 de este Subtítulo A.</w:t>
      </w:r>
    </w:p>
    <w:p w14:paraId="4EA6B022" w14:textId="77777777" w:rsidR="000D52BA" w:rsidRPr="00E609F8" w:rsidRDefault="000D52BA" w:rsidP="000D52BA">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6BBFD5E6" w14:textId="77777777" w:rsidR="000D52BA" w:rsidRPr="00E609F8" w:rsidRDefault="000D52BA" w:rsidP="000D52BA">
      <w:pPr>
        <w:pStyle w:val="Heading1"/>
        <w:rPr>
          <w:color w:val="000000" w:themeColor="text1"/>
          <w:lang w:val="es-PR"/>
        </w:rPr>
      </w:pPr>
      <w:r w:rsidRPr="00E609F8">
        <w:rPr>
          <w:color w:val="000000" w:themeColor="text1"/>
          <w:lang w:val="es-PR"/>
        </w:rPr>
        <w:t>Artículo 4.— Se enmienda el párrafo (3) del apartado (b) de la Sección 1021.06 de la Ley 1-2011, según enmendada, conocida como “Código de Rentas Internas de Puerto Rico de 2011”, para que se lea como sigue: </w:t>
      </w:r>
    </w:p>
    <w:p w14:paraId="397DD8AF"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“Sección 1021.06.— Contribución Opcional a individuos que llevan a cabo industria o negocio por cuenta propia.</w:t>
      </w:r>
    </w:p>
    <w:p w14:paraId="2BEE7C6E"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w:t>
      </w:r>
    </w:p>
    <w:p w14:paraId="77284D0B"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60208AF7"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b/>
        <w:t>(1)…</w:t>
      </w:r>
    </w:p>
    <w:p w14:paraId="5B801C31" w14:textId="77777777" w:rsidR="000D52BA" w:rsidRPr="00E609F8" w:rsidRDefault="000D52BA" w:rsidP="000D52BA">
      <w:pPr>
        <w:spacing w:after="160" w:line="480" w:lineRule="auto"/>
        <w:ind w:left="72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 …</w:t>
      </w:r>
    </w:p>
    <w:p w14:paraId="5CC6644F"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b/>
        <w:t xml:space="preserve">(3) Para el año contributivo comenzado después del 31 de diciembre de 2018 y antes del 1 de enero de 2020 y para años contributivos comenzados después del 31 de diciembre de 2021, el individuo podrá optar por la contribución opcional dispuesta en esta Sección </w:t>
      </w:r>
      <w:bookmarkStart w:id="4" w:name="_Hlk209540083"/>
      <w:r w:rsidRPr="00E609F8">
        <w:rPr>
          <w:rFonts w:ascii="Book Antiqua" w:hAnsi="Book Antiqua" w:cs="Segoe UI"/>
          <w:color w:val="000000" w:themeColor="text1"/>
          <w:lang w:val="es-PR"/>
        </w:rPr>
        <w:t xml:space="preserve">aunque tenga un balance de contribución a pagar con su planilla de contribución sobre ingresos, siempre y cuando dicho balance sea </w:t>
      </w:r>
      <w:r w:rsidRPr="00E609F8">
        <w:rPr>
          <w:rFonts w:ascii="Book Antiqua" w:hAnsi="Book Antiqua" w:cs="Segoe UI"/>
          <w:color w:val="000000" w:themeColor="text1"/>
          <w:lang w:val="es-PR"/>
        </w:rPr>
        <w:lastRenderedPageBreak/>
        <w:t xml:space="preserve">pagado en su totalidad no más tarde de la fecha límite para radicar la planilla de contribución sobre ingresos, </w:t>
      </w:r>
      <w:bookmarkEnd w:id="4"/>
      <w:r w:rsidRPr="00E609F8">
        <w:rPr>
          <w:rFonts w:ascii="Book Antiqua" w:hAnsi="Book Antiqua" w:cs="Segoe UI"/>
          <w:color w:val="000000" w:themeColor="text1"/>
          <w:lang w:val="es-PR"/>
        </w:rPr>
        <w:t>sin considerar solicitud de prórroga</w:t>
      </w:r>
      <w:r w:rsidRPr="00E609F8">
        <w:rPr>
          <w:rFonts w:ascii="Book Antiqua" w:hAnsi="Book Antiqua" w:cs="Segoe UI"/>
          <w:i/>
          <w:iCs/>
          <w:color w:val="000000" w:themeColor="text1"/>
          <w:lang w:val="es-PR"/>
        </w:rPr>
        <w:t>. Para años contributivos comenzados luego del 31 de diciembre de 2024, el individuo podrá optar por la contribución opcional dispuesta en esta Sección, aunque tenga un balance de contribución a pagar con su planilla de contribución sobre ingresos, siempre y cuando dicho balance sea pagado en su totalidad no más tarde de la fecha límite para radicar la planilla de contribución sobre ingresos, incluyendo prórrogas.  No obstante, el individuo no podrá optar por la contribución opcional bajo esta Sección, si la planilla es sometida luego de la fecha límite establecida en la Sección 1061.01 de este Código, incluyendo prórrogas. Disponiéndose que, una vez el contribuyente haya radicado la planilla la misma no podrá ser enmendada para elegir la contribución opcional dispuesta en esta sección o para cambiar dicha elección si esta se hizo con la radicación de la planilla original.</w:t>
      </w:r>
      <w:r w:rsidRPr="00E609F8">
        <w:rPr>
          <w:rFonts w:ascii="Book Antiqua" w:hAnsi="Book Antiqua" w:cs="Segoe UI"/>
          <w:color w:val="000000" w:themeColor="text1"/>
          <w:lang w:val="es-PR"/>
        </w:rPr>
        <w:t>”</w:t>
      </w:r>
    </w:p>
    <w:p w14:paraId="420302BD" w14:textId="77777777" w:rsidR="000D52BA" w:rsidRPr="00E609F8" w:rsidRDefault="000D52BA" w:rsidP="000D52BA">
      <w:pPr>
        <w:pStyle w:val="Heading1"/>
        <w:rPr>
          <w:color w:val="000000" w:themeColor="text1"/>
          <w:lang w:val="es-PR"/>
        </w:rPr>
      </w:pPr>
      <w:r w:rsidRPr="00E609F8">
        <w:rPr>
          <w:color w:val="000000" w:themeColor="text1"/>
          <w:lang w:val="es-PR"/>
        </w:rPr>
        <w:t>Artículo 5.— Se enmienda el párrafo (3) del apartado (b) de la Sección 1022.07 de la Ley 1-2011, según enmendada, conocida como “Código de Rentas Internas de Puerto Rico de 2011”, para que se lea como sigue: </w:t>
      </w:r>
    </w:p>
    <w:p w14:paraId="088CF6EA"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“Sección 1022.07.— Contribución Opcional a corporaciones que presten servicios.</w:t>
      </w:r>
    </w:p>
    <w:p w14:paraId="22E911DA"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w:t>
      </w:r>
    </w:p>
    <w:p w14:paraId="625E9D6D"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62CA5881"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b/>
        <w:t>(1)…</w:t>
      </w:r>
    </w:p>
    <w:p w14:paraId="07B23B03" w14:textId="77777777" w:rsidR="000D52BA" w:rsidRPr="00E609F8" w:rsidRDefault="000D52BA" w:rsidP="000D52BA">
      <w:pPr>
        <w:spacing w:after="160" w:line="480" w:lineRule="auto"/>
        <w:ind w:left="72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w:t>
      </w:r>
    </w:p>
    <w:p w14:paraId="5B8E9604" w14:textId="77777777" w:rsidR="000D52BA" w:rsidRPr="00E609F8" w:rsidRDefault="000D52BA" w:rsidP="000D52BA">
      <w:pPr>
        <w:spacing w:after="160" w:line="480" w:lineRule="auto"/>
        <w:ind w:left="72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lastRenderedPageBreak/>
        <w:tab/>
        <w:t>(3) Para el año contributivo comenzado después del 31 de diciembre de 2018 y antes del 1 de enero de 2020 y años contributivos comenzados luego del 31 de diciembre de 2021, la corporación podrá optar por la contribución opcional dispuesta en esta Sección aunque tenga un balance de contribución pagar con su planilla de contribución sobre ingresos, siempre y cuando dicho balance sea pagado en su totalidad no más tarde de la fecha límite para radicar la planilla de contribución sobre ingresos, sin considerar solicitud de prórroga</w:t>
      </w:r>
      <w:r w:rsidRPr="00E609F8">
        <w:rPr>
          <w:rFonts w:ascii="Book Antiqua" w:hAnsi="Book Antiqua" w:cs="Segoe UI"/>
          <w:i/>
          <w:iCs/>
          <w:color w:val="000000" w:themeColor="text1"/>
          <w:lang w:val="es-PR"/>
        </w:rPr>
        <w:t>. Para años contributivos comenzados luego del 31 de diciembre de 2024, la corporación podrá optar por la contribución opcional dispuesta en esta Sección, aunque tenga un balance de contribución a pagar con su planilla de contribución sobre ingresos, siempre y cuando dicho balance sea pagado en su totalidad no más tarde de la fecha límite para radicar la planilla de contribución sobre ingresos, incluyendo prórrogas.  No obstante, la corporación no podrá optar por la contribución opcional bajo esta Sección, si la planilla es sometida luego de la fecha límite establecida en la Sección 1061.02 de este Código, incluyendo prórrogas. Disponiéndose que, una vez el contribuyente haya radicado la planilla la misma no podrá ser enmendada para elegir la contribución opcional dispuesta en esta sección o para cambiar dicha elección si esta se hizo con la radicación de la planilla original.</w:t>
      </w:r>
      <w:r w:rsidRPr="00E609F8">
        <w:rPr>
          <w:rFonts w:ascii="Book Antiqua" w:hAnsi="Book Antiqua" w:cs="Segoe UI"/>
          <w:color w:val="000000" w:themeColor="text1"/>
          <w:lang w:val="es-PR"/>
        </w:rPr>
        <w:t>”</w:t>
      </w:r>
    </w:p>
    <w:p w14:paraId="081DEC93" w14:textId="77777777" w:rsidR="000D52BA" w:rsidRPr="00E609F8" w:rsidRDefault="000D52BA" w:rsidP="000D52BA">
      <w:pPr>
        <w:pStyle w:val="Heading1"/>
        <w:rPr>
          <w:color w:val="000000" w:themeColor="text1"/>
          <w:lang w:val="es-PR"/>
        </w:rPr>
      </w:pPr>
      <w:r w:rsidRPr="00E609F8">
        <w:rPr>
          <w:color w:val="000000" w:themeColor="text1"/>
          <w:lang w:val="es-PR"/>
        </w:rPr>
        <w:t>Artículo 6.— Se añade un inciso (E) al párrafo (13) del apartado (a) de la Sección 1031.02 de la Ley 1-2011, según enmendada, conocida como “Código de Rentas Internas de Puerto Rico de 2011”, para que se lea como sigue: </w:t>
      </w:r>
    </w:p>
    <w:p w14:paraId="7F098410"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“Sección 1031.02.— Exenciones del Ingreso Bruto</w:t>
      </w:r>
    </w:p>
    <w:p w14:paraId="2B1C50A6"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784ECD70"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(1) …</w:t>
      </w:r>
    </w:p>
    <w:p w14:paraId="022C396D"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75A3C843"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 xml:space="preserve">(13) … </w:t>
      </w:r>
    </w:p>
    <w:p w14:paraId="27469EFD" w14:textId="77777777" w:rsidR="000D52BA" w:rsidRPr="00E609F8" w:rsidRDefault="000D52BA" w:rsidP="000D52BA">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5B4E2900" w14:textId="77777777" w:rsidR="000D52BA" w:rsidRPr="00E609F8" w:rsidRDefault="000D52BA" w:rsidP="000D52BA">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6087BDB7" w14:textId="77777777" w:rsidR="000D52BA" w:rsidRPr="00E609F8" w:rsidRDefault="000D52BA" w:rsidP="000D52BA">
      <w:pPr>
        <w:spacing w:after="160" w:line="480" w:lineRule="auto"/>
        <w:ind w:left="1440"/>
        <w:jc w:val="both"/>
        <w:textAlignment w:val="baseline"/>
        <w:rPr>
          <w:rFonts w:ascii="Book Antiqua" w:hAnsi="Book Antiqua" w:cs="Segoe UI"/>
          <w:i/>
          <w:iCs/>
          <w:color w:val="000000" w:themeColor="text1"/>
          <w:lang w:val="es-PR"/>
        </w:rPr>
      </w:pPr>
      <w:r w:rsidRPr="00E609F8">
        <w:rPr>
          <w:rFonts w:ascii="Book Antiqua" w:hAnsi="Book Antiqua" w:cs="Segoe UI"/>
          <w:i/>
          <w:iCs/>
          <w:color w:val="000000" w:themeColor="text1"/>
          <w:lang w:val="es-PR"/>
        </w:rPr>
        <w:t>(E) Aumento por inflación. Para años comenzados luego del 31 de diciembre de 2025, las cantidades de exención dispuestas en el en los incisos (A) y (B) de este párrafo estarán sujetas al aumento dispuesto por inflación según ajustado por el Servicio de Rentas Internas Federal. El Secretario de Hacienda deberá emitir un boletín informativo notificando el monto de dichas exenciones, una vez el Servicio de Rentas Internas Federal haya publicado los ajustes por inflación</w:t>
      </w:r>
    </w:p>
    <w:p w14:paraId="5285F1B7"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(14) …</w:t>
      </w:r>
    </w:p>
    <w:p w14:paraId="7796EA52"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73A83AC1" w14:textId="77777777" w:rsidR="000D52BA" w:rsidRPr="00E609F8" w:rsidRDefault="000D52BA" w:rsidP="000D52BA">
      <w:pPr>
        <w:pStyle w:val="Heading1"/>
        <w:rPr>
          <w:color w:val="000000" w:themeColor="text1"/>
          <w:lang w:val="es-PR"/>
        </w:rPr>
      </w:pPr>
      <w:r w:rsidRPr="00E609F8">
        <w:rPr>
          <w:color w:val="000000" w:themeColor="text1"/>
          <w:lang w:val="es-PR"/>
        </w:rPr>
        <w:t>Artículo 7.— Se enmienda el inciso (A) del párrafo (1) del apartado (b) y se añade un nuevo apartado (e) a la Sección 1033.18 de la Ley 1-2011, según enmendada, conocida como “Código de Rentas Internas de Puerto Rico de 2011”, para que se lea como sigue: </w:t>
      </w:r>
    </w:p>
    <w:p w14:paraId="17E2FEC5"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“Sección 1033.18.—Concesión por Exenciones Personales y por Dependientes.</w:t>
      </w:r>
    </w:p>
    <w:p w14:paraId="7A547A65"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15E862B0"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0F1EC64B"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(1) …</w:t>
      </w:r>
    </w:p>
    <w:p w14:paraId="2AA9E23F" w14:textId="77777777" w:rsidR="000D52BA" w:rsidRPr="00E609F8" w:rsidRDefault="000D52BA" w:rsidP="000D52BA">
      <w:pPr>
        <w:spacing w:after="160" w:line="480" w:lineRule="auto"/>
        <w:ind w:left="144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 xml:space="preserve">(A) Por cada dependiente, según se define en el inciso (A) del párrafo (1) del apartado (c) de esta sección, se concederá para cada año contributivo del contribuyente una exención de dos mil quinientos (2,500) dólares.  </w:t>
      </w:r>
      <w:r w:rsidRPr="00E609F8">
        <w:rPr>
          <w:rFonts w:ascii="Book Antiqua" w:hAnsi="Book Antiqua" w:cs="Segoe UI"/>
          <w:i/>
          <w:iCs/>
          <w:color w:val="000000" w:themeColor="text1"/>
          <w:lang w:val="es-PR"/>
        </w:rPr>
        <w:t>Para años contributivos comenzados luego del 31 de diciembre de 2024, la exención será de cinco mil dólares ($5,000).</w:t>
      </w:r>
    </w:p>
    <w:p w14:paraId="52594ACD" w14:textId="77777777" w:rsidR="000D52BA" w:rsidRPr="00E609F8" w:rsidRDefault="000D52BA" w:rsidP="000D52BA">
      <w:pPr>
        <w:spacing w:after="160" w:line="480" w:lineRule="auto"/>
        <w:ind w:left="72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469771FD" w14:textId="77777777" w:rsidR="000D52BA" w:rsidRPr="00E609F8" w:rsidRDefault="000D52BA" w:rsidP="000D52BA">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3AFCD6BE"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10C71D14" w14:textId="77777777" w:rsidR="000D52BA" w:rsidRPr="00E609F8" w:rsidRDefault="000D52BA" w:rsidP="000D52BA">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41B34AE1" w14:textId="77777777" w:rsidR="000D52BA" w:rsidRPr="00E609F8" w:rsidRDefault="000D52BA" w:rsidP="000D52BA">
      <w:pPr>
        <w:spacing w:after="160" w:line="480" w:lineRule="auto"/>
        <w:ind w:left="180" w:firstLine="540"/>
        <w:jc w:val="both"/>
        <w:textAlignment w:val="baseline"/>
        <w:rPr>
          <w:rFonts w:ascii="Book Antiqua" w:hAnsi="Book Antiqua" w:cs="Segoe UI"/>
          <w:color w:val="000000" w:themeColor="text1"/>
          <w:lang w:val="es-PR"/>
        </w:rPr>
      </w:pPr>
      <w:r w:rsidRPr="00E609F8">
        <w:rPr>
          <w:rFonts w:ascii="Book Antiqua" w:hAnsi="Book Antiqua" w:cs="Segoe UI"/>
          <w:i/>
          <w:iCs/>
          <w:color w:val="000000" w:themeColor="text1"/>
          <w:lang w:val="es-PR"/>
        </w:rPr>
        <w:t>(e) Aumento por inflación. Para años comenzados luego del 31 de diciembre de 2025, las cantidades de exención personal dispuestas en el párrafo (1) del apartado (a) de esta sección y exención por dependientes dispuestas en el apartado (b) de esta sección estarán sujetas al aumento dispuesto por inflación según ajustado por el Servicio de Rentas Internas Federal. El Secretario de Hacienda deberá emitir un boletín informativo notificando el monto de dichas exenciones, una vez el Servicio de Rentas Internas Federal haya publicado los ajustes por inflación.</w:t>
      </w:r>
      <w:r w:rsidRPr="00E609F8">
        <w:rPr>
          <w:rFonts w:ascii="Book Antiqua" w:hAnsi="Book Antiqua" w:cs="Segoe UI"/>
          <w:color w:val="000000" w:themeColor="text1"/>
          <w:lang w:val="es-PR"/>
        </w:rPr>
        <w:t>”</w:t>
      </w:r>
    </w:p>
    <w:p w14:paraId="164C5F93" w14:textId="77777777" w:rsidR="000D52BA" w:rsidRPr="00E609F8" w:rsidRDefault="000D52BA" w:rsidP="000D52BA">
      <w:pPr>
        <w:pStyle w:val="Heading1"/>
        <w:rPr>
          <w:color w:val="000000" w:themeColor="text1"/>
          <w:lang w:val="es-PR"/>
        </w:rPr>
      </w:pPr>
      <w:r w:rsidRPr="00E609F8">
        <w:rPr>
          <w:color w:val="000000" w:themeColor="text1"/>
          <w:lang w:val="es-PR"/>
        </w:rPr>
        <w:t>Artículo 8.— Se añade un párrafo (3) al apartado (b) de la Sección 1078.02 de la Ley 1-2011, según enmendada, conocida como “Código de Rentas Internas de Puerto Rico de 2011”, para que se lea como sigue: </w:t>
      </w:r>
    </w:p>
    <w:p w14:paraId="0AFB48F9" w14:textId="77777777" w:rsidR="000D52BA" w:rsidRPr="00E609F8" w:rsidRDefault="000D52BA" w:rsidP="000D52BA">
      <w:pPr>
        <w:pStyle w:val="Heading1"/>
        <w:ind w:firstLine="360"/>
        <w:rPr>
          <w:color w:val="000000" w:themeColor="text1"/>
          <w:lang w:val="es-PR"/>
        </w:rPr>
      </w:pPr>
      <w:r w:rsidRPr="00E609F8">
        <w:rPr>
          <w:color w:val="000000" w:themeColor="text1"/>
          <w:lang w:val="es-PR"/>
        </w:rPr>
        <w:lastRenderedPageBreak/>
        <w:t>“Sección 1078.02.— Efectos Contributivos relacionados a los Cambios en Tributación.</w:t>
      </w:r>
    </w:p>
    <w:p w14:paraId="652B1F45" w14:textId="77777777" w:rsidR="000D52BA" w:rsidRPr="00E609F8" w:rsidRDefault="000D52BA" w:rsidP="000D52BA">
      <w:pPr>
        <w:numPr>
          <w:ilvl w:val="0"/>
          <w:numId w:val="21"/>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425B775A" w14:textId="77777777" w:rsidR="000D52BA" w:rsidRPr="00E609F8" w:rsidRDefault="000D52BA" w:rsidP="000D52BA">
      <w:pPr>
        <w:numPr>
          <w:ilvl w:val="0"/>
          <w:numId w:val="21"/>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49FE9701" w14:textId="77777777" w:rsidR="000D52BA" w:rsidRPr="00E609F8" w:rsidRDefault="000D52BA" w:rsidP="000D52BA">
      <w:pPr>
        <w:spacing w:after="160" w:line="480" w:lineRule="auto"/>
        <w:ind w:left="72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 …</w:t>
      </w:r>
    </w:p>
    <w:p w14:paraId="46F3DD00" w14:textId="77777777" w:rsidR="000D52BA" w:rsidRPr="00E609F8" w:rsidRDefault="000D52BA" w:rsidP="000D52BA">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 …</w:t>
      </w:r>
    </w:p>
    <w:p w14:paraId="14722876" w14:textId="77777777" w:rsidR="000D52BA" w:rsidRPr="00E609F8" w:rsidRDefault="000D52BA" w:rsidP="000D52BA">
      <w:pPr>
        <w:spacing w:after="160" w:line="480" w:lineRule="auto"/>
        <w:ind w:left="720" w:firstLine="720"/>
        <w:jc w:val="both"/>
        <w:textAlignment w:val="baseline"/>
        <w:rPr>
          <w:rFonts w:ascii="Book Antiqua" w:hAnsi="Book Antiqua" w:cs="Segoe UI"/>
          <w:i/>
          <w:iCs/>
          <w:color w:val="000000" w:themeColor="text1"/>
          <w:lang w:val="es-PR"/>
        </w:rPr>
      </w:pPr>
      <w:r w:rsidRPr="00E609F8">
        <w:rPr>
          <w:rFonts w:ascii="Book Antiqua" w:hAnsi="Book Antiqua" w:cs="Segoe UI"/>
          <w:i/>
          <w:iCs/>
          <w:color w:val="000000" w:themeColor="text1"/>
          <w:lang w:val="es-PR"/>
        </w:rPr>
        <w:t>(3) Aquellas entidades jurídicas que deseen cambiar la forma de tributación bajo lo dispuesto en este apartado (b) y al primer día de efectividad de la elección bajo este apartado (b) cumplan con los requisitos establecidos en la Sección 1115.01(c)(1) de este Código, podrán elegir que le apliquen las disposiciones de los apartados (d), (e), (f), (g) y (h) de la Sección 1115.03 y la Sección 1115.08 del Código, en lugar de las disposiciones dispuestas en los párrafos (1) y (2) de este apartado (b). Para elecciones efectivas para años contributivos comenzados luego del 31 de diciembre de 2025, el pago de cualquier contribución sobre ingresos que surja por la aplicación de este párrafo deberá ser realizado al momento de radicar la solicitud de elección.</w:t>
      </w:r>
    </w:p>
    <w:p w14:paraId="7A86FA13" w14:textId="77777777" w:rsidR="000D52BA" w:rsidRPr="00E609F8" w:rsidRDefault="000D52BA" w:rsidP="000D52BA">
      <w:pPr>
        <w:spacing w:line="480" w:lineRule="auto"/>
        <w:ind w:firstLine="720"/>
        <w:jc w:val="both"/>
        <w:outlineLvl w:val="0"/>
        <w:rPr>
          <w:rFonts w:ascii="Book Antiqua" w:hAnsi="Book Antiqua"/>
          <w:color w:val="000000"/>
          <w:lang w:val="es-PR"/>
        </w:rPr>
      </w:pPr>
      <w:r w:rsidRPr="00E609F8">
        <w:rPr>
          <w:rFonts w:ascii="Book Antiqua" w:hAnsi="Book Antiqua"/>
          <w:color w:val="000000"/>
          <w:lang w:val="es-PR"/>
        </w:rPr>
        <w:t>Artículo 9.— Se añade el inciso (F) del párrafo (1) del apartado (b) la Sección 1081.01 de la Ley 1-2011, según enmendada, para que se lea como sigue:</w:t>
      </w:r>
    </w:p>
    <w:p w14:paraId="2734A87C" w14:textId="77777777" w:rsidR="000D52BA" w:rsidRPr="00E609F8" w:rsidRDefault="000D52BA" w:rsidP="000D52BA">
      <w:pPr>
        <w:spacing w:line="480" w:lineRule="auto"/>
        <w:ind w:firstLine="360"/>
        <w:jc w:val="both"/>
        <w:outlineLvl w:val="0"/>
        <w:rPr>
          <w:rFonts w:ascii="Book Antiqua" w:hAnsi="Book Antiqua"/>
          <w:color w:val="000000"/>
          <w:lang w:val="es-PR"/>
        </w:rPr>
      </w:pPr>
      <w:r w:rsidRPr="00E609F8">
        <w:rPr>
          <w:rFonts w:ascii="Book Antiqua" w:hAnsi="Book Antiqua"/>
          <w:color w:val="000000"/>
          <w:lang w:val="es-PR"/>
        </w:rPr>
        <w:t xml:space="preserve">“Sección 1081.01.  Fideicomisos de Empleados. </w:t>
      </w:r>
    </w:p>
    <w:p w14:paraId="2A306102" w14:textId="77777777" w:rsidR="000D52BA" w:rsidRPr="00E609F8" w:rsidRDefault="000D52BA" w:rsidP="000D52BA">
      <w:pPr>
        <w:numPr>
          <w:ilvl w:val="0"/>
          <w:numId w:val="24"/>
        </w:numPr>
        <w:spacing w:line="480" w:lineRule="auto"/>
        <w:ind w:left="0" w:firstLine="720"/>
        <w:jc w:val="both"/>
        <w:rPr>
          <w:rFonts w:ascii="Book Antiqua" w:hAnsi="Book Antiqua"/>
          <w:color w:val="000000"/>
          <w:lang w:val="es-PR"/>
        </w:rPr>
      </w:pPr>
      <w:r w:rsidRPr="00E609F8">
        <w:rPr>
          <w:rFonts w:ascii="Book Antiqua" w:hAnsi="Book Antiqua"/>
          <w:color w:val="000000"/>
          <w:lang w:val="es-PR"/>
        </w:rPr>
        <w:t>…</w:t>
      </w:r>
    </w:p>
    <w:p w14:paraId="1D0659E7" w14:textId="77777777" w:rsidR="000D52BA" w:rsidRPr="00E609F8" w:rsidRDefault="000D52BA" w:rsidP="000D52BA">
      <w:pPr>
        <w:numPr>
          <w:ilvl w:val="0"/>
          <w:numId w:val="24"/>
        </w:numPr>
        <w:spacing w:line="480" w:lineRule="auto"/>
        <w:ind w:left="0" w:firstLine="720"/>
        <w:jc w:val="both"/>
        <w:rPr>
          <w:rFonts w:ascii="Book Antiqua" w:hAnsi="Book Antiqua"/>
          <w:color w:val="000000"/>
          <w:lang w:val="es-PR"/>
        </w:rPr>
      </w:pPr>
      <w:r w:rsidRPr="00E609F8">
        <w:rPr>
          <w:rFonts w:ascii="Book Antiqua" w:hAnsi="Book Antiqua"/>
          <w:color w:val="000000"/>
          <w:lang w:val="es-PR"/>
        </w:rPr>
        <w:t>…</w:t>
      </w:r>
    </w:p>
    <w:p w14:paraId="17B3B409" w14:textId="77777777" w:rsidR="000D52BA" w:rsidRPr="00E609F8" w:rsidRDefault="000D52BA" w:rsidP="000D52BA">
      <w:pPr>
        <w:numPr>
          <w:ilvl w:val="0"/>
          <w:numId w:val="25"/>
        </w:numPr>
        <w:spacing w:line="480" w:lineRule="auto"/>
        <w:ind w:left="720" w:firstLine="720"/>
        <w:jc w:val="both"/>
        <w:rPr>
          <w:rFonts w:ascii="Book Antiqua" w:hAnsi="Book Antiqua"/>
          <w:color w:val="000000"/>
          <w:lang w:val="es-PR"/>
        </w:rPr>
      </w:pPr>
      <w:r w:rsidRPr="00E609F8">
        <w:rPr>
          <w:rFonts w:ascii="Book Antiqua" w:hAnsi="Book Antiqua"/>
          <w:color w:val="000000"/>
          <w:lang w:val="es-PR"/>
        </w:rPr>
        <w:t>…</w:t>
      </w:r>
    </w:p>
    <w:p w14:paraId="640E6AD3" w14:textId="77777777" w:rsidR="000D52BA" w:rsidRPr="00E609F8" w:rsidRDefault="000D52BA" w:rsidP="000D52BA">
      <w:pPr>
        <w:spacing w:line="480" w:lineRule="auto"/>
        <w:ind w:left="1440" w:firstLine="720"/>
        <w:jc w:val="both"/>
        <w:rPr>
          <w:rFonts w:ascii="Book Antiqua" w:hAnsi="Book Antiqua"/>
          <w:color w:val="000000"/>
          <w:lang w:val="es-PR"/>
        </w:rPr>
      </w:pPr>
      <w:r w:rsidRPr="00E609F8">
        <w:rPr>
          <w:rFonts w:ascii="Book Antiqua" w:hAnsi="Book Antiqua"/>
          <w:color w:val="000000"/>
          <w:lang w:val="es-PR"/>
        </w:rPr>
        <w:t>(A)</w:t>
      </w:r>
      <w:r w:rsidRPr="00E609F8">
        <w:rPr>
          <w:rFonts w:ascii="Book Antiqua" w:hAnsi="Book Antiqua"/>
          <w:color w:val="000000"/>
          <w:lang w:val="es-PR"/>
        </w:rPr>
        <w:tab/>
        <w:t>…</w:t>
      </w:r>
    </w:p>
    <w:p w14:paraId="18250B47" w14:textId="77777777" w:rsidR="000D52BA" w:rsidRPr="00E609F8" w:rsidRDefault="000D52BA" w:rsidP="000D52BA">
      <w:pPr>
        <w:spacing w:line="480" w:lineRule="auto"/>
        <w:ind w:left="1440" w:firstLine="720"/>
        <w:jc w:val="both"/>
        <w:rPr>
          <w:rFonts w:ascii="Book Antiqua" w:hAnsi="Book Antiqua"/>
          <w:color w:val="000000"/>
          <w:lang w:val="es-PR"/>
        </w:rPr>
      </w:pPr>
      <w:r w:rsidRPr="00E609F8">
        <w:rPr>
          <w:rFonts w:ascii="Book Antiqua" w:hAnsi="Book Antiqua"/>
          <w:color w:val="000000"/>
          <w:lang w:val="es-PR"/>
        </w:rPr>
        <w:lastRenderedPageBreak/>
        <w:t>…</w:t>
      </w:r>
    </w:p>
    <w:p w14:paraId="602E687A" w14:textId="77777777" w:rsidR="000D52BA" w:rsidRPr="00E609F8" w:rsidRDefault="000D52BA" w:rsidP="000D52BA">
      <w:pPr>
        <w:spacing w:line="480" w:lineRule="auto"/>
        <w:ind w:left="1440" w:firstLine="720"/>
        <w:jc w:val="both"/>
        <w:rPr>
          <w:rFonts w:ascii="Book Antiqua" w:hAnsi="Book Antiqua"/>
          <w:color w:val="000000"/>
          <w:lang w:val="es-PR"/>
        </w:rPr>
      </w:pPr>
      <w:r w:rsidRPr="00E609F8">
        <w:rPr>
          <w:rFonts w:ascii="Book Antiqua" w:hAnsi="Book Antiqua"/>
          <w:i/>
          <w:iCs/>
          <w:color w:val="000000"/>
          <w:lang w:val="es-PR"/>
        </w:rPr>
        <w:t>(F)</w:t>
      </w:r>
      <w:r w:rsidRPr="00E609F8">
        <w:rPr>
          <w:rFonts w:ascii="Book Antiqua" w:hAnsi="Book Antiqua"/>
          <w:color w:val="000000"/>
          <w:lang w:val="es-PR"/>
        </w:rPr>
        <w:tab/>
      </w:r>
      <w:r w:rsidRPr="00E609F8">
        <w:rPr>
          <w:rFonts w:ascii="Book Antiqua" w:hAnsi="Book Antiqua"/>
          <w:i/>
          <w:iCs/>
          <w:color w:val="000000"/>
          <w:lang w:val="es-PR"/>
        </w:rPr>
        <w:t>Distribuciones Totales efectuadas después del 31 de diciembre de 2024 bajo la Ley 106-2017.— Si la totalidad de los beneficios bajo el Plan de Aportaciones Definidas para los Servidores Públicos establecido bajo la Ley 106-2017 o cualquier ley análoga anterior o subsiguiente que regule el Sistema de Retiro del gobierno de Puerto Rico  con respecto a un participante es pagada o puesta a la disposición del participante o su beneficiario dentro de un solo año contributivo de éste debido a la separación del servicio del participante por cualquier razón, o la terminación del plan (en adelante referida para propósitos de este apartado como una “distribución total”), el monto de dicha distribución, estará totalmente exento de tributación por este Subtitulo. No obstante, será requerido por el administrador del plan informar la cantidad distribuida, como distribución exenta, conforme a lo dispuesto en el párrafo (6) de este apartado (b).</w:t>
      </w:r>
    </w:p>
    <w:p w14:paraId="6F6AE74F" w14:textId="77777777" w:rsidR="000D52BA" w:rsidRPr="00E609F8" w:rsidRDefault="000D52BA" w:rsidP="000D52BA">
      <w:pPr>
        <w:spacing w:line="480" w:lineRule="auto"/>
        <w:ind w:left="720"/>
        <w:jc w:val="both"/>
        <w:rPr>
          <w:rFonts w:ascii="Book Antiqua" w:hAnsi="Book Antiqua"/>
          <w:color w:val="000000"/>
          <w:lang w:val="es-PR"/>
        </w:rPr>
      </w:pPr>
      <w:r w:rsidRPr="00E609F8">
        <w:rPr>
          <w:rFonts w:ascii="Book Antiqua" w:hAnsi="Book Antiqua"/>
          <w:color w:val="000000"/>
          <w:lang w:val="es-PR"/>
        </w:rPr>
        <w:t>…</w:t>
      </w:r>
    </w:p>
    <w:p w14:paraId="7338BD7A" w14:textId="77777777" w:rsidR="000D52BA" w:rsidRPr="00E609F8" w:rsidRDefault="000D52BA" w:rsidP="000D52BA">
      <w:pPr>
        <w:pStyle w:val="Heading1"/>
        <w:rPr>
          <w:color w:val="000000" w:themeColor="text1"/>
          <w:lang w:val="es-PR"/>
        </w:rPr>
      </w:pPr>
      <w:r w:rsidRPr="00E609F8">
        <w:rPr>
          <w:color w:val="000000" w:themeColor="text1"/>
          <w:lang w:val="es-PR"/>
        </w:rPr>
        <w:t>Artículo 10.— Se a</w:t>
      </w:r>
      <w:r w:rsidRPr="00E609F8">
        <w:rPr>
          <w:rFonts w:ascii="Times New Roman" w:hAnsi="Times New Roman"/>
          <w:color w:val="000000" w:themeColor="text1"/>
          <w:lang w:val="es-PR"/>
        </w:rPr>
        <w:t>ñ</w:t>
      </w:r>
      <w:r w:rsidRPr="00E609F8">
        <w:rPr>
          <w:color w:val="000000" w:themeColor="text1"/>
          <w:lang w:val="es-PR"/>
        </w:rPr>
        <w:t>ade un párrafo (3) al apartado (f) de la Sección 3030.03 de la Ley 1-2011, según enmendada, conocida como “Código de Rentas Internas de Puerto Rico de 2011”, para que se lea como sigue: </w:t>
      </w:r>
    </w:p>
    <w:p w14:paraId="62C9F438"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“Sección 3030.03.— Reintegro de Arbitrios sobre Vehículos Impulsados por Energía Alterna o Combinada.</w:t>
      </w:r>
    </w:p>
    <w:p w14:paraId="78AAEEC5" w14:textId="77777777" w:rsidR="000D52BA" w:rsidRPr="00E609F8" w:rsidRDefault="000D52BA" w:rsidP="000D52BA">
      <w:pPr>
        <w:spacing w:line="480" w:lineRule="auto"/>
        <w:ind w:left="720"/>
        <w:jc w:val="both"/>
        <w:rPr>
          <w:color w:val="000000" w:themeColor="text1"/>
          <w:lang w:val="es-PR"/>
        </w:rPr>
      </w:pPr>
      <w:r w:rsidRPr="00E609F8">
        <w:rPr>
          <w:color w:val="000000" w:themeColor="text1"/>
          <w:lang w:val="es-PR"/>
        </w:rPr>
        <w:t>(a) …</w:t>
      </w:r>
    </w:p>
    <w:p w14:paraId="5096E105" w14:textId="77777777" w:rsidR="000D52BA" w:rsidRPr="00E609F8" w:rsidRDefault="000D52BA" w:rsidP="000D52BA">
      <w:pPr>
        <w:spacing w:line="480" w:lineRule="auto"/>
        <w:ind w:left="720"/>
        <w:jc w:val="both"/>
        <w:rPr>
          <w:color w:val="000000" w:themeColor="text1"/>
          <w:lang w:val="es-PR"/>
        </w:rPr>
      </w:pPr>
      <w:r w:rsidRPr="00E609F8">
        <w:rPr>
          <w:color w:val="000000" w:themeColor="text1"/>
          <w:lang w:val="es-PR"/>
        </w:rPr>
        <w:t>…</w:t>
      </w:r>
    </w:p>
    <w:p w14:paraId="4743548F" w14:textId="77777777" w:rsidR="000D52BA" w:rsidRPr="00E609F8" w:rsidRDefault="000D52BA" w:rsidP="000D52BA">
      <w:pPr>
        <w:spacing w:line="480" w:lineRule="auto"/>
        <w:ind w:left="720"/>
        <w:jc w:val="both"/>
        <w:rPr>
          <w:color w:val="000000" w:themeColor="text1"/>
          <w:lang w:val="es-PR"/>
        </w:rPr>
      </w:pPr>
      <w:r w:rsidRPr="00E609F8">
        <w:rPr>
          <w:color w:val="000000" w:themeColor="text1"/>
          <w:lang w:val="es-PR"/>
        </w:rPr>
        <w:t>(f) …</w:t>
      </w:r>
    </w:p>
    <w:p w14:paraId="7D0FC052" w14:textId="77777777" w:rsidR="000D52BA" w:rsidRPr="00E609F8" w:rsidRDefault="000D52BA" w:rsidP="000D52BA">
      <w:pPr>
        <w:spacing w:line="480" w:lineRule="auto"/>
        <w:ind w:left="720" w:firstLine="720"/>
        <w:jc w:val="both"/>
        <w:rPr>
          <w:color w:val="000000" w:themeColor="text1"/>
          <w:lang w:val="es-PR"/>
        </w:rPr>
      </w:pPr>
      <w:r w:rsidRPr="00E609F8">
        <w:rPr>
          <w:color w:val="000000" w:themeColor="text1"/>
          <w:lang w:val="es-PR"/>
        </w:rPr>
        <w:lastRenderedPageBreak/>
        <w:t>(1) …</w:t>
      </w:r>
    </w:p>
    <w:p w14:paraId="605209D7" w14:textId="77777777" w:rsidR="000D52BA" w:rsidRPr="00E609F8" w:rsidRDefault="000D52BA" w:rsidP="000D52BA">
      <w:pPr>
        <w:spacing w:line="480" w:lineRule="auto"/>
        <w:ind w:left="720" w:firstLine="720"/>
        <w:jc w:val="both"/>
        <w:rPr>
          <w:color w:val="000000" w:themeColor="text1"/>
          <w:lang w:val="es-PR"/>
        </w:rPr>
      </w:pPr>
      <w:r w:rsidRPr="00E609F8">
        <w:rPr>
          <w:color w:val="000000" w:themeColor="text1"/>
          <w:lang w:val="es-PR"/>
        </w:rPr>
        <w:t>(2) ,,,</w:t>
      </w:r>
    </w:p>
    <w:p w14:paraId="46506747" w14:textId="77777777" w:rsidR="000D52BA" w:rsidRPr="00E609F8" w:rsidRDefault="000D52BA" w:rsidP="000D52BA">
      <w:pPr>
        <w:spacing w:line="480" w:lineRule="auto"/>
        <w:ind w:left="720" w:firstLine="720"/>
        <w:jc w:val="both"/>
        <w:rPr>
          <w:i/>
          <w:iCs/>
          <w:color w:val="000000" w:themeColor="text1"/>
          <w:lang w:val="es-PR"/>
        </w:rPr>
      </w:pPr>
      <w:r w:rsidRPr="00E609F8">
        <w:rPr>
          <w:i/>
          <w:iCs/>
          <w:color w:val="000000" w:themeColor="text1"/>
          <w:lang w:val="es-PR"/>
        </w:rPr>
        <w:t>(3) Las disposiciones de este apartado (f) quedarán sin efecto a partir del 1 de julio de 2026.  Disponiéndose que ninguna transacción de venta de vehículos descritos en los párrafos (1) y (2) de este apartado, que sea efectuada luego del 30 de junio de 2026 podrá acogerse a lo dispuesto en este apartado (f).</w:t>
      </w:r>
    </w:p>
    <w:p w14:paraId="1596F765" w14:textId="77777777" w:rsidR="000D52BA" w:rsidRPr="00E609F8" w:rsidRDefault="000D52BA" w:rsidP="000D52BA">
      <w:pPr>
        <w:pStyle w:val="Heading1"/>
        <w:rPr>
          <w:color w:val="000000" w:themeColor="text1"/>
          <w:lang w:val="es-PR"/>
        </w:rPr>
      </w:pPr>
      <w:r w:rsidRPr="00E609F8">
        <w:rPr>
          <w:color w:val="000000" w:themeColor="text1"/>
          <w:lang w:val="es-PR"/>
        </w:rPr>
        <w:t>Artículo 11.— Se deroga la Sección 4030.05 de la Ley 1-2011, según enmendada, conocida como “Código de Rentas Internas de Puerto Rico de 2011”, para que se lea como sigue: </w:t>
      </w:r>
    </w:p>
    <w:p w14:paraId="5B9DA70B" w14:textId="77777777" w:rsidR="000D52BA" w:rsidRPr="00E609F8" w:rsidRDefault="000D52BA" w:rsidP="000D52BA">
      <w:pPr>
        <w:pStyle w:val="Heading1"/>
        <w:ind w:firstLine="360"/>
        <w:rPr>
          <w:b/>
          <w:bCs/>
          <w:color w:val="000000" w:themeColor="text1"/>
          <w:lang w:val="es-PR"/>
        </w:rPr>
      </w:pPr>
      <w:r w:rsidRPr="00E609F8">
        <w:rPr>
          <w:color w:val="000000" w:themeColor="text1"/>
          <w:lang w:val="es-PR"/>
        </w:rPr>
        <w:t xml:space="preserve">“Sección 4030.05.— </w:t>
      </w:r>
      <w:r w:rsidRPr="00E609F8">
        <w:rPr>
          <w:b/>
          <w:bCs/>
          <w:color w:val="000000" w:themeColor="text1"/>
          <w:lang w:val="es-PR"/>
        </w:rPr>
        <w:t xml:space="preserve">[Exención para Material Promocional.] </w:t>
      </w:r>
      <w:r w:rsidRPr="00E609F8">
        <w:rPr>
          <w:i/>
          <w:iCs/>
          <w:color w:val="000000" w:themeColor="text1"/>
          <w:lang w:val="es-PR"/>
        </w:rPr>
        <w:t>Reservada</w:t>
      </w:r>
    </w:p>
    <w:p w14:paraId="4A1E4A88" w14:textId="77777777" w:rsidR="000D52BA" w:rsidRPr="00E609F8" w:rsidRDefault="000D52BA" w:rsidP="000D52BA">
      <w:pPr>
        <w:pStyle w:val="Body"/>
        <w:spacing w:line="480" w:lineRule="auto"/>
        <w:ind w:firstLine="720"/>
        <w:jc w:val="both"/>
        <w:rPr>
          <w:b/>
          <w:bCs/>
          <w:color w:val="000000" w:themeColor="text1"/>
          <w:lang w:val="es-PR"/>
        </w:rPr>
      </w:pPr>
      <w:r w:rsidRPr="00E609F8">
        <w:rPr>
          <w:rFonts w:ascii="Book Antiqua" w:hAnsi="Book Antiqua"/>
          <w:b/>
          <w:bCs/>
          <w:color w:val="000000" w:themeColor="text1"/>
          <w:sz w:val="24"/>
          <w:szCs w:val="24"/>
          <w:lang w:val="es-PR"/>
        </w:rPr>
        <w:t>[(a) Estará exenta del pago del impuesto sobre uso, toda propiedad mueble tangible que sea considerada material promocional introducida a Puerto Rico. Disponiéndose que para disfrutar de esta exención la entidad tendrá que presentar el Certificado de Importación de Material Promocional Exento del Impuesto sobre Uso otorgado por la Compañía de Turismo de Puerto Rico.</w:t>
      </w:r>
    </w:p>
    <w:p w14:paraId="071E0EB7" w14:textId="77777777" w:rsidR="000D52BA" w:rsidRPr="00E609F8" w:rsidRDefault="000D52BA" w:rsidP="000D52BA">
      <w:pPr>
        <w:pStyle w:val="Body"/>
        <w:spacing w:line="480" w:lineRule="auto"/>
        <w:ind w:firstLine="720"/>
        <w:jc w:val="both"/>
        <w:rPr>
          <w:b/>
          <w:bCs/>
          <w:color w:val="000000" w:themeColor="text1"/>
          <w:lang w:val="es-PR"/>
        </w:rPr>
      </w:pPr>
      <w:r w:rsidRPr="00E609F8">
        <w:rPr>
          <w:rFonts w:ascii="Book Antiqua" w:hAnsi="Book Antiqua"/>
          <w:b/>
          <w:bCs/>
          <w:color w:val="000000" w:themeColor="text1"/>
          <w:sz w:val="24"/>
          <w:szCs w:val="24"/>
          <w:lang w:val="es-PR"/>
        </w:rPr>
        <w:t>(b) Se define como material promocional (conocido en inglés como “giveaways”) toda aquella propiedad mueble tangible que sea entregada libre de costo con un fin promocional por un promotor, exhibidor, según dicho término se define en la 4060.04, planificador de reuniones o congresos, a un participante de una convención, exposición comercial “trade show”, foro, reunión, viaje de incentivos, y congreso.</w:t>
      </w:r>
    </w:p>
    <w:p w14:paraId="272724A6" w14:textId="77777777" w:rsidR="000D52BA" w:rsidRPr="00E609F8" w:rsidRDefault="000D52BA" w:rsidP="000D52BA">
      <w:pPr>
        <w:pStyle w:val="Body"/>
        <w:spacing w:line="480" w:lineRule="auto"/>
        <w:ind w:firstLine="720"/>
        <w:jc w:val="both"/>
        <w:rPr>
          <w:b/>
          <w:bCs/>
          <w:color w:val="000000" w:themeColor="text1"/>
          <w:lang w:val="es-PR"/>
        </w:rPr>
      </w:pPr>
      <w:r w:rsidRPr="00E609F8">
        <w:rPr>
          <w:rFonts w:ascii="Book Antiqua" w:hAnsi="Book Antiqua"/>
          <w:b/>
          <w:bCs/>
          <w:color w:val="000000" w:themeColor="text1"/>
          <w:sz w:val="24"/>
          <w:szCs w:val="24"/>
          <w:lang w:val="es-PR"/>
        </w:rPr>
        <w:lastRenderedPageBreak/>
        <w:t xml:space="preserve">(c) Los premios, regalos, emolumentos o galardones otorgados como parte de un viaje de incentivos o reconocimientos, estarán cobijados bajo las disposiciones de esta sección. </w:t>
      </w:r>
    </w:p>
    <w:p w14:paraId="23B5C78D" w14:textId="77777777" w:rsidR="000D52BA" w:rsidRPr="00E609F8" w:rsidRDefault="000D52BA" w:rsidP="000D52BA">
      <w:pPr>
        <w:pStyle w:val="Body"/>
        <w:spacing w:line="480" w:lineRule="auto"/>
        <w:ind w:firstLine="720"/>
        <w:jc w:val="both"/>
        <w:rPr>
          <w:b/>
          <w:bCs/>
          <w:color w:val="000000" w:themeColor="text1"/>
          <w:lang w:val="es-PR"/>
        </w:rPr>
      </w:pPr>
      <w:r w:rsidRPr="00E609F8">
        <w:rPr>
          <w:rFonts w:ascii="Book Antiqua" w:hAnsi="Book Antiqua"/>
          <w:b/>
          <w:bCs/>
          <w:color w:val="000000" w:themeColor="text1"/>
          <w:sz w:val="24"/>
          <w:szCs w:val="24"/>
          <w:lang w:val="es-PR"/>
        </w:rPr>
        <w:t>(d) El Certificado de Importación de Material Promocional Exento del Impuesto sobre Uso es el documento provisto por la Compañía de Turismo de Puerto Rico certificando que el material promocional introducido a Puerto Rico será utilizado en una convención, exposición comercial “trade show”, foro, reunión, viaje de incentivos o congreso. Dicho certificado tendrá que ser provisto por el importador para el levante del material promocional libre del impuesto sobre uso. Antes de emitir dicho certificado, la Compañía de Turismo de Puerto Rico deberá solicitar la documentación necesaria para corroborar que el material promocional importado se utilizará como parte de una de las actividades mencionadas en este apartado.]</w:t>
      </w:r>
    </w:p>
    <w:p w14:paraId="0FB53E7F" w14:textId="77777777" w:rsidR="000D52BA" w:rsidRPr="00E609F8" w:rsidRDefault="000D52BA" w:rsidP="000D52BA">
      <w:pPr>
        <w:pStyle w:val="Heading1"/>
        <w:rPr>
          <w:color w:val="000000" w:themeColor="text1"/>
          <w:lang w:val="es-PR"/>
        </w:rPr>
      </w:pPr>
      <w:r w:rsidRPr="00E609F8">
        <w:rPr>
          <w:color w:val="000000" w:themeColor="text1"/>
          <w:lang w:val="es-PR"/>
        </w:rPr>
        <w:t>Artículo 12.— Se deroga la Sección 4030.17 de la Ley 1-2011, según enmendada, conocida como “Código de Rentas Internas de Puerto Rico de 2011”, para que se lea como sigue: </w:t>
      </w:r>
    </w:p>
    <w:p w14:paraId="372B528C" w14:textId="77777777" w:rsidR="000D52BA" w:rsidRPr="00E609F8" w:rsidRDefault="000D52BA" w:rsidP="000D52BA">
      <w:pPr>
        <w:pStyle w:val="Heading1"/>
        <w:ind w:firstLine="360"/>
        <w:rPr>
          <w:b/>
          <w:bCs/>
          <w:color w:val="000000" w:themeColor="text1"/>
          <w:lang w:val="es-PR"/>
        </w:rPr>
      </w:pPr>
      <w:r w:rsidRPr="00E609F8">
        <w:rPr>
          <w:color w:val="000000" w:themeColor="text1"/>
          <w:lang w:val="es-PR"/>
        </w:rPr>
        <w:t xml:space="preserve">“Sección 4030.17.— </w:t>
      </w:r>
      <w:r w:rsidRPr="00E609F8">
        <w:rPr>
          <w:b/>
          <w:bCs/>
          <w:color w:val="000000" w:themeColor="text1"/>
          <w:lang w:val="es-PR"/>
        </w:rPr>
        <w:t xml:space="preserve">[Exención para Equipos Solares Eléctricos.] </w:t>
      </w:r>
      <w:r w:rsidRPr="00E609F8">
        <w:rPr>
          <w:i/>
          <w:iCs/>
          <w:color w:val="000000" w:themeColor="text1"/>
          <w:lang w:val="es-PR"/>
        </w:rPr>
        <w:t>Reservada</w:t>
      </w:r>
    </w:p>
    <w:p w14:paraId="140A987B" w14:textId="77777777" w:rsidR="000D52BA" w:rsidRPr="00E609F8" w:rsidRDefault="000D52BA" w:rsidP="000D52BA">
      <w:pPr>
        <w:pStyle w:val="Body"/>
        <w:spacing w:line="480" w:lineRule="auto"/>
        <w:ind w:firstLine="720"/>
        <w:jc w:val="both"/>
        <w:rPr>
          <w:color w:val="000000" w:themeColor="text1"/>
          <w:lang w:val="es-PR"/>
        </w:rPr>
      </w:pPr>
      <w:r w:rsidRPr="00E609F8">
        <w:rPr>
          <w:rFonts w:ascii="Book Antiqua" w:hAnsi="Book Antiqua"/>
          <w:b/>
          <w:bCs/>
          <w:color w:val="000000" w:themeColor="text1"/>
          <w:sz w:val="24"/>
          <w:szCs w:val="24"/>
          <w:lang w:val="es-PR"/>
        </w:rPr>
        <w:t xml:space="preserve">[Estarán exentos del Impuesto sobre Ventas y Uso, los equipos solares eléctricos utilizados para producir y/o almacenar energía eléctrica, incluyendo sus accesorios y piezas, siempre que sean necesarios para que éstos puedan cumplir con tal propósito, y el arrendamiento de los mismos, según definido en los Artículos 3(B), (C), (D), (E), (F) y (G) de la Ley 76-1994, según enmendada, conocida como “Ley para Regular los Contratos de Arrendamientos de Bienes Muebles”. Para cualificar para esta exención, </w:t>
      </w:r>
      <w:r w:rsidRPr="00E609F8">
        <w:rPr>
          <w:rFonts w:ascii="Book Antiqua" w:hAnsi="Book Antiqua"/>
          <w:b/>
          <w:bCs/>
          <w:color w:val="000000" w:themeColor="text1"/>
          <w:sz w:val="24"/>
          <w:szCs w:val="24"/>
          <w:lang w:val="es-PR"/>
        </w:rPr>
        <w:lastRenderedPageBreak/>
        <w:t>el distribuidor o fabricante deberá presentar ante el Departamento una certificación declarando que el equipo solar eléctrico o los accesorios y piezas para tales equipos, cumplen con las normas y especificaciones establecidos por la Administración de Asuntos de Energía, así como una certificación declarando que el equipo solar eléctrico está garantizado por cinco (5) años o más.]</w:t>
      </w:r>
    </w:p>
    <w:p w14:paraId="7588756E" w14:textId="77777777" w:rsidR="000D52BA" w:rsidRPr="00E609F8" w:rsidRDefault="000D52BA" w:rsidP="000D52BA">
      <w:pPr>
        <w:pStyle w:val="Heading1"/>
        <w:rPr>
          <w:color w:val="000000" w:themeColor="text1"/>
          <w:lang w:val="es-PR"/>
        </w:rPr>
      </w:pPr>
      <w:r w:rsidRPr="00E609F8">
        <w:rPr>
          <w:color w:val="000000" w:themeColor="text1"/>
          <w:lang w:val="es-PR"/>
        </w:rPr>
        <w:t>Artículo 13.— Se enmiendan los incisos (D) y (F) y se añade un inciso (G) al párrafo (2) del apartado (c) de la Sección 6041.11 de la Ley 1-2011, según enmendada, conocida como “Código de Rentas Internas de Puerto Rico de 2011”, para que se lea como sigue: </w:t>
      </w:r>
    </w:p>
    <w:p w14:paraId="0F0DF97F" w14:textId="77777777" w:rsidR="000D52BA" w:rsidRPr="00E609F8" w:rsidRDefault="000D52BA" w:rsidP="000D52BA">
      <w:pPr>
        <w:pStyle w:val="Heading1"/>
        <w:ind w:firstLine="360"/>
        <w:rPr>
          <w:color w:val="000000" w:themeColor="text1"/>
          <w:lang w:val="es-PR"/>
        </w:rPr>
      </w:pPr>
      <w:r w:rsidRPr="00E609F8">
        <w:rPr>
          <w:color w:val="000000" w:themeColor="text1"/>
          <w:lang w:val="es-PR"/>
        </w:rPr>
        <w:t>“Sección 6041.11.—Penalidad Por Dejar de Rendir Ciertas Declaraciones Informativas, Planillas y Estados de Reconciliación, Informes de Transacciones, Declaraciones de Corredores o Negociantes de Valores.</w:t>
      </w:r>
    </w:p>
    <w:p w14:paraId="26292C6B" w14:textId="77777777" w:rsidR="000D52BA" w:rsidRPr="00E609F8" w:rsidRDefault="000D52BA" w:rsidP="000D52BA">
      <w:pPr>
        <w:numPr>
          <w:ilvl w:val="0"/>
          <w:numId w:val="23"/>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1499CFF4" w14:textId="77777777" w:rsidR="000D52BA" w:rsidRPr="00E609F8" w:rsidRDefault="000D52BA" w:rsidP="000D52BA">
      <w:pPr>
        <w:numPr>
          <w:ilvl w:val="0"/>
          <w:numId w:val="23"/>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6BCB7744" w14:textId="77777777" w:rsidR="000D52BA" w:rsidRPr="00E609F8" w:rsidRDefault="000D52BA" w:rsidP="000D52BA">
      <w:pPr>
        <w:numPr>
          <w:ilvl w:val="0"/>
          <w:numId w:val="23"/>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77AB4B4F" w14:textId="77777777" w:rsidR="000D52BA" w:rsidRPr="00E609F8" w:rsidRDefault="000D52BA" w:rsidP="000D52BA">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 …</w:t>
      </w:r>
    </w:p>
    <w:p w14:paraId="01750D37" w14:textId="77777777" w:rsidR="000D52BA" w:rsidRPr="00E609F8" w:rsidRDefault="000D52BA" w:rsidP="000D52BA">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 …</w:t>
      </w:r>
    </w:p>
    <w:p w14:paraId="02889FAC" w14:textId="77777777" w:rsidR="000D52BA" w:rsidRPr="00E609F8" w:rsidRDefault="000D52BA" w:rsidP="000D52BA">
      <w:pPr>
        <w:spacing w:after="160" w:line="480" w:lineRule="auto"/>
        <w:ind w:left="21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4E622ECD" w14:textId="77777777" w:rsidR="000D52BA" w:rsidRPr="00E609F8" w:rsidRDefault="000D52BA" w:rsidP="000D52BA">
      <w:pPr>
        <w:spacing w:after="160" w:line="480" w:lineRule="auto"/>
        <w:ind w:left="21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27AA3EFC" w14:textId="77777777" w:rsidR="000D52BA" w:rsidRPr="00E609F8" w:rsidRDefault="000D52BA" w:rsidP="000D52BA">
      <w:pPr>
        <w:spacing w:after="160" w:line="480" w:lineRule="auto"/>
        <w:ind w:left="21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(C) …</w:t>
      </w:r>
    </w:p>
    <w:p w14:paraId="493EFFDF" w14:textId="77777777" w:rsidR="000D52BA" w:rsidRPr="00E609F8" w:rsidRDefault="000D52BA" w:rsidP="000D52BA">
      <w:pPr>
        <w:spacing w:after="160" w:line="480" w:lineRule="auto"/>
        <w:ind w:left="21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 xml:space="preserve">(D) Educación Continua para Profesiones y Oficios, </w:t>
      </w:r>
      <w:r w:rsidRPr="00E609F8">
        <w:rPr>
          <w:rFonts w:ascii="Book Antiqua" w:hAnsi="Book Antiqua" w:cs="Segoe UI"/>
          <w:b/>
          <w:bCs/>
          <w:color w:val="000000" w:themeColor="text1"/>
          <w:lang w:val="es-PR"/>
        </w:rPr>
        <w:t>[y]</w:t>
      </w:r>
      <w:r w:rsidRPr="00E609F8">
        <w:rPr>
          <w:rFonts w:ascii="Book Antiqua" w:hAnsi="Book Antiqua" w:cs="Segoe UI"/>
          <w:color w:val="000000" w:themeColor="text1"/>
          <w:lang w:val="es-PR"/>
        </w:rPr>
        <w:t xml:space="preserve"> </w:t>
      </w:r>
    </w:p>
    <w:p w14:paraId="10EADBF1" w14:textId="77777777" w:rsidR="000D52BA" w:rsidRPr="00E609F8" w:rsidRDefault="000D52BA" w:rsidP="000D52BA">
      <w:pPr>
        <w:spacing w:after="160" w:line="480" w:lineRule="auto"/>
        <w:ind w:left="144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(E) …</w:t>
      </w:r>
    </w:p>
    <w:p w14:paraId="1D045C6F" w14:textId="77777777" w:rsidR="000D52BA" w:rsidRPr="00E609F8" w:rsidRDefault="000D52BA" w:rsidP="000D52BA">
      <w:pPr>
        <w:spacing w:after="160" w:line="480" w:lineRule="auto"/>
        <w:ind w:left="1440" w:firstLine="72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(F) Telecomunicaciones, servicios de acceso a Internet o servicios de televisión por cable o satélite en Puerto Rico, o cualquier combinación de éstos, anuncios o primas de seguro</w:t>
      </w:r>
      <w:r w:rsidRPr="00E609F8">
        <w:rPr>
          <w:rFonts w:ascii="Book Antiqua" w:hAnsi="Book Antiqua" w:cs="Segoe UI"/>
          <w:b/>
          <w:bCs/>
          <w:color w:val="000000" w:themeColor="text1"/>
          <w:lang w:val="es-PR"/>
        </w:rPr>
        <w:t>[.]</w:t>
      </w:r>
      <w:r w:rsidRPr="00E609F8">
        <w:rPr>
          <w:rFonts w:ascii="Book Antiqua" w:hAnsi="Book Antiqua" w:cs="Segoe UI"/>
          <w:i/>
          <w:iCs/>
          <w:color w:val="000000" w:themeColor="text1"/>
          <w:lang w:val="es-PR"/>
        </w:rPr>
        <w:t>,</w:t>
      </w:r>
      <w:r w:rsidRPr="00E609F8">
        <w:rPr>
          <w:rFonts w:ascii="Book Antiqua" w:hAnsi="Book Antiqua" w:cs="Segoe UI"/>
          <w:b/>
          <w:bCs/>
          <w:i/>
          <w:iCs/>
          <w:color w:val="000000" w:themeColor="text1"/>
          <w:lang w:val="es-PR"/>
        </w:rPr>
        <w:t xml:space="preserve"> </w:t>
      </w:r>
      <w:r w:rsidRPr="00E609F8">
        <w:rPr>
          <w:rFonts w:ascii="Book Antiqua" w:hAnsi="Book Antiqua" w:cs="Segoe UI"/>
          <w:i/>
          <w:iCs/>
          <w:color w:val="000000" w:themeColor="text1"/>
          <w:lang w:val="es-PR"/>
        </w:rPr>
        <w:t xml:space="preserve">y </w:t>
      </w:r>
    </w:p>
    <w:p w14:paraId="4B5AC46C" w14:textId="77777777" w:rsidR="000D52BA" w:rsidRPr="00E609F8" w:rsidRDefault="000D52BA" w:rsidP="000D52BA">
      <w:pPr>
        <w:spacing w:after="160" w:line="480" w:lineRule="auto"/>
        <w:ind w:left="1440" w:firstLine="720"/>
        <w:jc w:val="both"/>
        <w:textAlignment w:val="baseline"/>
        <w:rPr>
          <w:rFonts w:ascii="Book Antiqua" w:hAnsi="Book Antiqua" w:cs="Segoe UI"/>
          <w:color w:val="000000" w:themeColor="text1"/>
          <w:lang w:val="es-PR"/>
        </w:rPr>
      </w:pPr>
      <w:r w:rsidRPr="00E609F8">
        <w:rPr>
          <w:rFonts w:ascii="Book Antiqua" w:hAnsi="Book Antiqua" w:cs="Segoe UI"/>
          <w:i/>
          <w:iCs/>
          <w:color w:val="000000" w:themeColor="text1"/>
          <w:lang w:val="es-PR"/>
        </w:rPr>
        <w:t>(G) Cargos Bancarios, Procesamiento de Pago o Servicios Financieros preparadas por el comerciante que paga por dichos cargos a las instituciones bancarias y procesadores de pago.</w:t>
      </w:r>
      <w:r w:rsidRPr="00E609F8">
        <w:rPr>
          <w:rFonts w:ascii="Book Antiqua" w:hAnsi="Book Antiqua" w:cs="Segoe UI"/>
          <w:color w:val="000000" w:themeColor="text1"/>
          <w:lang w:val="es-PR"/>
        </w:rPr>
        <w:t>”</w:t>
      </w:r>
    </w:p>
    <w:p w14:paraId="742E429D" w14:textId="77777777" w:rsidR="000D52BA" w:rsidRPr="00E609F8" w:rsidRDefault="000D52BA" w:rsidP="000D52BA">
      <w:pPr>
        <w:spacing w:after="160" w:line="480" w:lineRule="auto"/>
        <w:ind w:left="720" w:firstLine="720"/>
        <w:jc w:val="both"/>
        <w:textAlignment w:val="baseline"/>
        <w:rPr>
          <w:rFonts w:ascii="Book Antiqua" w:hAnsi="Book Antiqua" w:cs="Segoe UI"/>
          <w:i/>
          <w:iCs/>
          <w:color w:val="000000" w:themeColor="text1"/>
          <w:lang w:val="es-PR"/>
        </w:rPr>
      </w:pPr>
      <w:r w:rsidRPr="00E609F8">
        <w:rPr>
          <w:rFonts w:ascii="Book Antiqua" w:hAnsi="Book Antiqua" w:cs="Segoe UI"/>
          <w:i/>
          <w:iCs/>
          <w:color w:val="000000" w:themeColor="text1"/>
          <w:lang w:val="es-PR"/>
        </w:rPr>
        <w:t>(3) Planillas de Entidades Conducto que no reflejen operaciones y que se radican reflejando cero ingresos, gastos, ganancias, perdidas, deducciones o créditos y aunque se radiquen fuera de la fecha de vencimiento establecida en la Sección 1061.03 de este Código.</w:t>
      </w:r>
    </w:p>
    <w:p w14:paraId="2DBE8A01" w14:textId="77777777" w:rsidR="000D52BA" w:rsidRPr="00E609F8" w:rsidRDefault="000D52BA" w:rsidP="000D52BA">
      <w:pPr>
        <w:pStyle w:val="Heading1"/>
        <w:rPr>
          <w:color w:val="000000" w:themeColor="text1"/>
          <w:lang w:val="es-PR"/>
        </w:rPr>
      </w:pPr>
      <w:r w:rsidRPr="00E609F8">
        <w:rPr>
          <w:color w:val="000000" w:themeColor="text1"/>
          <w:lang w:val="es-PR"/>
        </w:rPr>
        <w:t>Artículo 14.— Reglamentación.</w:t>
      </w:r>
    </w:p>
    <w:p w14:paraId="01C123B4" w14:textId="77777777" w:rsidR="000D52BA" w:rsidRPr="00E609F8" w:rsidRDefault="000D52BA" w:rsidP="000D52BA">
      <w:pPr>
        <w:pStyle w:val="Body"/>
        <w:spacing w:line="480" w:lineRule="auto"/>
        <w:ind w:firstLine="720"/>
        <w:jc w:val="both"/>
        <w:rPr>
          <w:rFonts w:ascii="Book Antiqua" w:hAnsi="Book Antiqua"/>
          <w:color w:val="000000" w:themeColor="text1"/>
          <w:sz w:val="24"/>
          <w:szCs w:val="24"/>
          <w:lang w:val="es-PR"/>
        </w:rPr>
      </w:pPr>
      <w:r w:rsidRPr="00E609F8">
        <w:rPr>
          <w:rFonts w:ascii="Book Antiqua" w:hAnsi="Book Antiqua"/>
          <w:color w:val="000000" w:themeColor="text1"/>
          <w:sz w:val="24"/>
          <w:szCs w:val="24"/>
          <w:lang w:val="es-PR"/>
        </w:rPr>
        <w:t xml:space="preserve">Se ordena y faculta al Secretario del Departamento de Hacienda que enmiende toda regla, reglamento, carta circular, interpretación oficial o cualquier otra norma o documento administrativo que sea necesario para poder cumplir y hacer cumplir los propósitos de esta Ley. </w:t>
      </w:r>
    </w:p>
    <w:p w14:paraId="698373F9" w14:textId="77777777" w:rsidR="000D52BA" w:rsidRPr="00E609F8" w:rsidRDefault="000D52BA" w:rsidP="000D52BA">
      <w:pPr>
        <w:pStyle w:val="Heading1"/>
        <w:rPr>
          <w:color w:val="000000" w:themeColor="text1"/>
          <w:lang w:val="es-PR"/>
        </w:rPr>
      </w:pPr>
      <w:r w:rsidRPr="00E609F8">
        <w:rPr>
          <w:color w:val="000000" w:themeColor="text1"/>
          <w:lang w:val="es-PR"/>
        </w:rPr>
        <w:t>Artículo 15.— Cláusula de Separabilidad.</w:t>
      </w:r>
    </w:p>
    <w:p w14:paraId="73051184" w14:textId="77777777" w:rsidR="000D52BA" w:rsidRPr="00E609F8" w:rsidRDefault="000D52BA" w:rsidP="000D52BA">
      <w:pPr>
        <w:pStyle w:val="Body"/>
        <w:spacing w:line="480" w:lineRule="auto"/>
        <w:ind w:firstLine="720"/>
        <w:jc w:val="both"/>
        <w:rPr>
          <w:rFonts w:ascii="Book Antiqua" w:hAnsi="Book Antiqua"/>
          <w:color w:val="000000" w:themeColor="text1"/>
          <w:sz w:val="24"/>
          <w:szCs w:val="24"/>
          <w:lang w:val="es-PR"/>
        </w:rPr>
      </w:pPr>
      <w:r w:rsidRPr="00E609F8">
        <w:rPr>
          <w:rFonts w:ascii="Book Antiqua" w:hAnsi="Book Antiqua"/>
          <w:color w:val="000000" w:themeColor="text1"/>
          <w:sz w:val="24"/>
          <w:szCs w:val="24"/>
          <w:lang w:val="es-PR"/>
        </w:rPr>
        <w:t>Si cualquier artículo, disposición, párrafo, inciso o parte de esta Ley fuere declarada nula o inconstitucional por cualquier Tribunal con competencia, se entenderá que el resto de sus disposiciones mantendrá su validez y vigencia.</w:t>
      </w:r>
    </w:p>
    <w:p w14:paraId="247DE1AD" w14:textId="77777777" w:rsidR="000D52BA" w:rsidRPr="00E609F8" w:rsidRDefault="000D52BA" w:rsidP="000D52BA">
      <w:pPr>
        <w:pStyle w:val="Heading1"/>
        <w:rPr>
          <w:color w:val="000000" w:themeColor="text1"/>
          <w:lang w:val="es-PR"/>
        </w:rPr>
      </w:pPr>
      <w:r w:rsidRPr="00E609F8">
        <w:rPr>
          <w:color w:val="000000" w:themeColor="text1"/>
          <w:lang w:val="es-PR"/>
        </w:rPr>
        <w:lastRenderedPageBreak/>
        <w:t>Artículo 16.— Vigencia.</w:t>
      </w:r>
    </w:p>
    <w:p w14:paraId="79550695" w14:textId="4D16F1B3" w:rsidR="00FF2214" w:rsidRPr="000D52BA" w:rsidRDefault="000D52BA" w:rsidP="000D52BA">
      <w:pPr>
        <w:pStyle w:val="Body"/>
        <w:spacing w:line="480" w:lineRule="auto"/>
        <w:ind w:firstLine="720"/>
        <w:jc w:val="both"/>
        <w:rPr>
          <w:rFonts w:ascii="Book Antiqua" w:hAnsi="Book Antiqua"/>
          <w:color w:val="000000" w:themeColor="text1"/>
          <w:sz w:val="24"/>
          <w:szCs w:val="24"/>
          <w:lang w:val="es-PR"/>
        </w:rPr>
      </w:pPr>
      <w:r w:rsidRPr="00E609F8">
        <w:rPr>
          <w:rFonts w:ascii="Book Antiqua" w:hAnsi="Book Antiqua"/>
          <w:color w:val="000000" w:themeColor="text1"/>
          <w:sz w:val="24"/>
          <w:szCs w:val="24"/>
          <w:lang w:val="es-PR"/>
        </w:rPr>
        <w:t>Esta Ley entrará en vigor inmediatamente después de su aprobación. Disponiéndose que las disposiciones de los Artículos 11 y 12 aplicarán a transacciones efectuadas a partir del 1 de julio de 2026.</w:t>
      </w:r>
    </w:p>
    <w:sectPr w:rsidR="00FF2214" w:rsidRPr="000D52BA" w:rsidSect="000D52BA">
      <w:headerReference w:type="even" r:id="rId12"/>
      <w:headerReference w:type="default" r:id="rId13"/>
      <w:footerReference w:type="default" r:id="rId14"/>
      <w:headerReference w:type="first" r:id="rId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C4CB1" w14:textId="77777777" w:rsidR="00322B34" w:rsidRDefault="00322B34">
      <w:r>
        <w:separator/>
      </w:r>
    </w:p>
  </w:endnote>
  <w:endnote w:type="continuationSeparator" w:id="0">
    <w:p w14:paraId="60E29414" w14:textId="77777777" w:rsidR="00322B34" w:rsidRDefault="00322B34">
      <w:r>
        <w:continuationSeparator/>
      </w:r>
    </w:p>
  </w:endnote>
  <w:endnote w:type="continuationNotice" w:id="1">
    <w:p w14:paraId="11664D23" w14:textId="77777777" w:rsidR="00322B34" w:rsidRDefault="00322B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0F14672B-8852-476B-B7DC-766E5069019E}"/>
    <w:embedBold r:id="rId2" w:fontKey="{805B5CAF-2832-485D-A565-1220565A7834}"/>
    <w:embedItalic r:id="rId3" w:fontKey="{AAB64F72-1D65-4DF4-821F-3B0B1BB6DF3A}"/>
    <w:embedBoldItalic r:id="rId4" w:fontKey="{779AFAE4-924E-4076-B219-F72662104271}"/>
  </w:font>
  <w:font w:name="Segoe UI">
    <w:panose1 w:val="020B0502040204020203"/>
    <w:charset w:val="00"/>
    <w:family w:val="swiss"/>
    <w:pitch w:val="variable"/>
    <w:sig w:usb0="E4002EFF" w:usb1="C000E47F" w:usb2="00000009" w:usb3="00000000" w:csb0="000001FF" w:csb1="00000000"/>
    <w:embedRegular r:id="rId5" w:fontKey="{39C06233-4C75-462D-A180-9F998140141D}"/>
    <w:embedBold r:id="rId6" w:fontKey="{BDDC521A-7A60-4C6F-B3E8-E7B0ED08AE62}"/>
    <w:embedItalic r:id="rId7" w:fontKey="{929DE9DC-3B31-4DB0-9E00-3759D7A81771}"/>
    <w:embedBoldItalic r:id="rId8" w:fontKey="{C992E9E3-20DD-4173-A7ED-E3BE27982B3A}"/>
  </w:font>
  <w:font w:name="Georgia">
    <w:panose1 w:val="02040502050405020303"/>
    <w:charset w:val="00"/>
    <w:family w:val="roman"/>
    <w:pitch w:val="variable"/>
    <w:sig w:usb0="00000287" w:usb1="00000000" w:usb2="00000000" w:usb3="00000000" w:csb0="0000009F" w:csb1="00000000"/>
    <w:embedRegular r:id="rId9" w:fontKey="{599D6BC9-8875-4E37-A46B-03F128491065}"/>
    <w:embedItalic r:id="rId10" w:fontKey="{953DEC17-D27A-4192-A79E-DADD4798E85F}"/>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11" w:fontKey="{10408453-7DB7-4726-845C-E33B87126ED8}"/>
  </w:font>
  <w:font w:name="DXANP N+ Serifa B T,">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embedRegular r:id="rId12" w:fontKey="{EAC08E47-0611-4CE3-91FF-ABB8B7C8DA68}"/>
    <w:embedBold r:id="rId13" w:fontKey="{2D27F938-DB8E-44BA-B75F-C701593F1685}"/>
  </w:font>
  <w:font w:name="Aptos">
    <w:charset w:val="00"/>
    <w:family w:val="swiss"/>
    <w:pitch w:val="variable"/>
    <w:sig w:usb0="20000287" w:usb1="00000003" w:usb2="00000000" w:usb3="00000000" w:csb0="0000019F" w:csb1="00000000"/>
    <w:embedItalic r:id="rId14" w:fontKey="{464CC1AC-0276-434A-A42D-A42B6281AA6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5" w:fontKey="{2EDCC700-032B-4254-B4E7-3945C1B889C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1ECB2" w14:textId="77777777" w:rsidR="000D52BA" w:rsidRDefault="000D52BA">
    <w:pPr>
      <w:pStyle w:val="Footer"/>
    </w:pPr>
    <w:r>
      <w:rPr>
        <w:noProof/>
      </w:rPr>
      <mc:AlternateContent>
        <mc:Choice Requires="wps">
          <w:drawing>
            <wp:anchor distT="45720" distB="45720" distL="114300" distR="114300" simplePos="0" relativeHeight="251658752" behindDoc="0" locked="0" layoutInCell="1" allowOverlap="1" wp14:anchorId="6881EA82" wp14:editId="5B0E732A">
              <wp:simplePos x="0" y="0"/>
              <wp:positionH relativeFrom="margin">
                <wp:align>center</wp:align>
              </wp:positionH>
              <wp:positionV relativeFrom="paragraph">
                <wp:posOffset>-290195</wp:posOffset>
              </wp:positionV>
              <wp:extent cx="4364966" cy="1404620"/>
              <wp:effectExtent l="0" t="0" r="0" b="1905"/>
              <wp:wrapNone/>
              <wp:docPr id="19336279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4966" cy="1404620"/>
                      </a:xfrm>
                      <a:prstGeom prst="rect">
                        <a:avLst/>
                      </a:prstGeom>
                      <a:solidFill>
                        <a:srgbClr val="FFFFFF"/>
                      </a:solidFill>
                      <a:ln w="9525">
                        <a:noFill/>
                        <a:miter lim="800000"/>
                        <a:headEnd/>
                        <a:tailEnd/>
                      </a:ln>
                    </wps:spPr>
                    <wps:txbx>
                      <w:txbxContent>
                        <w:p w14:paraId="6FA326D8" w14:textId="77777777" w:rsidR="000D52BA" w:rsidRPr="00A920F9" w:rsidRDefault="000D52BA" w:rsidP="00D51D3B">
                          <w:pPr>
                            <w:jc w:val="center"/>
                            <w:rPr>
                              <w:rFonts w:ascii="Book Antiqua" w:hAnsi="Book Antiqua"/>
                              <w:b/>
                              <w:bCs/>
                              <w:color w:val="FF0000"/>
                              <w:lang w:val="es-PR"/>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81EA82" id="_x0000_t202" coordsize="21600,21600" o:spt="202" path="m,l,21600r21600,l21600,xe">
              <v:stroke joinstyle="miter"/>
              <v:path gradientshapeok="t" o:connecttype="rect"/>
            </v:shapetype>
            <v:shape id="Text Box 2" o:spid="_x0000_s1027" type="#_x0000_t202" style="position:absolute;margin-left:0;margin-top:-22.85pt;width:343.7pt;height:110.6pt;z-index:2516587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" stroked="f">
              <v:textbox style="mso-fit-shape-to-text:t">
                <w:txbxContent>
                  <w:p w14:paraId="6FA326D8" w14:textId="77777777" w:rsidR="000D52BA" w:rsidRPr="00A920F9" w:rsidRDefault="000D52BA" w:rsidP="00D51D3B">
                    <w:pPr>
                      <w:jc w:val="center"/>
                      <w:rPr>
                        <w:rFonts w:ascii="Book Antiqua" w:hAnsi="Book Antiqua"/>
                        <w:b/>
                        <w:bCs/>
                        <w:color w:val="FF0000"/>
                        <w:lang w:val="es-PR"/>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56F03" w14:textId="77777777" w:rsidR="00322B34" w:rsidRDefault="00322B34">
      <w:r>
        <w:separator/>
      </w:r>
    </w:p>
  </w:footnote>
  <w:footnote w:type="continuationSeparator" w:id="0">
    <w:p w14:paraId="5F28D034" w14:textId="77777777" w:rsidR="00322B34" w:rsidRDefault="00322B34">
      <w:r>
        <w:continuationSeparator/>
      </w:r>
    </w:p>
  </w:footnote>
  <w:footnote w:type="continuationNotice" w:id="1">
    <w:p w14:paraId="0B92F07D" w14:textId="77777777" w:rsidR="00322B34" w:rsidRDefault="00322B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40544DBD" w:rsidR="00290109" w:rsidRDefault="00E74FAD">
    <w:pPr>
      <w:tabs>
        <w:tab w:val="center" w:pos="4320"/>
        <w:tab w:val="right" w:pos="8640"/>
      </w:tabs>
      <w:jc w:val="right"/>
      <w:rPr>
        <w:color w:val="000000"/>
      </w:rPr>
    </w:pPr>
    <w:r>
      <w:rPr>
        <w:color w:val="000000"/>
      </w:rPr>
      <w:t>A-</w:t>
    </w:r>
    <w:r w:rsidR="003A52D8">
      <w:rPr>
        <w:color w:val="000000"/>
      </w:rPr>
      <w:t>087</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73A8D" w14:textId="757BE6EC" w:rsidR="000D52BA" w:rsidRDefault="000D52BA">
    <w:pPr>
      <w:pStyle w:val="Header"/>
    </w:pPr>
    <w:r>
      <w:rPr>
        <w:noProof/>
      </w:rPr>
      <mc:AlternateContent>
        <mc:Choice Requires="wps">
          <w:drawing>
            <wp:anchor distT="0" distB="0" distL="114300" distR="114300" simplePos="0" relativeHeight="251657728" behindDoc="1" locked="0" layoutInCell="0" allowOverlap="1" wp14:anchorId="2C0FE594" wp14:editId="76AD6801">
              <wp:simplePos x="0" y="0"/>
              <wp:positionH relativeFrom="margin">
                <wp:align>center</wp:align>
              </wp:positionH>
              <wp:positionV relativeFrom="margin">
                <wp:align>center</wp:align>
              </wp:positionV>
              <wp:extent cx="6703695" cy="1675765"/>
              <wp:effectExtent l="0" t="1714500" r="0" b="1848485"/>
              <wp:wrapNone/>
              <wp:docPr id="17955778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8435351" w14:textId="77777777" w:rsidR="000D52BA" w:rsidRDefault="000D52BA" w:rsidP="000D52B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0FE594" id="_x0000_t202" coordsize="21600,21600" o:spt="202" path="m,l,21600r21600,l21600,xe">
              <v:stroke joinstyle="miter"/>
              <v:path gradientshapeok="t" o:connecttype="rect"/>
            </v:shapetype>
            <v:shape id="Text Box 5" o:spid="_x0000_s1026" type="#_x0000_t202" style="position:absolute;margin-left:0;margin-top:0;width:527.85pt;height:131.9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68435351" w14:textId="77777777" w:rsidR="000D52BA" w:rsidRDefault="000D52BA" w:rsidP="000D52BA">
                    <w:pPr>
                      <w:jc w:val="center"/>
                      <w:rPr>
                        <w:color w:val="C0C0C0"/>
                        <w:sz w:val="2"/>
                        <w:szCs w:val="2"/>
                        <w14:textFill>
                          <w14:solidFill>
                            <w14:srgbClr w14:val="C0C0C0">
                              <w14:alpha w14:val="50000"/>
                            </w14:srgbClr>
                          </w14:solidFill>
                        </w14:textFill>
                      </w:rPr>
                    </w:pPr>
                    <w:proofErr w:type="spellStart"/>
                    <w:r>
                      <w:rPr>
                        <w:color w:val="C0C0C0"/>
                        <w:sz w:val="2"/>
                        <w:szCs w:val="2"/>
                        <w14:textFill>
                          <w14:solidFill>
                            <w14:srgbClr w14:val="C0C0C0">
                              <w14:alpha w14:val="50000"/>
                            </w14:srgbClr>
                          </w14:solidFill>
                        </w14:textFill>
                      </w:rPr>
                      <w:t>Borrador</w:t>
                    </w:r>
                    <w:proofErr w:type="spellEnd"/>
                  </w:p>
                </w:txbxContent>
              </v:textbox>
              <w10:wrap anchorx="margin" anchory="margin"/>
            </v:shape>
          </w:pict>
        </mc:Fallback>
      </mc:AlternateContent>
    </w:r>
  </w:p>
  <w:p w14:paraId="59BE209E" w14:textId="77777777" w:rsidR="000D52BA" w:rsidRDefault="000D52B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855506"/>
      <w:docPartObj>
        <w:docPartGallery w:val="Page Numbers (Top of Page)"/>
        <w:docPartUnique/>
      </w:docPartObj>
    </w:sdtPr>
    <w:sdtEndPr>
      <w:rPr>
        <w:noProof/>
      </w:rPr>
    </w:sdtEndPr>
    <w:sdtContent>
      <w:p w14:paraId="083AEBD1" w14:textId="49728932" w:rsidR="00333F7E" w:rsidRDefault="00333F7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6159744" w14:textId="77777777" w:rsidR="000D52BA" w:rsidRDefault="000D52B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29338" w14:textId="77777777" w:rsidR="000D52BA" w:rsidRDefault="000D52BA" w:rsidP="001B73B1">
    <w:pPr>
      <w:pStyle w:val="Header"/>
      <w:jc w:val="right"/>
    </w:pPr>
    <w:r>
      <w:rPr>
        <w:noProof/>
      </w:rPr>
      <mc:AlternateContent>
        <mc:Choice Requires="wps">
          <w:drawing>
            <wp:anchor distT="45720" distB="45720" distL="114300" distR="114300" simplePos="0" relativeHeight="251655680" behindDoc="0" locked="0" layoutInCell="1" allowOverlap="1" wp14:anchorId="744CB5F2" wp14:editId="3DED0DA9">
              <wp:simplePos x="0" y="0"/>
              <wp:positionH relativeFrom="margin">
                <wp:align>center</wp:align>
              </wp:positionH>
              <wp:positionV relativeFrom="paragraph">
                <wp:posOffset>172073</wp:posOffset>
              </wp:positionV>
              <wp:extent cx="4364966" cy="1404620"/>
              <wp:effectExtent l="0" t="0" r="0" b="19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4966" cy="1404620"/>
                      </a:xfrm>
                      <a:prstGeom prst="rect">
                        <a:avLst/>
                      </a:prstGeom>
                      <a:solidFill>
                        <a:srgbClr val="FFFFFF"/>
                      </a:solidFill>
                      <a:ln w="9525">
                        <a:noFill/>
                        <a:miter lim="800000"/>
                        <a:headEnd/>
                        <a:tailEnd/>
                      </a:ln>
                    </wps:spPr>
                    <wps:txbx>
                      <w:txbxContent>
                        <w:p w14:paraId="27331CE5" w14:textId="77777777" w:rsidR="000D52BA" w:rsidRPr="00A920F9" w:rsidRDefault="000D52BA" w:rsidP="003223A2">
                          <w:pPr>
                            <w:jc w:val="center"/>
                            <w:rPr>
                              <w:rFonts w:ascii="Book Antiqua" w:hAnsi="Book Antiqua"/>
                              <w:b/>
                              <w:bCs/>
                              <w:color w:val="FF0000"/>
                              <w:lang w:val="es-PR"/>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4CB5F2" id="_x0000_t202" coordsize="21600,21600" o:spt="202" path="m,l,21600r21600,l21600,xe">
              <v:stroke joinstyle="miter"/>
              <v:path gradientshapeok="t" o:connecttype="rect"/>
            </v:shapetype>
            <v:shape id="_x0000_s1028" type="#_x0000_t202" style="position:absolute;left:0;text-align:left;margin-left:0;margin-top:13.55pt;width:343.7pt;height:110.6pt;z-index:2516556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" stroked="f">
              <v:textbox style="mso-fit-shape-to-text:t">
                <w:txbxContent>
                  <w:p w14:paraId="27331CE5" w14:textId="77777777" w:rsidR="000D52BA" w:rsidRPr="00A920F9" w:rsidRDefault="000D52BA" w:rsidP="003223A2">
                    <w:pPr>
                      <w:jc w:val="center"/>
                      <w:rPr>
                        <w:rFonts w:ascii="Book Antiqua" w:hAnsi="Book Antiqua"/>
                        <w:b/>
                        <w:bCs/>
                        <w:color w:val="FF0000"/>
                        <w:lang w:val="es-PR"/>
                      </w:rPr>
                    </w:pPr>
                  </w:p>
                </w:txbxContent>
              </v:textbox>
              <w10:wrap anchorx="margin"/>
            </v:shape>
          </w:pict>
        </mc:Fallback>
      </mc:AlternateContent>
    </w:r>
    <w:r>
      <w:t>A-08</w:t>
    </w:r>
    <w:r w:rsidRPr="00D61DAA">
      <w:rPr>
        <w:highlight w:val="yellow"/>
      </w:rPr>
      <w:t>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01F7D"/>
    <w:multiLevelType w:val="hybridMultilevel"/>
    <w:tmpl w:val="93EC2CA4"/>
    <w:lvl w:ilvl="0" w:tplc="FFFFFFFF">
      <w:start w:val="1"/>
      <w:numFmt w:val="lowerLetter"/>
      <w:lvlText w:val="(%1)"/>
      <w:lvlJc w:val="left"/>
      <w:pPr>
        <w:ind w:left="720" w:hanging="360"/>
      </w:pPr>
      <w:rPr>
        <w:rFonts w:hint="default"/>
      </w:rPr>
    </w:lvl>
    <w:lvl w:ilvl="1" w:tplc="FFFFFFFF">
      <w:start w:val="1"/>
      <w:numFmt w:val="decimal"/>
      <w:lvlText w:val="(%2)"/>
      <w:lvlJc w:val="left"/>
      <w:pPr>
        <w:ind w:left="189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4" w15:restartNumberingAfterBreak="0">
    <w:nsid w:val="346A1256"/>
    <w:multiLevelType w:val="hybridMultilevel"/>
    <w:tmpl w:val="5130163A"/>
    <w:lvl w:ilvl="0" w:tplc="B948AC74">
      <w:start w:val="1"/>
      <w:numFmt w:val="low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F5309A7"/>
    <w:multiLevelType w:val="hybridMultilevel"/>
    <w:tmpl w:val="93EC2CA4"/>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670984"/>
    <w:multiLevelType w:val="hybridMultilevel"/>
    <w:tmpl w:val="93EC2CA4"/>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1255F5E"/>
    <w:multiLevelType w:val="hybridMultilevel"/>
    <w:tmpl w:val="74CC444E"/>
    <w:lvl w:ilvl="0" w:tplc="563CB2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46803182">
    <w:abstractNumId w:val="21"/>
  </w:num>
  <w:num w:numId="2" w16cid:durableId="1474757228">
    <w:abstractNumId w:val="4"/>
  </w:num>
  <w:num w:numId="3" w16cid:durableId="2132893566">
    <w:abstractNumId w:val="18"/>
  </w:num>
  <w:num w:numId="4" w16cid:durableId="882449743">
    <w:abstractNumId w:val="7"/>
  </w:num>
  <w:num w:numId="5" w16cid:durableId="219176884">
    <w:abstractNumId w:val="16"/>
  </w:num>
  <w:num w:numId="6" w16cid:durableId="1754935496">
    <w:abstractNumId w:val="15"/>
  </w:num>
  <w:num w:numId="7" w16cid:durableId="1050109703">
    <w:abstractNumId w:val="1"/>
  </w:num>
  <w:num w:numId="8" w16cid:durableId="1633052448">
    <w:abstractNumId w:val="0"/>
  </w:num>
  <w:num w:numId="9" w16cid:durableId="71978066">
    <w:abstractNumId w:val="13"/>
  </w:num>
  <w:num w:numId="10" w16cid:durableId="1849950341">
    <w:abstractNumId w:val="9"/>
  </w:num>
  <w:num w:numId="11" w16cid:durableId="669405056">
    <w:abstractNumId w:val="10"/>
  </w:num>
  <w:num w:numId="12" w16cid:durableId="90929996">
    <w:abstractNumId w:val="23"/>
  </w:num>
  <w:num w:numId="13" w16cid:durableId="1147940415">
    <w:abstractNumId w:val="20"/>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 w:numId="20" w16cid:durableId="1947300091">
    <w:abstractNumId w:val="24"/>
  </w:num>
  <w:num w:numId="21" w16cid:durableId="709258677">
    <w:abstractNumId w:val="12"/>
  </w:num>
  <w:num w:numId="22" w16cid:durableId="880048782">
    <w:abstractNumId w:val="19"/>
  </w:num>
  <w:num w:numId="23" w16cid:durableId="2016027905">
    <w:abstractNumId w:val="17"/>
  </w:num>
  <w:num w:numId="24" w16cid:durableId="1539784015">
    <w:abstractNumId w:val="14"/>
  </w:num>
  <w:num w:numId="25" w16cid:durableId="17321889">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4F10"/>
    <w:rsid w:val="000165A1"/>
    <w:rsid w:val="0001685F"/>
    <w:rsid w:val="00020016"/>
    <w:rsid w:val="00020BCA"/>
    <w:rsid w:val="00022709"/>
    <w:rsid w:val="00022FC4"/>
    <w:rsid w:val="00024819"/>
    <w:rsid w:val="00027C66"/>
    <w:rsid w:val="00032F6A"/>
    <w:rsid w:val="00036300"/>
    <w:rsid w:val="00036944"/>
    <w:rsid w:val="00037473"/>
    <w:rsid w:val="00040CAA"/>
    <w:rsid w:val="000421D1"/>
    <w:rsid w:val="000456D5"/>
    <w:rsid w:val="0004692C"/>
    <w:rsid w:val="00046E85"/>
    <w:rsid w:val="0004758D"/>
    <w:rsid w:val="000502AE"/>
    <w:rsid w:val="00050343"/>
    <w:rsid w:val="00053CDF"/>
    <w:rsid w:val="000559F0"/>
    <w:rsid w:val="00056D71"/>
    <w:rsid w:val="00057EF4"/>
    <w:rsid w:val="000604BA"/>
    <w:rsid w:val="000640D3"/>
    <w:rsid w:val="00065FB5"/>
    <w:rsid w:val="0007036F"/>
    <w:rsid w:val="00075460"/>
    <w:rsid w:val="0008344C"/>
    <w:rsid w:val="00085593"/>
    <w:rsid w:val="0008657D"/>
    <w:rsid w:val="000867D0"/>
    <w:rsid w:val="00093558"/>
    <w:rsid w:val="000942B0"/>
    <w:rsid w:val="0009603C"/>
    <w:rsid w:val="000970FE"/>
    <w:rsid w:val="00097DE1"/>
    <w:rsid w:val="000A1083"/>
    <w:rsid w:val="000A1A0B"/>
    <w:rsid w:val="000A1DC3"/>
    <w:rsid w:val="000A22FB"/>
    <w:rsid w:val="000A33B9"/>
    <w:rsid w:val="000A5257"/>
    <w:rsid w:val="000A6843"/>
    <w:rsid w:val="000A69AD"/>
    <w:rsid w:val="000B15D3"/>
    <w:rsid w:val="000B33EC"/>
    <w:rsid w:val="000B52A9"/>
    <w:rsid w:val="000B757B"/>
    <w:rsid w:val="000C0F6A"/>
    <w:rsid w:val="000C1925"/>
    <w:rsid w:val="000C253E"/>
    <w:rsid w:val="000C58FF"/>
    <w:rsid w:val="000C68E5"/>
    <w:rsid w:val="000C6EBF"/>
    <w:rsid w:val="000D03E0"/>
    <w:rsid w:val="000D188A"/>
    <w:rsid w:val="000D2EB5"/>
    <w:rsid w:val="000D30A4"/>
    <w:rsid w:val="000D3E28"/>
    <w:rsid w:val="000D52BA"/>
    <w:rsid w:val="000D5344"/>
    <w:rsid w:val="000E138C"/>
    <w:rsid w:val="000E1C9C"/>
    <w:rsid w:val="000E515E"/>
    <w:rsid w:val="000F590A"/>
    <w:rsid w:val="000F5B37"/>
    <w:rsid w:val="000F6F74"/>
    <w:rsid w:val="000F7E90"/>
    <w:rsid w:val="000F7E9C"/>
    <w:rsid w:val="00101593"/>
    <w:rsid w:val="00103E69"/>
    <w:rsid w:val="001045F3"/>
    <w:rsid w:val="00105554"/>
    <w:rsid w:val="0010599D"/>
    <w:rsid w:val="00107E95"/>
    <w:rsid w:val="00110277"/>
    <w:rsid w:val="00110E02"/>
    <w:rsid w:val="00111950"/>
    <w:rsid w:val="00113415"/>
    <w:rsid w:val="001150B3"/>
    <w:rsid w:val="00115129"/>
    <w:rsid w:val="00115911"/>
    <w:rsid w:val="001160DB"/>
    <w:rsid w:val="001206E9"/>
    <w:rsid w:val="001216F2"/>
    <w:rsid w:val="00122C44"/>
    <w:rsid w:val="0012358E"/>
    <w:rsid w:val="0012419B"/>
    <w:rsid w:val="001255FB"/>
    <w:rsid w:val="001275A9"/>
    <w:rsid w:val="00131F3B"/>
    <w:rsid w:val="001336EE"/>
    <w:rsid w:val="00133D83"/>
    <w:rsid w:val="00136BB9"/>
    <w:rsid w:val="00136DE9"/>
    <w:rsid w:val="00141936"/>
    <w:rsid w:val="00141E86"/>
    <w:rsid w:val="001433C2"/>
    <w:rsid w:val="0014360F"/>
    <w:rsid w:val="00146E2E"/>
    <w:rsid w:val="0014702D"/>
    <w:rsid w:val="00147C98"/>
    <w:rsid w:val="0015042F"/>
    <w:rsid w:val="00150C87"/>
    <w:rsid w:val="00152B9A"/>
    <w:rsid w:val="00152DAF"/>
    <w:rsid w:val="00153B0A"/>
    <w:rsid w:val="001545FA"/>
    <w:rsid w:val="00157645"/>
    <w:rsid w:val="00157BB5"/>
    <w:rsid w:val="001613A5"/>
    <w:rsid w:val="00162295"/>
    <w:rsid w:val="00164E97"/>
    <w:rsid w:val="0016599C"/>
    <w:rsid w:val="00167406"/>
    <w:rsid w:val="001677A8"/>
    <w:rsid w:val="00170944"/>
    <w:rsid w:val="00173A75"/>
    <w:rsid w:val="001758DD"/>
    <w:rsid w:val="0017795B"/>
    <w:rsid w:val="00177CE0"/>
    <w:rsid w:val="001817FD"/>
    <w:rsid w:val="00183639"/>
    <w:rsid w:val="00185B36"/>
    <w:rsid w:val="00185EA9"/>
    <w:rsid w:val="00193FC8"/>
    <w:rsid w:val="00194A5E"/>
    <w:rsid w:val="00194D59"/>
    <w:rsid w:val="0019674C"/>
    <w:rsid w:val="001969E8"/>
    <w:rsid w:val="00197312"/>
    <w:rsid w:val="00197A6A"/>
    <w:rsid w:val="001A0D02"/>
    <w:rsid w:val="001A1EA2"/>
    <w:rsid w:val="001A745A"/>
    <w:rsid w:val="001B054B"/>
    <w:rsid w:val="001B2F8C"/>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D746B"/>
    <w:rsid w:val="001E1A20"/>
    <w:rsid w:val="001E1C56"/>
    <w:rsid w:val="001E22BC"/>
    <w:rsid w:val="001E2460"/>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5AF6"/>
    <w:rsid w:val="0021009A"/>
    <w:rsid w:val="0021374B"/>
    <w:rsid w:val="002138BE"/>
    <w:rsid w:val="00213D44"/>
    <w:rsid w:val="00216184"/>
    <w:rsid w:val="00216FA1"/>
    <w:rsid w:val="002171BA"/>
    <w:rsid w:val="002176F4"/>
    <w:rsid w:val="00221DAA"/>
    <w:rsid w:val="002243FC"/>
    <w:rsid w:val="00224BE1"/>
    <w:rsid w:val="00230215"/>
    <w:rsid w:val="00230E8A"/>
    <w:rsid w:val="00230F44"/>
    <w:rsid w:val="002318F0"/>
    <w:rsid w:val="00231C2C"/>
    <w:rsid w:val="0023393F"/>
    <w:rsid w:val="00233D8C"/>
    <w:rsid w:val="00233EE8"/>
    <w:rsid w:val="00234227"/>
    <w:rsid w:val="00234437"/>
    <w:rsid w:val="00237982"/>
    <w:rsid w:val="0024028B"/>
    <w:rsid w:val="002403FC"/>
    <w:rsid w:val="00240FB8"/>
    <w:rsid w:val="002413C6"/>
    <w:rsid w:val="002429DB"/>
    <w:rsid w:val="00242CE8"/>
    <w:rsid w:val="002435A4"/>
    <w:rsid w:val="002439E9"/>
    <w:rsid w:val="00243A56"/>
    <w:rsid w:val="0024680B"/>
    <w:rsid w:val="00250065"/>
    <w:rsid w:val="00250830"/>
    <w:rsid w:val="00250CD7"/>
    <w:rsid w:val="00250FCB"/>
    <w:rsid w:val="00251AFB"/>
    <w:rsid w:val="00252500"/>
    <w:rsid w:val="00252646"/>
    <w:rsid w:val="002527D8"/>
    <w:rsid w:val="002544C5"/>
    <w:rsid w:val="00254DCC"/>
    <w:rsid w:val="00255976"/>
    <w:rsid w:val="00256633"/>
    <w:rsid w:val="00257544"/>
    <w:rsid w:val="00260FC0"/>
    <w:rsid w:val="0026379D"/>
    <w:rsid w:val="00263929"/>
    <w:rsid w:val="0026425C"/>
    <w:rsid w:val="002644EF"/>
    <w:rsid w:val="002646F8"/>
    <w:rsid w:val="00265AD8"/>
    <w:rsid w:val="00266688"/>
    <w:rsid w:val="002714A0"/>
    <w:rsid w:val="00273031"/>
    <w:rsid w:val="00276285"/>
    <w:rsid w:val="00277164"/>
    <w:rsid w:val="00281FDF"/>
    <w:rsid w:val="00282522"/>
    <w:rsid w:val="002852F2"/>
    <w:rsid w:val="00285340"/>
    <w:rsid w:val="00285A15"/>
    <w:rsid w:val="00286B6A"/>
    <w:rsid w:val="00286C7E"/>
    <w:rsid w:val="0028794F"/>
    <w:rsid w:val="00290109"/>
    <w:rsid w:val="002906AF"/>
    <w:rsid w:val="002925A7"/>
    <w:rsid w:val="00294F9D"/>
    <w:rsid w:val="002A0536"/>
    <w:rsid w:val="002A1D65"/>
    <w:rsid w:val="002A23EE"/>
    <w:rsid w:val="002A2E33"/>
    <w:rsid w:val="002A35C3"/>
    <w:rsid w:val="002A4BD8"/>
    <w:rsid w:val="002A4F4F"/>
    <w:rsid w:val="002B18E6"/>
    <w:rsid w:val="002B2FBB"/>
    <w:rsid w:val="002B5618"/>
    <w:rsid w:val="002B5BBC"/>
    <w:rsid w:val="002B62EE"/>
    <w:rsid w:val="002B7906"/>
    <w:rsid w:val="002B790A"/>
    <w:rsid w:val="002C420C"/>
    <w:rsid w:val="002C5686"/>
    <w:rsid w:val="002C5BE1"/>
    <w:rsid w:val="002C7576"/>
    <w:rsid w:val="002D0295"/>
    <w:rsid w:val="002D0E7E"/>
    <w:rsid w:val="002D156B"/>
    <w:rsid w:val="002D15AA"/>
    <w:rsid w:val="002D20A2"/>
    <w:rsid w:val="002D5EE7"/>
    <w:rsid w:val="002D6159"/>
    <w:rsid w:val="002D77F2"/>
    <w:rsid w:val="002E026A"/>
    <w:rsid w:val="002E0A84"/>
    <w:rsid w:val="002E1966"/>
    <w:rsid w:val="002E3A4F"/>
    <w:rsid w:val="002E614D"/>
    <w:rsid w:val="002E64BA"/>
    <w:rsid w:val="002F21CF"/>
    <w:rsid w:val="002F48BA"/>
    <w:rsid w:val="002F5B16"/>
    <w:rsid w:val="00302222"/>
    <w:rsid w:val="00302C81"/>
    <w:rsid w:val="00302F90"/>
    <w:rsid w:val="0030308D"/>
    <w:rsid w:val="00304D9D"/>
    <w:rsid w:val="00306A19"/>
    <w:rsid w:val="00310FDD"/>
    <w:rsid w:val="00311107"/>
    <w:rsid w:val="00312EB5"/>
    <w:rsid w:val="0031323F"/>
    <w:rsid w:val="00313C97"/>
    <w:rsid w:val="00313E8B"/>
    <w:rsid w:val="00314E6B"/>
    <w:rsid w:val="003158E8"/>
    <w:rsid w:val="00317019"/>
    <w:rsid w:val="00321AB7"/>
    <w:rsid w:val="003225B0"/>
    <w:rsid w:val="003228F1"/>
    <w:rsid w:val="00322B34"/>
    <w:rsid w:val="00324768"/>
    <w:rsid w:val="0032794E"/>
    <w:rsid w:val="003310ED"/>
    <w:rsid w:val="00332B0B"/>
    <w:rsid w:val="00333F7E"/>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931"/>
    <w:rsid w:val="00370C61"/>
    <w:rsid w:val="00372E7F"/>
    <w:rsid w:val="00381E1D"/>
    <w:rsid w:val="00385069"/>
    <w:rsid w:val="0038531F"/>
    <w:rsid w:val="00386E85"/>
    <w:rsid w:val="0039139B"/>
    <w:rsid w:val="00391B13"/>
    <w:rsid w:val="00392233"/>
    <w:rsid w:val="003949B9"/>
    <w:rsid w:val="003A058D"/>
    <w:rsid w:val="003A2100"/>
    <w:rsid w:val="003A359F"/>
    <w:rsid w:val="003A386B"/>
    <w:rsid w:val="003A52D8"/>
    <w:rsid w:val="003A6747"/>
    <w:rsid w:val="003A68DD"/>
    <w:rsid w:val="003A6EE8"/>
    <w:rsid w:val="003B17EE"/>
    <w:rsid w:val="003B2357"/>
    <w:rsid w:val="003B2A7E"/>
    <w:rsid w:val="003B363C"/>
    <w:rsid w:val="003B3BC7"/>
    <w:rsid w:val="003B3CEF"/>
    <w:rsid w:val="003B5918"/>
    <w:rsid w:val="003B6115"/>
    <w:rsid w:val="003B77A4"/>
    <w:rsid w:val="003B7A1E"/>
    <w:rsid w:val="003C1951"/>
    <w:rsid w:val="003C5396"/>
    <w:rsid w:val="003C58C7"/>
    <w:rsid w:val="003C6649"/>
    <w:rsid w:val="003C6D99"/>
    <w:rsid w:val="003C79D6"/>
    <w:rsid w:val="003C7C6B"/>
    <w:rsid w:val="003D3B08"/>
    <w:rsid w:val="003D42BF"/>
    <w:rsid w:val="003D4499"/>
    <w:rsid w:val="003D4ABA"/>
    <w:rsid w:val="003D4C66"/>
    <w:rsid w:val="003D6E22"/>
    <w:rsid w:val="003D7B86"/>
    <w:rsid w:val="003E0B36"/>
    <w:rsid w:val="003E0CF2"/>
    <w:rsid w:val="003E1D8A"/>
    <w:rsid w:val="003E2D11"/>
    <w:rsid w:val="003E2E7C"/>
    <w:rsid w:val="003E30F3"/>
    <w:rsid w:val="003E3DB7"/>
    <w:rsid w:val="003E746D"/>
    <w:rsid w:val="003F18AA"/>
    <w:rsid w:val="003F352A"/>
    <w:rsid w:val="003F5175"/>
    <w:rsid w:val="003F6A57"/>
    <w:rsid w:val="003F7153"/>
    <w:rsid w:val="003F764D"/>
    <w:rsid w:val="00400B8C"/>
    <w:rsid w:val="00402795"/>
    <w:rsid w:val="00406749"/>
    <w:rsid w:val="00411B21"/>
    <w:rsid w:val="00411D69"/>
    <w:rsid w:val="004143E0"/>
    <w:rsid w:val="00415E5D"/>
    <w:rsid w:val="00416F13"/>
    <w:rsid w:val="00420B8B"/>
    <w:rsid w:val="004246A8"/>
    <w:rsid w:val="0042512B"/>
    <w:rsid w:val="0042619D"/>
    <w:rsid w:val="00426E8C"/>
    <w:rsid w:val="00431B11"/>
    <w:rsid w:val="00431FA7"/>
    <w:rsid w:val="00433457"/>
    <w:rsid w:val="00434886"/>
    <w:rsid w:val="00434DCF"/>
    <w:rsid w:val="0043619F"/>
    <w:rsid w:val="00436544"/>
    <w:rsid w:val="00437135"/>
    <w:rsid w:val="004376C9"/>
    <w:rsid w:val="00437DC4"/>
    <w:rsid w:val="004403A8"/>
    <w:rsid w:val="00440BF8"/>
    <w:rsid w:val="0044180C"/>
    <w:rsid w:val="0044206B"/>
    <w:rsid w:val="00442D10"/>
    <w:rsid w:val="00443C3D"/>
    <w:rsid w:val="00444257"/>
    <w:rsid w:val="00444D00"/>
    <w:rsid w:val="0044579F"/>
    <w:rsid w:val="004467FE"/>
    <w:rsid w:val="00447330"/>
    <w:rsid w:val="004512EF"/>
    <w:rsid w:val="00451AE7"/>
    <w:rsid w:val="00451AF7"/>
    <w:rsid w:val="00452649"/>
    <w:rsid w:val="0045379B"/>
    <w:rsid w:val="0045454C"/>
    <w:rsid w:val="00456C2B"/>
    <w:rsid w:val="00460513"/>
    <w:rsid w:val="004613D1"/>
    <w:rsid w:val="00461FBD"/>
    <w:rsid w:val="00462353"/>
    <w:rsid w:val="00462BEA"/>
    <w:rsid w:val="00462F5E"/>
    <w:rsid w:val="004674AD"/>
    <w:rsid w:val="00467887"/>
    <w:rsid w:val="00473F1E"/>
    <w:rsid w:val="004756F7"/>
    <w:rsid w:val="0048026C"/>
    <w:rsid w:val="00480732"/>
    <w:rsid w:val="00483337"/>
    <w:rsid w:val="004842D0"/>
    <w:rsid w:val="00491ED1"/>
    <w:rsid w:val="00494E64"/>
    <w:rsid w:val="0049605C"/>
    <w:rsid w:val="004961E5"/>
    <w:rsid w:val="00497E76"/>
    <w:rsid w:val="004A0246"/>
    <w:rsid w:val="004A0EAF"/>
    <w:rsid w:val="004A557B"/>
    <w:rsid w:val="004A5974"/>
    <w:rsid w:val="004A5BFC"/>
    <w:rsid w:val="004A763E"/>
    <w:rsid w:val="004B1950"/>
    <w:rsid w:val="004B290C"/>
    <w:rsid w:val="004B2DD8"/>
    <w:rsid w:val="004B357F"/>
    <w:rsid w:val="004B4292"/>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E7B94"/>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ED6"/>
    <w:rsid w:val="005335A0"/>
    <w:rsid w:val="00534596"/>
    <w:rsid w:val="0053671E"/>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4BC"/>
    <w:rsid w:val="00586787"/>
    <w:rsid w:val="00591812"/>
    <w:rsid w:val="00591957"/>
    <w:rsid w:val="005928F7"/>
    <w:rsid w:val="00593C98"/>
    <w:rsid w:val="00593FE2"/>
    <w:rsid w:val="005A2ED0"/>
    <w:rsid w:val="005A3527"/>
    <w:rsid w:val="005A6072"/>
    <w:rsid w:val="005A626F"/>
    <w:rsid w:val="005A7607"/>
    <w:rsid w:val="005B3512"/>
    <w:rsid w:val="005B3BBD"/>
    <w:rsid w:val="005B529A"/>
    <w:rsid w:val="005C1E0D"/>
    <w:rsid w:val="005C3826"/>
    <w:rsid w:val="005C3AFC"/>
    <w:rsid w:val="005C3C5D"/>
    <w:rsid w:val="005C4D56"/>
    <w:rsid w:val="005C7524"/>
    <w:rsid w:val="005D07A5"/>
    <w:rsid w:val="005D3EB3"/>
    <w:rsid w:val="005D5738"/>
    <w:rsid w:val="005D6A09"/>
    <w:rsid w:val="005D6F7F"/>
    <w:rsid w:val="005D7C38"/>
    <w:rsid w:val="005E3602"/>
    <w:rsid w:val="005E3680"/>
    <w:rsid w:val="005E4152"/>
    <w:rsid w:val="005E63C3"/>
    <w:rsid w:val="005E64F3"/>
    <w:rsid w:val="005E7360"/>
    <w:rsid w:val="005E7EC5"/>
    <w:rsid w:val="005F0A2C"/>
    <w:rsid w:val="005F1EF4"/>
    <w:rsid w:val="005F265C"/>
    <w:rsid w:val="005F2872"/>
    <w:rsid w:val="005F486E"/>
    <w:rsid w:val="00600A90"/>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336F"/>
    <w:rsid w:val="00624114"/>
    <w:rsid w:val="0062471D"/>
    <w:rsid w:val="00627CCD"/>
    <w:rsid w:val="00631511"/>
    <w:rsid w:val="00631980"/>
    <w:rsid w:val="006322AF"/>
    <w:rsid w:val="00632E16"/>
    <w:rsid w:val="00633DFB"/>
    <w:rsid w:val="006379F1"/>
    <w:rsid w:val="006408B9"/>
    <w:rsid w:val="006414C7"/>
    <w:rsid w:val="00642C79"/>
    <w:rsid w:val="006430D0"/>
    <w:rsid w:val="0064494E"/>
    <w:rsid w:val="00644E34"/>
    <w:rsid w:val="00645A98"/>
    <w:rsid w:val="00645B59"/>
    <w:rsid w:val="006467BD"/>
    <w:rsid w:val="00651575"/>
    <w:rsid w:val="00654571"/>
    <w:rsid w:val="00657A02"/>
    <w:rsid w:val="006606CF"/>
    <w:rsid w:val="00660722"/>
    <w:rsid w:val="00662BBC"/>
    <w:rsid w:val="006636CA"/>
    <w:rsid w:val="00663D06"/>
    <w:rsid w:val="00665AD4"/>
    <w:rsid w:val="00670249"/>
    <w:rsid w:val="00670B6E"/>
    <w:rsid w:val="00670CA7"/>
    <w:rsid w:val="0067270B"/>
    <w:rsid w:val="00675B2A"/>
    <w:rsid w:val="00675D61"/>
    <w:rsid w:val="00675E17"/>
    <w:rsid w:val="00680613"/>
    <w:rsid w:val="0068065A"/>
    <w:rsid w:val="006819FE"/>
    <w:rsid w:val="00681CAD"/>
    <w:rsid w:val="00685B0B"/>
    <w:rsid w:val="00686C94"/>
    <w:rsid w:val="00692466"/>
    <w:rsid w:val="00694BB7"/>
    <w:rsid w:val="00694E17"/>
    <w:rsid w:val="006952C1"/>
    <w:rsid w:val="00695466"/>
    <w:rsid w:val="00696BA8"/>
    <w:rsid w:val="00697FD9"/>
    <w:rsid w:val="006A1032"/>
    <w:rsid w:val="006A1488"/>
    <w:rsid w:val="006A30E4"/>
    <w:rsid w:val="006A4427"/>
    <w:rsid w:val="006B17C2"/>
    <w:rsid w:val="006B2C0B"/>
    <w:rsid w:val="006B3A56"/>
    <w:rsid w:val="006B455C"/>
    <w:rsid w:val="006B59FC"/>
    <w:rsid w:val="006B78AD"/>
    <w:rsid w:val="006C0229"/>
    <w:rsid w:val="006C1DEF"/>
    <w:rsid w:val="006C4755"/>
    <w:rsid w:val="006C5540"/>
    <w:rsid w:val="006D021B"/>
    <w:rsid w:val="006D0846"/>
    <w:rsid w:val="006D1974"/>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2DBD"/>
    <w:rsid w:val="007038D3"/>
    <w:rsid w:val="00703923"/>
    <w:rsid w:val="0070403B"/>
    <w:rsid w:val="00707C85"/>
    <w:rsid w:val="00710763"/>
    <w:rsid w:val="00712CE2"/>
    <w:rsid w:val="007164D0"/>
    <w:rsid w:val="007167E7"/>
    <w:rsid w:val="007228E5"/>
    <w:rsid w:val="007255E2"/>
    <w:rsid w:val="00725A20"/>
    <w:rsid w:val="007274B8"/>
    <w:rsid w:val="00727C69"/>
    <w:rsid w:val="00731270"/>
    <w:rsid w:val="00732A10"/>
    <w:rsid w:val="00732BEC"/>
    <w:rsid w:val="0073352B"/>
    <w:rsid w:val="0073463B"/>
    <w:rsid w:val="00735A29"/>
    <w:rsid w:val="007365A8"/>
    <w:rsid w:val="00736EAA"/>
    <w:rsid w:val="00737976"/>
    <w:rsid w:val="00740BAC"/>
    <w:rsid w:val="0074217A"/>
    <w:rsid w:val="0074323E"/>
    <w:rsid w:val="00743767"/>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7B0A"/>
    <w:rsid w:val="00767F35"/>
    <w:rsid w:val="0077017C"/>
    <w:rsid w:val="007718BE"/>
    <w:rsid w:val="0077227F"/>
    <w:rsid w:val="007724AF"/>
    <w:rsid w:val="0077360C"/>
    <w:rsid w:val="00773ABA"/>
    <w:rsid w:val="00774B33"/>
    <w:rsid w:val="00776705"/>
    <w:rsid w:val="0078017D"/>
    <w:rsid w:val="00781480"/>
    <w:rsid w:val="00782494"/>
    <w:rsid w:val="007824DA"/>
    <w:rsid w:val="00782D53"/>
    <w:rsid w:val="007833A4"/>
    <w:rsid w:val="007870AE"/>
    <w:rsid w:val="0079111D"/>
    <w:rsid w:val="00791FA9"/>
    <w:rsid w:val="007940D4"/>
    <w:rsid w:val="00795BD6"/>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D2A"/>
    <w:rsid w:val="007D76E0"/>
    <w:rsid w:val="007D7FA5"/>
    <w:rsid w:val="007E0156"/>
    <w:rsid w:val="007E16FF"/>
    <w:rsid w:val="007E368D"/>
    <w:rsid w:val="007E3817"/>
    <w:rsid w:val="007F1357"/>
    <w:rsid w:val="007F16BB"/>
    <w:rsid w:val="007F5EF4"/>
    <w:rsid w:val="007F75A0"/>
    <w:rsid w:val="007F7F36"/>
    <w:rsid w:val="00800D63"/>
    <w:rsid w:val="00804D98"/>
    <w:rsid w:val="00805763"/>
    <w:rsid w:val="00805B64"/>
    <w:rsid w:val="00807C81"/>
    <w:rsid w:val="00807CED"/>
    <w:rsid w:val="0081005B"/>
    <w:rsid w:val="0081107D"/>
    <w:rsid w:val="00812840"/>
    <w:rsid w:val="00815862"/>
    <w:rsid w:val="00824F11"/>
    <w:rsid w:val="00825D2D"/>
    <w:rsid w:val="00830732"/>
    <w:rsid w:val="008316F2"/>
    <w:rsid w:val="00831773"/>
    <w:rsid w:val="00832F86"/>
    <w:rsid w:val="008337A4"/>
    <w:rsid w:val="00833EC6"/>
    <w:rsid w:val="008341E7"/>
    <w:rsid w:val="00834801"/>
    <w:rsid w:val="00835F43"/>
    <w:rsid w:val="00836710"/>
    <w:rsid w:val="008402C1"/>
    <w:rsid w:val="00841D09"/>
    <w:rsid w:val="008424B6"/>
    <w:rsid w:val="00842FEB"/>
    <w:rsid w:val="00844485"/>
    <w:rsid w:val="00844CEA"/>
    <w:rsid w:val="008450D8"/>
    <w:rsid w:val="00850770"/>
    <w:rsid w:val="00854672"/>
    <w:rsid w:val="00855666"/>
    <w:rsid w:val="00855E43"/>
    <w:rsid w:val="008574AE"/>
    <w:rsid w:val="00861B76"/>
    <w:rsid w:val="008621CB"/>
    <w:rsid w:val="008657B9"/>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E24"/>
    <w:rsid w:val="008A1F5E"/>
    <w:rsid w:val="008A3B13"/>
    <w:rsid w:val="008A550F"/>
    <w:rsid w:val="008B1841"/>
    <w:rsid w:val="008B1A02"/>
    <w:rsid w:val="008B3680"/>
    <w:rsid w:val="008B4BF9"/>
    <w:rsid w:val="008B4FBC"/>
    <w:rsid w:val="008C0506"/>
    <w:rsid w:val="008C0934"/>
    <w:rsid w:val="008C2CF4"/>
    <w:rsid w:val="008C3F78"/>
    <w:rsid w:val="008C49E2"/>
    <w:rsid w:val="008C4FB4"/>
    <w:rsid w:val="008C56E5"/>
    <w:rsid w:val="008D110E"/>
    <w:rsid w:val="008D1577"/>
    <w:rsid w:val="008D2008"/>
    <w:rsid w:val="008D339B"/>
    <w:rsid w:val="008D3767"/>
    <w:rsid w:val="008D430A"/>
    <w:rsid w:val="008D459C"/>
    <w:rsid w:val="008D4C77"/>
    <w:rsid w:val="008D5A27"/>
    <w:rsid w:val="008D5B00"/>
    <w:rsid w:val="008D5B22"/>
    <w:rsid w:val="008E162B"/>
    <w:rsid w:val="008E23CC"/>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33AE"/>
    <w:rsid w:val="009151D6"/>
    <w:rsid w:val="00916051"/>
    <w:rsid w:val="0091725F"/>
    <w:rsid w:val="009213CD"/>
    <w:rsid w:val="00922818"/>
    <w:rsid w:val="009258F4"/>
    <w:rsid w:val="00926EDF"/>
    <w:rsid w:val="009274B8"/>
    <w:rsid w:val="0093180D"/>
    <w:rsid w:val="0093314A"/>
    <w:rsid w:val="009335F7"/>
    <w:rsid w:val="009359C8"/>
    <w:rsid w:val="0093674D"/>
    <w:rsid w:val="00936823"/>
    <w:rsid w:val="00936B32"/>
    <w:rsid w:val="0093744C"/>
    <w:rsid w:val="00937E1F"/>
    <w:rsid w:val="009429EB"/>
    <w:rsid w:val="00942E06"/>
    <w:rsid w:val="009455F3"/>
    <w:rsid w:val="00945C6A"/>
    <w:rsid w:val="00946BA8"/>
    <w:rsid w:val="00950505"/>
    <w:rsid w:val="00950A46"/>
    <w:rsid w:val="00952875"/>
    <w:rsid w:val="009544E2"/>
    <w:rsid w:val="00954675"/>
    <w:rsid w:val="00956C45"/>
    <w:rsid w:val="0096089A"/>
    <w:rsid w:val="00960956"/>
    <w:rsid w:val="0096156C"/>
    <w:rsid w:val="009617B4"/>
    <w:rsid w:val="00962C3E"/>
    <w:rsid w:val="00963E17"/>
    <w:rsid w:val="00964C74"/>
    <w:rsid w:val="00965195"/>
    <w:rsid w:val="00970540"/>
    <w:rsid w:val="0097329B"/>
    <w:rsid w:val="0097422A"/>
    <w:rsid w:val="0097453D"/>
    <w:rsid w:val="0097666C"/>
    <w:rsid w:val="00980ECE"/>
    <w:rsid w:val="009833D3"/>
    <w:rsid w:val="00984E7F"/>
    <w:rsid w:val="00985253"/>
    <w:rsid w:val="00987276"/>
    <w:rsid w:val="00991094"/>
    <w:rsid w:val="00991AE0"/>
    <w:rsid w:val="00991F78"/>
    <w:rsid w:val="0099238B"/>
    <w:rsid w:val="009927E5"/>
    <w:rsid w:val="009951D3"/>
    <w:rsid w:val="00995DAA"/>
    <w:rsid w:val="009967CF"/>
    <w:rsid w:val="009A0ED5"/>
    <w:rsid w:val="009A21BF"/>
    <w:rsid w:val="009A3474"/>
    <w:rsid w:val="009A3A70"/>
    <w:rsid w:val="009A4928"/>
    <w:rsid w:val="009A64A7"/>
    <w:rsid w:val="009B4527"/>
    <w:rsid w:val="009B47BF"/>
    <w:rsid w:val="009B52DC"/>
    <w:rsid w:val="009B6AEA"/>
    <w:rsid w:val="009B6F40"/>
    <w:rsid w:val="009B738B"/>
    <w:rsid w:val="009C247D"/>
    <w:rsid w:val="009C33C4"/>
    <w:rsid w:val="009C7D23"/>
    <w:rsid w:val="009D0A44"/>
    <w:rsid w:val="009D1C75"/>
    <w:rsid w:val="009D5726"/>
    <w:rsid w:val="009D5805"/>
    <w:rsid w:val="009D61E3"/>
    <w:rsid w:val="009D7450"/>
    <w:rsid w:val="009D753E"/>
    <w:rsid w:val="009D756D"/>
    <w:rsid w:val="009D79EC"/>
    <w:rsid w:val="009E36AA"/>
    <w:rsid w:val="009E38B9"/>
    <w:rsid w:val="009F039B"/>
    <w:rsid w:val="009F15AE"/>
    <w:rsid w:val="009F26F1"/>
    <w:rsid w:val="009F7FBA"/>
    <w:rsid w:val="00A000F1"/>
    <w:rsid w:val="00A02203"/>
    <w:rsid w:val="00A04577"/>
    <w:rsid w:val="00A04FC8"/>
    <w:rsid w:val="00A07049"/>
    <w:rsid w:val="00A11BAB"/>
    <w:rsid w:val="00A16A0E"/>
    <w:rsid w:val="00A16D0A"/>
    <w:rsid w:val="00A2027F"/>
    <w:rsid w:val="00A22039"/>
    <w:rsid w:val="00A23051"/>
    <w:rsid w:val="00A23CBE"/>
    <w:rsid w:val="00A257F0"/>
    <w:rsid w:val="00A25AC0"/>
    <w:rsid w:val="00A25B7E"/>
    <w:rsid w:val="00A26489"/>
    <w:rsid w:val="00A26506"/>
    <w:rsid w:val="00A3330B"/>
    <w:rsid w:val="00A3392B"/>
    <w:rsid w:val="00A33FC2"/>
    <w:rsid w:val="00A34100"/>
    <w:rsid w:val="00A341D1"/>
    <w:rsid w:val="00A34B24"/>
    <w:rsid w:val="00A407AC"/>
    <w:rsid w:val="00A41F69"/>
    <w:rsid w:val="00A44362"/>
    <w:rsid w:val="00A4509D"/>
    <w:rsid w:val="00A45EC4"/>
    <w:rsid w:val="00A47378"/>
    <w:rsid w:val="00A47BDC"/>
    <w:rsid w:val="00A50E1F"/>
    <w:rsid w:val="00A51942"/>
    <w:rsid w:val="00A52322"/>
    <w:rsid w:val="00A52F9B"/>
    <w:rsid w:val="00A55297"/>
    <w:rsid w:val="00A566D5"/>
    <w:rsid w:val="00A579C9"/>
    <w:rsid w:val="00A62528"/>
    <w:rsid w:val="00A66AE7"/>
    <w:rsid w:val="00A67A3A"/>
    <w:rsid w:val="00A704F1"/>
    <w:rsid w:val="00A752E1"/>
    <w:rsid w:val="00A7759E"/>
    <w:rsid w:val="00A779C4"/>
    <w:rsid w:val="00A8093F"/>
    <w:rsid w:val="00A80B30"/>
    <w:rsid w:val="00A80EA2"/>
    <w:rsid w:val="00A8134F"/>
    <w:rsid w:val="00A85DE1"/>
    <w:rsid w:val="00A860DC"/>
    <w:rsid w:val="00A864CD"/>
    <w:rsid w:val="00A87AA6"/>
    <w:rsid w:val="00A87F9C"/>
    <w:rsid w:val="00A90D80"/>
    <w:rsid w:val="00A92427"/>
    <w:rsid w:val="00A9280B"/>
    <w:rsid w:val="00A92D34"/>
    <w:rsid w:val="00A94A37"/>
    <w:rsid w:val="00A9567F"/>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3E61"/>
    <w:rsid w:val="00AC425A"/>
    <w:rsid w:val="00AC45E7"/>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A7F"/>
    <w:rsid w:val="00AE2CC1"/>
    <w:rsid w:val="00AE3383"/>
    <w:rsid w:val="00AE62A5"/>
    <w:rsid w:val="00AE7612"/>
    <w:rsid w:val="00AF000B"/>
    <w:rsid w:val="00AF0027"/>
    <w:rsid w:val="00AF1591"/>
    <w:rsid w:val="00AF19DC"/>
    <w:rsid w:val="00AF26DE"/>
    <w:rsid w:val="00AF5F6B"/>
    <w:rsid w:val="00AF775A"/>
    <w:rsid w:val="00AF788B"/>
    <w:rsid w:val="00B00E29"/>
    <w:rsid w:val="00B01686"/>
    <w:rsid w:val="00B03B1E"/>
    <w:rsid w:val="00B03F2F"/>
    <w:rsid w:val="00B06BD6"/>
    <w:rsid w:val="00B06EBD"/>
    <w:rsid w:val="00B123F7"/>
    <w:rsid w:val="00B12738"/>
    <w:rsid w:val="00B139D2"/>
    <w:rsid w:val="00B13D1B"/>
    <w:rsid w:val="00B14DA2"/>
    <w:rsid w:val="00B155EE"/>
    <w:rsid w:val="00B158BC"/>
    <w:rsid w:val="00B20626"/>
    <w:rsid w:val="00B231AC"/>
    <w:rsid w:val="00B2399F"/>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A23"/>
    <w:rsid w:val="00B57F92"/>
    <w:rsid w:val="00B60014"/>
    <w:rsid w:val="00B6007D"/>
    <w:rsid w:val="00B62CBE"/>
    <w:rsid w:val="00B6694A"/>
    <w:rsid w:val="00B67433"/>
    <w:rsid w:val="00B70B63"/>
    <w:rsid w:val="00B725A4"/>
    <w:rsid w:val="00B72A6A"/>
    <w:rsid w:val="00B72BDA"/>
    <w:rsid w:val="00B73766"/>
    <w:rsid w:val="00B74EC0"/>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30AA"/>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A1E"/>
    <w:rsid w:val="00BC2B72"/>
    <w:rsid w:val="00BC36DD"/>
    <w:rsid w:val="00BC3865"/>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FFF"/>
    <w:rsid w:val="00BF21FC"/>
    <w:rsid w:val="00BF3118"/>
    <w:rsid w:val="00BF3A2A"/>
    <w:rsid w:val="00BF5A14"/>
    <w:rsid w:val="00BF5DE6"/>
    <w:rsid w:val="00BF657C"/>
    <w:rsid w:val="00BF7A1F"/>
    <w:rsid w:val="00BF7A6A"/>
    <w:rsid w:val="00C004A4"/>
    <w:rsid w:val="00C03823"/>
    <w:rsid w:val="00C05D45"/>
    <w:rsid w:val="00C05E49"/>
    <w:rsid w:val="00C05E9D"/>
    <w:rsid w:val="00C0726B"/>
    <w:rsid w:val="00C07BF6"/>
    <w:rsid w:val="00C07C8E"/>
    <w:rsid w:val="00C10E4A"/>
    <w:rsid w:val="00C13DC9"/>
    <w:rsid w:val="00C13FC0"/>
    <w:rsid w:val="00C142B8"/>
    <w:rsid w:val="00C145FD"/>
    <w:rsid w:val="00C21AD2"/>
    <w:rsid w:val="00C22175"/>
    <w:rsid w:val="00C24DCA"/>
    <w:rsid w:val="00C254AD"/>
    <w:rsid w:val="00C326FC"/>
    <w:rsid w:val="00C32AB8"/>
    <w:rsid w:val="00C32AF1"/>
    <w:rsid w:val="00C33CEB"/>
    <w:rsid w:val="00C34BB0"/>
    <w:rsid w:val="00C35953"/>
    <w:rsid w:val="00C3608F"/>
    <w:rsid w:val="00C361CD"/>
    <w:rsid w:val="00C36904"/>
    <w:rsid w:val="00C37AD2"/>
    <w:rsid w:val="00C41016"/>
    <w:rsid w:val="00C4159D"/>
    <w:rsid w:val="00C4278A"/>
    <w:rsid w:val="00C42800"/>
    <w:rsid w:val="00C44A48"/>
    <w:rsid w:val="00C44CDE"/>
    <w:rsid w:val="00C45721"/>
    <w:rsid w:val="00C4746F"/>
    <w:rsid w:val="00C4786E"/>
    <w:rsid w:val="00C47A26"/>
    <w:rsid w:val="00C567EE"/>
    <w:rsid w:val="00C57448"/>
    <w:rsid w:val="00C57717"/>
    <w:rsid w:val="00C61DC9"/>
    <w:rsid w:val="00C635EB"/>
    <w:rsid w:val="00C63843"/>
    <w:rsid w:val="00C65996"/>
    <w:rsid w:val="00C6615A"/>
    <w:rsid w:val="00C71782"/>
    <w:rsid w:val="00C75AB3"/>
    <w:rsid w:val="00C7607F"/>
    <w:rsid w:val="00C760E8"/>
    <w:rsid w:val="00C76969"/>
    <w:rsid w:val="00C7736E"/>
    <w:rsid w:val="00C8076C"/>
    <w:rsid w:val="00C814B3"/>
    <w:rsid w:val="00C84C50"/>
    <w:rsid w:val="00C84D77"/>
    <w:rsid w:val="00C86379"/>
    <w:rsid w:val="00C86A42"/>
    <w:rsid w:val="00C87975"/>
    <w:rsid w:val="00C90769"/>
    <w:rsid w:val="00C9093B"/>
    <w:rsid w:val="00C90DA0"/>
    <w:rsid w:val="00C93262"/>
    <w:rsid w:val="00C97266"/>
    <w:rsid w:val="00C97740"/>
    <w:rsid w:val="00C979D6"/>
    <w:rsid w:val="00C97C1A"/>
    <w:rsid w:val="00CA0990"/>
    <w:rsid w:val="00CA38D8"/>
    <w:rsid w:val="00CA3F74"/>
    <w:rsid w:val="00CA5B05"/>
    <w:rsid w:val="00CA5BDF"/>
    <w:rsid w:val="00CA5F5B"/>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6C8"/>
    <w:rsid w:val="00CE3C6A"/>
    <w:rsid w:val="00CF3010"/>
    <w:rsid w:val="00CF4242"/>
    <w:rsid w:val="00CF70FE"/>
    <w:rsid w:val="00CF720B"/>
    <w:rsid w:val="00D00AC2"/>
    <w:rsid w:val="00D00EE1"/>
    <w:rsid w:val="00D016AC"/>
    <w:rsid w:val="00D03200"/>
    <w:rsid w:val="00D03B44"/>
    <w:rsid w:val="00D03DD2"/>
    <w:rsid w:val="00D075FD"/>
    <w:rsid w:val="00D10530"/>
    <w:rsid w:val="00D1192B"/>
    <w:rsid w:val="00D12D17"/>
    <w:rsid w:val="00D133D5"/>
    <w:rsid w:val="00D15486"/>
    <w:rsid w:val="00D1689C"/>
    <w:rsid w:val="00D16B3D"/>
    <w:rsid w:val="00D16FA8"/>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50765"/>
    <w:rsid w:val="00D50CD3"/>
    <w:rsid w:val="00D5117F"/>
    <w:rsid w:val="00D533C1"/>
    <w:rsid w:val="00D554A8"/>
    <w:rsid w:val="00D56183"/>
    <w:rsid w:val="00D607A0"/>
    <w:rsid w:val="00D63F08"/>
    <w:rsid w:val="00D6693F"/>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5879"/>
    <w:rsid w:val="00D962FB"/>
    <w:rsid w:val="00DA18B1"/>
    <w:rsid w:val="00DA5EB9"/>
    <w:rsid w:val="00DA76E9"/>
    <w:rsid w:val="00DB1125"/>
    <w:rsid w:val="00DB15CF"/>
    <w:rsid w:val="00DB6A03"/>
    <w:rsid w:val="00DC01F7"/>
    <w:rsid w:val="00DC0353"/>
    <w:rsid w:val="00DC4540"/>
    <w:rsid w:val="00DC5755"/>
    <w:rsid w:val="00DC681B"/>
    <w:rsid w:val="00DC687D"/>
    <w:rsid w:val="00DC789A"/>
    <w:rsid w:val="00DD08C5"/>
    <w:rsid w:val="00DD1C19"/>
    <w:rsid w:val="00DD225A"/>
    <w:rsid w:val="00DD48D2"/>
    <w:rsid w:val="00DD4EC2"/>
    <w:rsid w:val="00DD633A"/>
    <w:rsid w:val="00DD6627"/>
    <w:rsid w:val="00DD6AE5"/>
    <w:rsid w:val="00DE1A10"/>
    <w:rsid w:val="00DE2232"/>
    <w:rsid w:val="00DE2ECD"/>
    <w:rsid w:val="00DE4C0D"/>
    <w:rsid w:val="00DF158E"/>
    <w:rsid w:val="00DF175D"/>
    <w:rsid w:val="00DF2021"/>
    <w:rsid w:val="00DF4DB8"/>
    <w:rsid w:val="00DF5718"/>
    <w:rsid w:val="00DF5E51"/>
    <w:rsid w:val="00E025B3"/>
    <w:rsid w:val="00E02E70"/>
    <w:rsid w:val="00E03053"/>
    <w:rsid w:val="00E05064"/>
    <w:rsid w:val="00E0541B"/>
    <w:rsid w:val="00E06FC9"/>
    <w:rsid w:val="00E10869"/>
    <w:rsid w:val="00E114A9"/>
    <w:rsid w:val="00E138E0"/>
    <w:rsid w:val="00E13CF6"/>
    <w:rsid w:val="00E142DA"/>
    <w:rsid w:val="00E150BD"/>
    <w:rsid w:val="00E16635"/>
    <w:rsid w:val="00E213C8"/>
    <w:rsid w:val="00E22940"/>
    <w:rsid w:val="00E22AE3"/>
    <w:rsid w:val="00E22E2A"/>
    <w:rsid w:val="00E25E7B"/>
    <w:rsid w:val="00E2741C"/>
    <w:rsid w:val="00E301AF"/>
    <w:rsid w:val="00E30811"/>
    <w:rsid w:val="00E31356"/>
    <w:rsid w:val="00E31AF3"/>
    <w:rsid w:val="00E31EF9"/>
    <w:rsid w:val="00E34615"/>
    <w:rsid w:val="00E349D6"/>
    <w:rsid w:val="00E349F8"/>
    <w:rsid w:val="00E35C1C"/>
    <w:rsid w:val="00E36174"/>
    <w:rsid w:val="00E3675B"/>
    <w:rsid w:val="00E376EF"/>
    <w:rsid w:val="00E37FEC"/>
    <w:rsid w:val="00E45E9B"/>
    <w:rsid w:val="00E46EB8"/>
    <w:rsid w:val="00E47620"/>
    <w:rsid w:val="00E50D6D"/>
    <w:rsid w:val="00E51297"/>
    <w:rsid w:val="00E52146"/>
    <w:rsid w:val="00E522DB"/>
    <w:rsid w:val="00E5251C"/>
    <w:rsid w:val="00E52848"/>
    <w:rsid w:val="00E55E2B"/>
    <w:rsid w:val="00E6099F"/>
    <w:rsid w:val="00E61328"/>
    <w:rsid w:val="00E64141"/>
    <w:rsid w:val="00E65466"/>
    <w:rsid w:val="00E65583"/>
    <w:rsid w:val="00E67017"/>
    <w:rsid w:val="00E71CD7"/>
    <w:rsid w:val="00E71DD7"/>
    <w:rsid w:val="00E73B27"/>
    <w:rsid w:val="00E74FAD"/>
    <w:rsid w:val="00E75D0B"/>
    <w:rsid w:val="00E82617"/>
    <w:rsid w:val="00E83E85"/>
    <w:rsid w:val="00E84330"/>
    <w:rsid w:val="00E8449E"/>
    <w:rsid w:val="00E862BF"/>
    <w:rsid w:val="00E86AF4"/>
    <w:rsid w:val="00E8740E"/>
    <w:rsid w:val="00E87812"/>
    <w:rsid w:val="00E90225"/>
    <w:rsid w:val="00E906E8"/>
    <w:rsid w:val="00E91D40"/>
    <w:rsid w:val="00E920B0"/>
    <w:rsid w:val="00E93811"/>
    <w:rsid w:val="00E94578"/>
    <w:rsid w:val="00E94DFA"/>
    <w:rsid w:val="00E9507A"/>
    <w:rsid w:val="00E97260"/>
    <w:rsid w:val="00E9739D"/>
    <w:rsid w:val="00EA3595"/>
    <w:rsid w:val="00EA5801"/>
    <w:rsid w:val="00EA6377"/>
    <w:rsid w:val="00EA6F4C"/>
    <w:rsid w:val="00EA6F62"/>
    <w:rsid w:val="00EB087E"/>
    <w:rsid w:val="00EB506F"/>
    <w:rsid w:val="00EB51DC"/>
    <w:rsid w:val="00EB581F"/>
    <w:rsid w:val="00EB6152"/>
    <w:rsid w:val="00EB66FF"/>
    <w:rsid w:val="00EC0503"/>
    <w:rsid w:val="00EC1C6A"/>
    <w:rsid w:val="00EC2169"/>
    <w:rsid w:val="00EC31D3"/>
    <w:rsid w:val="00EC32F8"/>
    <w:rsid w:val="00EC69F6"/>
    <w:rsid w:val="00ED17AD"/>
    <w:rsid w:val="00ED3406"/>
    <w:rsid w:val="00ED3996"/>
    <w:rsid w:val="00ED3D87"/>
    <w:rsid w:val="00ED45CC"/>
    <w:rsid w:val="00ED54E7"/>
    <w:rsid w:val="00ED57CA"/>
    <w:rsid w:val="00ED5A58"/>
    <w:rsid w:val="00ED7FB6"/>
    <w:rsid w:val="00EE009B"/>
    <w:rsid w:val="00EE09F8"/>
    <w:rsid w:val="00EE25F8"/>
    <w:rsid w:val="00EE337B"/>
    <w:rsid w:val="00EE38B3"/>
    <w:rsid w:val="00EE4077"/>
    <w:rsid w:val="00EE5634"/>
    <w:rsid w:val="00EE7D7D"/>
    <w:rsid w:val="00EF16A1"/>
    <w:rsid w:val="00EF2711"/>
    <w:rsid w:val="00EF2D8D"/>
    <w:rsid w:val="00EF35B7"/>
    <w:rsid w:val="00EF39C6"/>
    <w:rsid w:val="00EF7E7B"/>
    <w:rsid w:val="00F026C9"/>
    <w:rsid w:val="00F04D7F"/>
    <w:rsid w:val="00F06D9E"/>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308A"/>
    <w:rsid w:val="00F34299"/>
    <w:rsid w:val="00F3474C"/>
    <w:rsid w:val="00F36138"/>
    <w:rsid w:val="00F40323"/>
    <w:rsid w:val="00F42787"/>
    <w:rsid w:val="00F42967"/>
    <w:rsid w:val="00F50E99"/>
    <w:rsid w:val="00F510D3"/>
    <w:rsid w:val="00F51217"/>
    <w:rsid w:val="00F519A3"/>
    <w:rsid w:val="00F51E58"/>
    <w:rsid w:val="00F52DC1"/>
    <w:rsid w:val="00F54C13"/>
    <w:rsid w:val="00F55BC6"/>
    <w:rsid w:val="00F55C98"/>
    <w:rsid w:val="00F55E88"/>
    <w:rsid w:val="00F5633C"/>
    <w:rsid w:val="00F5701E"/>
    <w:rsid w:val="00F571EB"/>
    <w:rsid w:val="00F57445"/>
    <w:rsid w:val="00F609F2"/>
    <w:rsid w:val="00F61F55"/>
    <w:rsid w:val="00F624B3"/>
    <w:rsid w:val="00F65464"/>
    <w:rsid w:val="00F70223"/>
    <w:rsid w:val="00F70BD5"/>
    <w:rsid w:val="00F70BEF"/>
    <w:rsid w:val="00F70D10"/>
    <w:rsid w:val="00F70D38"/>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B2986"/>
    <w:rsid w:val="00FB3E46"/>
    <w:rsid w:val="00FB4344"/>
    <w:rsid w:val="00FB470E"/>
    <w:rsid w:val="00FB5D1F"/>
    <w:rsid w:val="00FB77D5"/>
    <w:rsid w:val="00FB786F"/>
    <w:rsid w:val="00FB7A93"/>
    <w:rsid w:val="00FC004F"/>
    <w:rsid w:val="00FC0AD4"/>
    <w:rsid w:val="00FC2921"/>
    <w:rsid w:val="00FC3E45"/>
    <w:rsid w:val="00FC75E4"/>
    <w:rsid w:val="00FD065B"/>
    <w:rsid w:val="00FD093E"/>
    <w:rsid w:val="00FD4B44"/>
    <w:rsid w:val="00FD4BB3"/>
    <w:rsid w:val="00FD4C21"/>
    <w:rsid w:val="00FD7144"/>
    <w:rsid w:val="00FE2D53"/>
    <w:rsid w:val="00FE3B07"/>
    <w:rsid w:val="00FE3D3E"/>
    <w:rsid w:val="00FE4AC2"/>
    <w:rsid w:val="00FF0BE3"/>
    <w:rsid w:val="00FF2214"/>
    <w:rsid w:val="00FF3EB6"/>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A2E7C09-E50A-42C6-9BD2-F1106A17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 w:type="paragraph" w:customStyle="1" w:styleId="Body">
    <w:name w:val="Body"/>
    <w:rsid w:val="000D52BA"/>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4521</Words>
  <Characters>23876</Characters>
  <Application>Microsoft Office Word</Application>
  <DocSecurity>0</DocSecurity>
  <Lines>508</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4</cp:revision>
  <cp:lastPrinted>2026-01-12T15:11:00Z</cp:lastPrinted>
  <dcterms:created xsi:type="dcterms:W3CDTF">2026-01-12T15:16:00Z</dcterms:created>
  <dcterms:modified xsi:type="dcterms:W3CDTF">2026-01-12T15:48:00Z</dcterms:modified>
</cp:coreProperties>
</file>