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D397F" w14:textId="7C1A0ACA" w:rsidR="00B525F6" w:rsidRPr="00B525F6" w:rsidRDefault="00B525F6">
      <w:pPr>
        <w:jc w:val="center"/>
        <w:rPr>
          <w:rFonts w:ascii="Book Antiqua" w:eastAsia="Book Antiqua" w:hAnsi="Book Antiqua" w:cs="Book Antiqua"/>
          <w:b/>
          <w:color w:val="000000" w:themeColor="text1"/>
          <w:lang w:val="es-PR"/>
        </w:rPr>
      </w:pPr>
      <w:r w:rsidRPr="00B525F6">
        <w:rPr>
          <w:rFonts w:ascii="Book Antiqua" w:eastAsia="Book Antiqua" w:hAnsi="Book Antiqua" w:cs="Book Antiqua"/>
          <w:b/>
          <w:color w:val="000000" w:themeColor="text1"/>
          <w:lang w:val="es-PR"/>
        </w:rPr>
        <w:t>(ENTIRILLADO ELECTRÓNICO)</w:t>
      </w:r>
    </w:p>
    <w:p w14:paraId="79550656" w14:textId="6BA469D6" w:rsidR="00FF2214" w:rsidRPr="00391268" w:rsidRDefault="00850770">
      <w:pPr>
        <w:jc w:val="center"/>
        <w:rPr>
          <w:rFonts w:ascii="Book Antiqua" w:eastAsia="Book Antiqua" w:hAnsi="Book Antiqua" w:cs="Book Antiqua"/>
          <w:bCs/>
          <w:color w:val="000000" w:themeColor="text1"/>
          <w:sz w:val="28"/>
          <w:szCs w:val="28"/>
          <w:lang w:val="es-PR"/>
        </w:rPr>
      </w:pPr>
      <w:r w:rsidRPr="0039126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91268">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5725F12D"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B20D7C">
        <w:rPr>
          <w:rFonts w:ascii="Book Antiqua" w:hAnsi="Book Antiqua"/>
          <w:b/>
          <w:color w:val="000000" w:themeColor="text1"/>
          <w:sz w:val="52"/>
          <w:szCs w:val="52"/>
          <w:lang w:val="es-PR"/>
        </w:rPr>
        <w:t xml:space="preserve"> 1015</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127C93A4" w:rsidR="00950505" w:rsidRPr="001E649E" w:rsidRDefault="00391268"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6C7E5392" w14:textId="77777777" w:rsidR="00391268" w:rsidRPr="00B00227" w:rsidRDefault="00391268" w:rsidP="00391268">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González González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18A0DB58" w14:textId="77777777" w:rsidR="00950505" w:rsidRPr="001E649E" w:rsidRDefault="00950505" w:rsidP="00950505">
      <w:pPr>
        <w:jc w:val="center"/>
        <w:rPr>
          <w:rFonts w:ascii="Book Antiqua" w:hAnsi="Book Antiqua"/>
          <w:color w:val="000000" w:themeColor="text1"/>
          <w:lang w:val="es-PR"/>
        </w:rPr>
      </w:pPr>
    </w:p>
    <w:p w14:paraId="6E0B8939" w14:textId="68C7D074"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687A3E">
        <w:rPr>
          <w:rFonts w:ascii="Book Antiqua" w:hAnsi="Book Antiqua"/>
          <w:color w:val="000000" w:themeColor="text1"/>
          <w:lang w:val="es-PR"/>
        </w:rPr>
        <w:t xml:space="preserve"> la Comisión de </w:t>
      </w:r>
      <w:r w:rsidR="00687A3E" w:rsidRPr="00687A3E">
        <w:rPr>
          <w:rFonts w:ascii="Book Antiqua" w:hAnsi="Book Antiqua"/>
          <w:color w:val="000000" w:themeColor="text1"/>
          <w:lang w:val="es-PR"/>
        </w:rPr>
        <w:t>Asuntos Municipales</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14035B6A" w:rsidR="00BA14DD" w:rsidRPr="006944D1" w:rsidRDefault="00BA14DD" w:rsidP="00391268">
      <w:pPr>
        <w:ind w:left="360" w:hanging="360"/>
        <w:jc w:val="both"/>
        <w:rPr>
          <w:rFonts w:ascii="Book Antiqua" w:hAnsi="Book Antiqua"/>
          <w:lang w:val="es-PR"/>
        </w:rPr>
      </w:pPr>
      <w:r w:rsidRPr="006944D1">
        <w:rPr>
          <w:rFonts w:ascii="Book Antiqua" w:hAnsi="Book Antiqua"/>
          <w:lang w:val="es-PR"/>
        </w:rPr>
        <w:t xml:space="preserve">Para </w:t>
      </w:r>
      <w:bookmarkStart w:id="1" w:name="_Hlk218955630"/>
      <w:r w:rsidRPr="006944D1">
        <w:rPr>
          <w:rFonts w:ascii="Book Antiqua" w:hAnsi="Book Antiqua"/>
          <w:lang w:val="es-PR"/>
        </w:rPr>
        <w:t>añadir un nuevo Artículo 2.003</w:t>
      </w:r>
      <w:r w:rsidR="000E6BEA">
        <w:rPr>
          <w:rFonts w:ascii="Book Antiqua" w:hAnsi="Book Antiqua"/>
          <w:lang w:val="es-PR"/>
        </w:rPr>
        <w:t>B</w:t>
      </w:r>
      <w:r w:rsidRPr="006944D1">
        <w:rPr>
          <w:rFonts w:ascii="Book Antiqua" w:hAnsi="Book Antiqua"/>
          <w:lang w:val="es-PR"/>
        </w:rPr>
        <w:t xml:space="preserve"> de la Ley 107-2020, según enmendada, conocida como “Código Municipal de Puerto Rico”, </w:t>
      </w:r>
      <w:r w:rsidRPr="00BA14DD">
        <w:rPr>
          <w:rFonts w:ascii="Book Antiqua" w:hAnsi="Book Antiqua"/>
          <w:bCs/>
          <w:lang w:val="es-PR"/>
        </w:rPr>
        <w:t xml:space="preserve">a los fines de </w:t>
      </w:r>
      <w:r w:rsidR="003C0451">
        <w:rPr>
          <w:rFonts w:ascii="Book Antiqua" w:hAnsi="Book Antiqua"/>
          <w:bCs/>
          <w:lang w:val="es-PR"/>
        </w:rPr>
        <w:t>requerir</w:t>
      </w:r>
      <w:r w:rsidRPr="00BA14DD">
        <w:rPr>
          <w:rFonts w:ascii="Book Antiqua" w:hAnsi="Book Antiqua"/>
          <w:bCs/>
          <w:lang w:val="es-PR"/>
        </w:rPr>
        <w:t xml:space="preserve"> un</w:t>
      </w:r>
      <w:r w:rsidR="00177136">
        <w:rPr>
          <w:rFonts w:ascii="Book Antiqua" w:hAnsi="Book Antiqua"/>
          <w:bCs/>
          <w:lang w:val="es-PR"/>
        </w:rPr>
        <w:t xml:space="preserve"> Enlace</w:t>
      </w:r>
      <w:r w:rsidRPr="00BA14DD">
        <w:rPr>
          <w:rFonts w:ascii="Book Antiqua" w:hAnsi="Book Antiqua"/>
          <w:bCs/>
          <w:lang w:val="es-PR"/>
        </w:rPr>
        <w:t xml:space="preserve"> Municipal de Asuntos de la Mujer y Víctimas de Violencia Doméstica</w:t>
      </w:r>
      <w:r w:rsidR="003C0451">
        <w:rPr>
          <w:rFonts w:ascii="Book Antiqua" w:hAnsi="Book Antiqua"/>
          <w:bCs/>
          <w:lang w:val="es-PR"/>
        </w:rPr>
        <w:t xml:space="preserve"> en cada municipio</w:t>
      </w:r>
      <w:r w:rsidRPr="00BA14DD">
        <w:rPr>
          <w:rFonts w:ascii="Book Antiqua" w:hAnsi="Book Antiqua"/>
          <w:bCs/>
          <w:lang w:val="es-PR"/>
        </w:rPr>
        <w:t>; y para otros fines relacionados</w:t>
      </w:r>
      <w:r w:rsidRPr="006944D1">
        <w:rPr>
          <w:rFonts w:ascii="Book Antiqua" w:hAnsi="Book Antiqua"/>
          <w:lang w:val="es-PR"/>
        </w:rPr>
        <w:t>.</w:t>
      </w:r>
    </w:p>
    <w:bookmarkEnd w:id="1"/>
    <w:p w14:paraId="0A3A32E9" w14:textId="77777777" w:rsidR="000B0E9A" w:rsidRPr="001E649E" w:rsidRDefault="000B0E9A" w:rsidP="00391268">
      <w:pPr>
        <w:ind w:left="720" w:hanging="720"/>
        <w:jc w:val="center"/>
        <w:rPr>
          <w:rFonts w:ascii="Book Antiqua" w:hAnsi="Book Antiqua"/>
          <w:color w:val="000000" w:themeColor="text1"/>
          <w:lang w:val="es-PR"/>
        </w:rPr>
      </w:pPr>
    </w:p>
    <w:p w14:paraId="63AE53B1" w14:textId="4CB927AE" w:rsidR="00010836" w:rsidRDefault="00850770" w:rsidP="00391268">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391268">
      <w:pPr>
        <w:ind w:left="540" w:hanging="540"/>
        <w:jc w:val="center"/>
        <w:rPr>
          <w:rFonts w:ascii="Book Antiqua" w:eastAsia="Book Antiqua" w:hAnsi="Book Antiqua" w:cs="Book Antiqua"/>
          <w:bCs/>
          <w:color w:val="000000" w:themeColor="text1"/>
          <w:lang w:val="es-PR"/>
        </w:rPr>
      </w:pPr>
    </w:p>
    <w:p w14:paraId="3E29DF46" w14:textId="20A13909" w:rsidR="00BA14DD" w:rsidRPr="00BA14DD" w:rsidRDefault="00391268" w:rsidP="00391268">
      <w:pPr>
        <w:jc w:val="both"/>
        <w:rPr>
          <w:rFonts w:ascii="Book Antiqua" w:hAnsi="Book Antiqua"/>
          <w:lang w:val="es-PR"/>
        </w:rPr>
      </w:pPr>
      <w:bookmarkStart w:id="2" w:name="_Hlk218956029"/>
      <w:r>
        <w:rPr>
          <w:rFonts w:ascii="Book Antiqua" w:hAnsi="Book Antiqua"/>
          <w:lang w:val="es-PR"/>
        </w:rPr>
        <w:tab/>
      </w:r>
      <w:r w:rsidR="001430FF">
        <w:rPr>
          <w:rFonts w:ascii="Book Antiqua" w:hAnsi="Book Antiqua"/>
          <w:lang w:val="es-PR"/>
        </w:rPr>
        <w:t>L</w:t>
      </w:r>
      <w:r w:rsidR="00BA14DD" w:rsidRPr="00BA14DD">
        <w:rPr>
          <w:rFonts w:ascii="Book Antiqua" w:hAnsi="Book Antiqua"/>
          <w:lang w:val="es-PR"/>
        </w:rPr>
        <w:t>a violencia de género constituye una de las más persistentes y devastadoras manifestaciones de desigualdad en nuestra sociedad. Se trata de una crisis social que trasciende lo individual y genera un clima de inseguridad incompatible con los principios de equidad, respeto y justicia. Habida cuenta que se trata de una problemática complicada y generalizada, basada en patrones culturales y estructuras de poder históricamente desiguales, es imperativo atenderla desde múltiples frentes con una respuesta gubernamental efectiva e integrada.</w:t>
      </w:r>
    </w:p>
    <w:p w14:paraId="67675C97" w14:textId="44E7BEC8" w:rsidR="00BA14DD" w:rsidRPr="00BA14DD" w:rsidRDefault="00391268" w:rsidP="00391268">
      <w:pPr>
        <w:jc w:val="both"/>
        <w:rPr>
          <w:rFonts w:ascii="Book Antiqua" w:hAnsi="Book Antiqua"/>
          <w:lang w:val="es-PR"/>
        </w:rPr>
      </w:pPr>
      <w:r>
        <w:rPr>
          <w:rFonts w:ascii="Book Antiqua" w:hAnsi="Book Antiqua"/>
          <w:lang w:val="es-PR"/>
        </w:rPr>
        <w:lastRenderedPageBreak/>
        <w:tab/>
      </w:r>
      <w:r w:rsidR="00BA14DD" w:rsidRPr="00BA14DD">
        <w:rPr>
          <w:rFonts w:ascii="Book Antiqua" w:hAnsi="Book Antiqua"/>
          <w:lang w:val="es-PR"/>
        </w:rPr>
        <w:t>De otra parte, si bien reconocemos que tanto hombres como mujeres pueden ser víctimas de violencia de género, es nuestra contención que las estadísticas reflejan una realidad alarmante e irrefutable. La vasta mayoría de las víctimas son mujeres. Según datos oficiales del Negociado de la Policía de Puerto Rico, durante el año 2024 se reportaron 9,476 incidentes de violencia doméstica, de los cuales 7,784 fueron contra mujeres.</w:t>
      </w:r>
      <w:r w:rsidR="00BA14DD" w:rsidRPr="006944D1">
        <w:rPr>
          <w:rStyle w:val="FootnoteReference"/>
          <w:rFonts w:ascii="Book Antiqua" w:hAnsi="Book Antiqua"/>
        </w:rPr>
        <w:footnoteReference w:id="2"/>
      </w:r>
      <w:r w:rsidR="00BA14DD" w:rsidRPr="00BA14DD">
        <w:rPr>
          <w:rFonts w:ascii="Book Antiqua" w:hAnsi="Book Antiqua"/>
          <w:lang w:val="es-PR"/>
        </w:rPr>
        <w:t xml:space="preserve"> Mientras tanto, los datos más recientes disponibles sobre el 2025 (entre el 1 de enero de 2025 al 27 de abril de 2025) revelan que se han registrado 2,552 incidentes, siendo 2,097 de ellos en perjuicio de mujeres.</w:t>
      </w:r>
      <w:r w:rsidR="001430FF" w:rsidRPr="00BA14DD">
        <w:rPr>
          <w:rFonts w:ascii="Book Antiqua" w:hAnsi="Book Antiqua"/>
          <w:lang w:val="es-PR"/>
        </w:rPr>
        <w:t xml:space="preserve"> </w:t>
      </w:r>
      <w:r w:rsidR="00BA14DD" w:rsidRPr="00BA14DD">
        <w:rPr>
          <w:rFonts w:ascii="Book Antiqua" w:hAnsi="Book Antiqua"/>
          <w:lang w:val="es-PR"/>
        </w:rPr>
        <w:t>Esta tendencia, lejos de revertirse, ha evidenciado un recrudecimiento preocupante con consecuencias trágicas como los 8 feminicidios íntimos reportados en lo que va del presente año.</w:t>
      </w:r>
    </w:p>
    <w:p w14:paraId="2B7D76B1" w14:textId="77777777" w:rsidR="00391268" w:rsidRDefault="00391268" w:rsidP="00391268">
      <w:pPr>
        <w:jc w:val="both"/>
        <w:rPr>
          <w:rFonts w:ascii="Book Antiqua" w:hAnsi="Book Antiqua"/>
          <w:lang w:val="es-PR"/>
        </w:rPr>
      </w:pPr>
      <w:r>
        <w:rPr>
          <w:rFonts w:ascii="Book Antiqua" w:hAnsi="Book Antiqua"/>
          <w:lang w:val="es-PR"/>
        </w:rPr>
        <w:tab/>
      </w:r>
    </w:p>
    <w:p w14:paraId="0357F6BC" w14:textId="3EA9D551"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La violencia contra las mujeres incluye, no solo actos de violencia física o sexual, sino también violencia económica, psicológica, emocional y cibernética, y el acecho.  Se trata de un fenómeno que por su propia naturaleza e impacto ha requerido que tanto la Oficina de la Procuradora de las Mujeres (OPM), las instituciones gubernamentales y las organizaciones sin fines de lucro vuelquen sus esfuerzos para contener este mal social que nos agobia.</w:t>
      </w:r>
    </w:p>
    <w:p w14:paraId="266C89BE" w14:textId="77777777" w:rsidR="00391268" w:rsidRDefault="00391268" w:rsidP="00391268">
      <w:pPr>
        <w:jc w:val="both"/>
        <w:rPr>
          <w:rFonts w:ascii="Book Antiqua" w:hAnsi="Book Antiqua"/>
          <w:lang w:val="es-PR"/>
        </w:rPr>
      </w:pPr>
    </w:p>
    <w:p w14:paraId="60A130A9" w14:textId="3CFC0C76"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En atención a esta realidad, resulta urgente reexaminar y fortalecer los mecanismos institucionales existentes para prevenir, atender y erradicar la violencia de dirigida contra las mujeres. La respuesta debe ser amplia, inclusiva y articulada, lo cual exige el compromiso no solo del gobierno central, sino también de las estructuras más cercanas al ciudadano, los municipios. Ante esta realidad, se hace indispensable reconocer el rol medular que las administraciones municipales pueden y deben desempeñar en la gestión de servicios, atención directa y acompañamiento a las víctimas/sobrevivientes de este mal social que nos agobia.</w:t>
      </w:r>
    </w:p>
    <w:p w14:paraId="1D045E9E" w14:textId="77777777" w:rsidR="00391268" w:rsidRDefault="00391268" w:rsidP="00391268">
      <w:pPr>
        <w:jc w:val="both"/>
        <w:rPr>
          <w:rFonts w:ascii="Book Antiqua" w:hAnsi="Book Antiqua"/>
          <w:lang w:val="es-PR"/>
        </w:rPr>
      </w:pPr>
    </w:p>
    <w:p w14:paraId="22D49D3C" w14:textId="56990863"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Respecto a este punto, cabe destacar que la Ley Núm. 81-1991, conocida como “Ley de Municipios Autónomos de Puerto Rico”, actualmente derogada, disponía expresamente la obligación de establecer una Oficina Municipal de Asuntos de la Mujer como unidad administrativa en los municipios. Estas oficinas servían como primer punto de apoyo para mujeres víctimas de violencia de género, orientándolas sobre sus derechos, ayudándolas a gestionar órdenes de protección y facilitando referidos a la OPM y otras agencias pertinentes, y se canalizaban otro tipo de servicios atinentes para atender las necesidades de las mujeres. </w:t>
      </w:r>
    </w:p>
    <w:p w14:paraId="03883163" w14:textId="77777777" w:rsidR="00391268" w:rsidRDefault="00391268" w:rsidP="00391268">
      <w:pPr>
        <w:jc w:val="both"/>
        <w:rPr>
          <w:rFonts w:ascii="Book Antiqua" w:hAnsi="Book Antiqua"/>
          <w:lang w:val="es-PR"/>
        </w:rPr>
      </w:pPr>
    </w:p>
    <w:p w14:paraId="51A0D878" w14:textId="1ADB6188" w:rsid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Sin embargo, con la aprobación de la Ley Núm. 107-2020, según enmendada, conocida como “Código Municipal de Puerto Rico”, dicha disposición fue eliminada. Esta omisión legislativa ha generado un vacío que debilita los esfuerzos de prevención y respuesta ante la violencia de género, fragmentando los servicios y reduciendo la capacidad del Estado para responder con agilidad y cercanía.</w:t>
      </w:r>
    </w:p>
    <w:p w14:paraId="6BBEF1F7" w14:textId="6D396B94" w:rsidR="003C0451" w:rsidRPr="00BA14DD" w:rsidRDefault="00391268" w:rsidP="00391268">
      <w:pPr>
        <w:jc w:val="both"/>
        <w:rPr>
          <w:rFonts w:ascii="Book Antiqua" w:hAnsi="Book Antiqua"/>
          <w:lang w:val="es-PR"/>
        </w:rPr>
      </w:pPr>
      <w:r>
        <w:rPr>
          <w:rFonts w:ascii="Book Antiqua" w:hAnsi="Book Antiqua"/>
          <w:lang w:val="es-PR"/>
        </w:rPr>
        <w:lastRenderedPageBreak/>
        <w:tab/>
      </w:r>
      <w:r w:rsidR="003C0451">
        <w:rPr>
          <w:rFonts w:ascii="Book Antiqua" w:hAnsi="Book Antiqua"/>
          <w:lang w:val="es-PR"/>
        </w:rPr>
        <w:t xml:space="preserve">Esta legislación le requiere a cada alcalde designar un funcionario municipal que sirva de enlace de </w:t>
      </w:r>
      <w:r w:rsidR="003C0451" w:rsidRPr="003C0451">
        <w:rPr>
          <w:rFonts w:ascii="Book Antiqua" w:hAnsi="Book Antiqua"/>
          <w:lang w:val="es-PR"/>
        </w:rPr>
        <w:t>Asuntos de la Mujer y Víctimas de Violencia Doméstica</w:t>
      </w:r>
      <w:r w:rsidR="003C0451">
        <w:rPr>
          <w:rFonts w:ascii="Book Antiqua" w:hAnsi="Book Antiqua"/>
          <w:lang w:val="es-PR"/>
        </w:rPr>
        <w:t xml:space="preserve">. </w:t>
      </w:r>
    </w:p>
    <w:p w14:paraId="2B3F91E5" w14:textId="77777777" w:rsidR="00391268" w:rsidRDefault="00391268" w:rsidP="00391268">
      <w:pPr>
        <w:jc w:val="both"/>
        <w:rPr>
          <w:rFonts w:ascii="Book Antiqua" w:hAnsi="Book Antiqua"/>
          <w:lang w:val="es-PR"/>
        </w:rPr>
      </w:pPr>
    </w:p>
    <w:p w14:paraId="079F2DC7" w14:textId="6C2A5056"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 xml:space="preserve">Además, reconocemos que los municipios por su proximidad a los constituyentes y su conocimiento directo de las dinámicas comunitarias poseen una ventaja estratégica que debe ser aprovechada para articular respuestas locales que complementen los esfuerzos estatales y del tercer sector. Por lo tanto, fortalecer la presencia institucional de los asuntos de la mujer a nivel municipal constituye una acción esencial y urgente. </w:t>
      </w:r>
    </w:p>
    <w:bookmarkEnd w:id="2"/>
    <w:p w14:paraId="6122DF45" w14:textId="77777777" w:rsidR="004C1C7C" w:rsidRPr="001E649E" w:rsidRDefault="004C1C7C" w:rsidP="00391268">
      <w:pPr>
        <w:jc w:val="both"/>
        <w:rPr>
          <w:rFonts w:ascii="Book Antiqua" w:hAnsi="Book Antiqua"/>
          <w:i/>
          <w:color w:val="000000" w:themeColor="text1"/>
          <w:lang w:val="es-PR"/>
        </w:rPr>
      </w:pPr>
    </w:p>
    <w:p w14:paraId="7955066D" w14:textId="77777777" w:rsidR="00FF2214" w:rsidRPr="001E649E" w:rsidRDefault="00850770" w:rsidP="00391268">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412BBCA6" w:rsidR="008622F9" w:rsidRPr="008622F9" w:rsidRDefault="008622F9" w:rsidP="008622F9">
      <w:pPr>
        <w:pStyle w:val="BodyTextIndent"/>
        <w:spacing w:line="480" w:lineRule="auto"/>
        <w:ind w:firstLine="540"/>
        <w:jc w:val="both"/>
        <w:rPr>
          <w:rFonts w:ascii="Book Antiqua" w:hAnsi="Book Antiqua"/>
          <w:lang w:val="es-PR"/>
        </w:rPr>
      </w:pPr>
      <w:bookmarkStart w:id="3" w:name="_Hlk218956105"/>
      <w:bookmarkStart w:id="4" w:name="_Hlk133500654"/>
      <w:r w:rsidRPr="008622F9">
        <w:rPr>
          <w:rFonts w:ascii="Book Antiqua" w:hAnsi="Book Antiqua"/>
          <w:lang w:val="es-PR"/>
        </w:rPr>
        <w:t>Sección 1.-Se añade un nuevo Artículo 2.003</w:t>
      </w:r>
      <w:r w:rsidR="000E6BEA">
        <w:rPr>
          <w:rFonts w:ascii="Book Antiqua" w:hAnsi="Book Antiqua"/>
          <w:lang w:val="es-PR"/>
        </w:rPr>
        <w:t xml:space="preserve"> B</w:t>
      </w:r>
      <w:r w:rsidRPr="008622F9">
        <w:rPr>
          <w:rFonts w:ascii="Book Antiqua" w:hAnsi="Book Antiqua"/>
          <w:lang w:val="es-PR"/>
        </w:rPr>
        <w:t xml:space="preserve"> </w:t>
      </w:r>
      <w:r w:rsidR="000E6BEA">
        <w:rPr>
          <w:rFonts w:ascii="Book Antiqua" w:hAnsi="Book Antiqua"/>
          <w:lang w:val="es-PR"/>
        </w:rPr>
        <w:t>a</w:t>
      </w:r>
      <w:r w:rsidRPr="008622F9">
        <w:rPr>
          <w:rFonts w:ascii="Book Antiqua" w:hAnsi="Book Antiqua"/>
          <w:lang w:val="es-PR"/>
        </w:rPr>
        <w:t xml:space="preserve"> la Ley 107-2020, según enmendada, conocida como “Código Municipal de Puerto Rico”, para que se lea como sigue:</w:t>
      </w:r>
    </w:p>
    <w:p w14:paraId="39DD2D3F" w14:textId="4A89EF98" w:rsidR="008622F9" w:rsidRPr="000E6BEA" w:rsidRDefault="008622F9" w:rsidP="008622F9">
      <w:pPr>
        <w:spacing w:line="480" w:lineRule="auto"/>
        <w:ind w:left="360" w:firstLine="540"/>
        <w:jc w:val="both"/>
        <w:rPr>
          <w:rFonts w:ascii="Book Antiqua" w:hAnsi="Book Antiqua"/>
          <w:i/>
          <w:iCs/>
          <w:lang w:val="es-PR"/>
        </w:rPr>
      </w:pPr>
      <w:r w:rsidRPr="006944D1">
        <w:rPr>
          <w:rFonts w:ascii="Book Antiqua" w:hAnsi="Book Antiqua"/>
          <w:lang w:val="es-PR"/>
        </w:rPr>
        <w:t>“</w:t>
      </w:r>
      <w:r w:rsidRPr="000E6BEA">
        <w:rPr>
          <w:rFonts w:ascii="Book Antiqua" w:hAnsi="Book Antiqua"/>
          <w:i/>
          <w:iCs/>
          <w:lang w:val="es-PR"/>
        </w:rPr>
        <w:t xml:space="preserve">Artículo 2.003 </w:t>
      </w:r>
      <w:r w:rsidR="000E6BEA" w:rsidRPr="000E6BEA">
        <w:rPr>
          <w:rFonts w:ascii="Book Antiqua" w:hAnsi="Book Antiqua"/>
          <w:i/>
          <w:iCs/>
          <w:lang w:val="es-PR"/>
        </w:rPr>
        <w:t>B</w:t>
      </w:r>
      <w:r w:rsidRPr="000E6BEA">
        <w:rPr>
          <w:rFonts w:ascii="Book Antiqua" w:hAnsi="Book Antiqua"/>
          <w:i/>
          <w:iCs/>
          <w:lang w:val="es-PR"/>
        </w:rPr>
        <w:t xml:space="preserve">— </w:t>
      </w:r>
      <w:r w:rsidR="000E6BEA" w:rsidRPr="000E6BEA">
        <w:rPr>
          <w:rFonts w:ascii="Book Antiqua" w:hAnsi="Book Antiqua"/>
          <w:bCs/>
          <w:i/>
          <w:iCs/>
          <w:lang w:val="es-PR"/>
        </w:rPr>
        <w:t>Enlace Municipal de Asuntos de la Mujer y Víctimas de Violencia Doméstica</w:t>
      </w:r>
    </w:p>
    <w:p w14:paraId="4460747B" w14:textId="6BB5EE54" w:rsidR="00FA1B27" w:rsidRDefault="003C0451" w:rsidP="003C0451">
      <w:pPr>
        <w:spacing w:line="480" w:lineRule="auto"/>
        <w:ind w:left="360" w:firstLine="540"/>
        <w:jc w:val="both"/>
        <w:rPr>
          <w:rFonts w:ascii="Book Antiqua" w:hAnsi="Book Antiqua"/>
          <w:lang w:val="es-PR"/>
        </w:rPr>
      </w:pPr>
      <w:r w:rsidRPr="000E6BEA">
        <w:rPr>
          <w:rFonts w:ascii="Book Antiqua" w:hAnsi="Book Antiqua"/>
          <w:bCs/>
          <w:i/>
          <w:iCs/>
          <w:lang w:val="es-PR"/>
        </w:rPr>
        <w:t>Todo municipio</w:t>
      </w:r>
      <w:r w:rsidR="00B525F6">
        <w:rPr>
          <w:rFonts w:ascii="Book Antiqua" w:hAnsi="Book Antiqua"/>
          <w:bCs/>
          <w:i/>
          <w:iCs/>
          <w:u w:val="single"/>
          <w:lang w:val="es-PR"/>
        </w:rPr>
        <w:t>, a través de su alcalde,</w:t>
      </w:r>
      <w:r w:rsidRPr="000E6BEA">
        <w:rPr>
          <w:rFonts w:ascii="Book Antiqua" w:hAnsi="Book Antiqua"/>
          <w:bCs/>
          <w:i/>
          <w:iCs/>
          <w:lang w:val="es-PR"/>
        </w:rPr>
        <w:t xml:space="preserve"> </w:t>
      </w:r>
      <w:r>
        <w:rPr>
          <w:rFonts w:ascii="Book Antiqua" w:hAnsi="Book Antiqua"/>
          <w:bCs/>
          <w:i/>
          <w:iCs/>
          <w:lang w:val="es-PR"/>
        </w:rPr>
        <w:t xml:space="preserve">deberá </w:t>
      </w:r>
      <w:r w:rsidR="005211E8">
        <w:rPr>
          <w:rFonts w:ascii="Book Antiqua" w:hAnsi="Book Antiqua"/>
          <w:bCs/>
          <w:i/>
          <w:iCs/>
          <w:lang w:val="es-PR"/>
        </w:rPr>
        <w:t>designar</w:t>
      </w:r>
      <w:r>
        <w:rPr>
          <w:rFonts w:ascii="Book Antiqua" w:hAnsi="Book Antiqua"/>
          <w:bCs/>
          <w:i/>
          <w:iCs/>
          <w:lang w:val="es-PR"/>
        </w:rPr>
        <w:t xml:space="preserve"> un funcionario </w:t>
      </w:r>
      <w:r w:rsidR="005211E8">
        <w:rPr>
          <w:rFonts w:ascii="Book Antiqua" w:hAnsi="Book Antiqua"/>
          <w:bCs/>
          <w:i/>
          <w:iCs/>
          <w:lang w:val="es-PR"/>
        </w:rPr>
        <w:t>municipal</w:t>
      </w:r>
      <w:r>
        <w:rPr>
          <w:rFonts w:ascii="Book Antiqua" w:hAnsi="Book Antiqua"/>
          <w:bCs/>
          <w:i/>
          <w:iCs/>
          <w:lang w:val="es-PR"/>
        </w:rPr>
        <w:t xml:space="preserve"> como</w:t>
      </w:r>
      <w:r w:rsidRPr="000E6BEA">
        <w:rPr>
          <w:rFonts w:ascii="Book Antiqua" w:hAnsi="Book Antiqua"/>
          <w:bCs/>
          <w:i/>
          <w:iCs/>
          <w:lang w:val="es-PR"/>
        </w:rPr>
        <w:t xml:space="preserve"> Enlace</w:t>
      </w:r>
      <w:r w:rsidRPr="008622F9">
        <w:rPr>
          <w:rFonts w:ascii="Book Antiqua" w:hAnsi="Book Antiqua"/>
          <w:bCs/>
          <w:i/>
          <w:iCs/>
          <w:lang w:val="es-PR"/>
        </w:rPr>
        <w:t xml:space="preserve"> Municipal de Asuntos de la Mujer</w:t>
      </w:r>
      <w:r>
        <w:rPr>
          <w:rFonts w:ascii="Book Antiqua" w:hAnsi="Book Antiqua"/>
          <w:bCs/>
          <w:i/>
          <w:iCs/>
          <w:lang w:val="es-PR"/>
        </w:rPr>
        <w:t xml:space="preserve"> y Víctimas de Violencia Doméstica</w:t>
      </w:r>
      <w:r w:rsidR="008622F9" w:rsidRPr="008622F9">
        <w:rPr>
          <w:rFonts w:ascii="Book Antiqua" w:hAnsi="Book Antiqua"/>
          <w:lang w:val="es-PR"/>
        </w:rPr>
        <w:t>.</w:t>
      </w:r>
    </w:p>
    <w:p w14:paraId="1FBC7F95" w14:textId="4FD47F34" w:rsidR="008622F9" w:rsidRPr="008622F9" w:rsidRDefault="00FA1B27" w:rsidP="003C0451">
      <w:pPr>
        <w:spacing w:line="480" w:lineRule="auto"/>
        <w:ind w:left="360" w:firstLine="540"/>
        <w:jc w:val="both"/>
        <w:rPr>
          <w:rFonts w:ascii="Book Antiqua" w:hAnsi="Book Antiqua"/>
          <w:bCs/>
          <w:lang w:val="es-PR"/>
        </w:rPr>
      </w:pPr>
      <w:r w:rsidRPr="00FA1B27">
        <w:rPr>
          <w:rFonts w:ascii="Book Antiqua" w:hAnsi="Book Antiqua"/>
          <w:i/>
          <w:iCs/>
          <w:u w:val="single"/>
          <w:lang w:val="es-ES"/>
        </w:rPr>
        <w:t xml:space="preserve">Esta Oficina o enlace, </w:t>
      </w:r>
      <w:r w:rsidR="00E35B39">
        <w:rPr>
          <w:rFonts w:ascii="Book Antiqua" w:hAnsi="Book Antiqua"/>
          <w:i/>
          <w:iCs/>
          <w:u w:val="single"/>
          <w:lang w:val="es-ES"/>
        </w:rPr>
        <w:t>que tendrá a su cargo</w:t>
      </w:r>
      <w:r w:rsidRPr="00FA1B27">
        <w:rPr>
          <w:rFonts w:ascii="Book Antiqua" w:hAnsi="Book Antiqua"/>
          <w:i/>
          <w:iCs/>
          <w:u w:val="single"/>
          <w:lang w:val="es-ES"/>
        </w:rPr>
        <w:t xml:space="preserve"> servir como primer punto de apoyo para  víctimas de violencia de género, </w:t>
      </w:r>
      <w:r w:rsidR="00E35B39">
        <w:rPr>
          <w:rFonts w:ascii="Book Antiqua" w:hAnsi="Book Antiqua"/>
          <w:i/>
          <w:iCs/>
          <w:u w:val="single"/>
          <w:lang w:val="es-ES"/>
        </w:rPr>
        <w:t>ofrecerá orientaciones</w:t>
      </w:r>
      <w:r w:rsidRPr="00FA1B27">
        <w:rPr>
          <w:rFonts w:ascii="Book Antiqua" w:hAnsi="Book Antiqua"/>
          <w:i/>
          <w:iCs/>
          <w:u w:val="single"/>
          <w:lang w:val="es-ES"/>
        </w:rPr>
        <w:t xml:space="preserve"> sobre sus derechos, </w:t>
      </w:r>
      <w:r w:rsidR="00E35B39">
        <w:rPr>
          <w:rFonts w:ascii="Book Antiqua" w:hAnsi="Book Antiqua"/>
          <w:i/>
          <w:iCs/>
          <w:u w:val="single"/>
          <w:lang w:val="es-ES"/>
        </w:rPr>
        <w:t xml:space="preserve">asistirá </w:t>
      </w:r>
      <w:r w:rsidRPr="00FA1B27">
        <w:rPr>
          <w:rFonts w:ascii="Book Antiqua" w:hAnsi="Book Antiqua"/>
          <w:i/>
          <w:iCs/>
          <w:u w:val="single"/>
          <w:lang w:val="es-ES"/>
        </w:rPr>
        <w:t xml:space="preserve"> en la gestión de órdenes de protección, </w:t>
      </w:r>
      <w:r w:rsidR="00E35B39">
        <w:rPr>
          <w:rFonts w:ascii="Book Antiqua" w:hAnsi="Book Antiqua"/>
          <w:i/>
          <w:iCs/>
          <w:u w:val="single"/>
          <w:lang w:val="es-ES"/>
        </w:rPr>
        <w:t>facilitará</w:t>
      </w:r>
      <w:r w:rsidRPr="00FA1B27">
        <w:rPr>
          <w:rFonts w:ascii="Book Antiqua" w:hAnsi="Book Antiqua"/>
          <w:i/>
          <w:iCs/>
          <w:u w:val="single"/>
          <w:lang w:val="es-ES"/>
        </w:rPr>
        <w:t xml:space="preserve"> referidos a la Oficina de la Procuradora de las Mujeres (OPM) y a otras agencias pertinentes, así como canaliza</w:t>
      </w:r>
      <w:r w:rsidR="00E35B39">
        <w:rPr>
          <w:rFonts w:ascii="Book Antiqua" w:hAnsi="Book Antiqua"/>
          <w:i/>
          <w:iCs/>
          <w:u w:val="single"/>
          <w:lang w:val="es-ES"/>
        </w:rPr>
        <w:t>r</w:t>
      </w:r>
      <w:r w:rsidRPr="00FA1B27">
        <w:rPr>
          <w:rFonts w:ascii="Book Antiqua" w:hAnsi="Book Antiqua"/>
          <w:i/>
          <w:iCs/>
          <w:u w:val="single"/>
          <w:lang w:val="es-ES"/>
        </w:rPr>
        <w:t xml:space="preserve"> otros servicios relacionados con sus necesidades</w:t>
      </w:r>
      <w:r w:rsidRPr="00FA1B27">
        <w:rPr>
          <w:rFonts w:ascii="Book Antiqua" w:hAnsi="Book Antiqua"/>
          <w:u w:val="single"/>
          <w:lang w:val="es-ES"/>
        </w:rPr>
        <w:t>.</w:t>
      </w:r>
      <w:r w:rsidR="008622F9" w:rsidRPr="006944D1">
        <w:rPr>
          <w:rFonts w:ascii="Book Antiqua" w:hAnsi="Book Antiqua"/>
          <w:lang w:val="es-PR"/>
        </w:rPr>
        <w:t>”</w:t>
      </w:r>
    </w:p>
    <w:p w14:paraId="1D5A32EB" w14:textId="5B4E3860" w:rsidR="00B525F6" w:rsidRPr="00B525F6" w:rsidRDefault="00B525F6" w:rsidP="00B525F6">
      <w:pPr>
        <w:pStyle w:val="ListParagraph"/>
        <w:spacing w:line="480" w:lineRule="auto"/>
        <w:ind w:left="360" w:firstLine="540"/>
        <w:jc w:val="both"/>
        <w:rPr>
          <w:rFonts w:ascii="Book Antiqua" w:hAnsi="Book Antiqua"/>
          <w:i/>
          <w:iCs/>
          <w:spacing w:val="-3"/>
          <w:u w:val="single"/>
          <w:lang w:val="es-ES"/>
        </w:rPr>
      </w:pPr>
      <w:r w:rsidRPr="00B525F6">
        <w:rPr>
          <w:rFonts w:ascii="Book Antiqua" w:hAnsi="Book Antiqua"/>
          <w:i/>
          <w:iCs/>
          <w:spacing w:val="-3"/>
          <w:u w:val="single"/>
          <w:lang w:val="es-PR"/>
        </w:rPr>
        <w:t xml:space="preserve">Sección  2.- </w:t>
      </w:r>
      <w:r w:rsidRPr="00B525F6">
        <w:rPr>
          <w:rFonts w:ascii="Book Antiqua" w:hAnsi="Book Antiqua"/>
          <w:i/>
          <w:iCs/>
          <w:spacing w:val="-3"/>
          <w:u w:val="single"/>
          <w:lang w:val="es-ES"/>
        </w:rPr>
        <w:t>Cumplimiento</w:t>
      </w:r>
    </w:p>
    <w:p w14:paraId="42D1C92D" w14:textId="21F8ED57" w:rsidR="00B525F6" w:rsidRPr="00B525F6" w:rsidRDefault="00B525F6" w:rsidP="00B525F6">
      <w:pPr>
        <w:pStyle w:val="ListParagraph"/>
        <w:spacing w:line="480" w:lineRule="auto"/>
        <w:ind w:left="360" w:firstLine="540"/>
        <w:jc w:val="both"/>
        <w:rPr>
          <w:rFonts w:ascii="Book Antiqua" w:hAnsi="Book Antiqua"/>
          <w:i/>
          <w:iCs/>
          <w:u w:val="single"/>
          <w:lang w:val="es-PR" w:eastAsia="x-none"/>
        </w:rPr>
      </w:pPr>
      <w:r>
        <w:rPr>
          <w:rFonts w:ascii="Book Antiqua" w:hAnsi="Book Antiqua"/>
          <w:i/>
          <w:iCs/>
          <w:spacing w:val="-3"/>
          <w:u w:val="single"/>
          <w:lang w:val="es-ES"/>
        </w:rPr>
        <w:t xml:space="preserve">Los municipios tendrán un plazo de tres (3) meses </w:t>
      </w:r>
      <w:r w:rsidR="00E35B39">
        <w:rPr>
          <w:rFonts w:ascii="Book Antiqua" w:hAnsi="Book Antiqua"/>
          <w:i/>
          <w:iCs/>
          <w:spacing w:val="-3"/>
          <w:u w:val="single"/>
          <w:lang w:val="es-ES"/>
        </w:rPr>
        <w:t xml:space="preserve"> luego de </w:t>
      </w:r>
      <w:r>
        <w:rPr>
          <w:rFonts w:ascii="Book Antiqua" w:hAnsi="Book Antiqua"/>
          <w:i/>
          <w:iCs/>
          <w:spacing w:val="-3"/>
          <w:u w:val="single"/>
          <w:lang w:val="es-ES"/>
        </w:rPr>
        <w:t>la entrada en vigor de esta Ley, para realizar la designación descrita en la Sección anterior</w:t>
      </w:r>
      <w:r w:rsidRPr="00B525F6">
        <w:rPr>
          <w:rFonts w:ascii="Book Antiqua" w:hAnsi="Book Antiqua"/>
          <w:i/>
          <w:iCs/>
          <w:spacing w:val="-3"/>
          <w:u w:val="single"/>
          <w:lang w:val="es-ES"/>
        </w:rPr>
        <w:t>.</w:t>
      </w:r>
    </w:p>
    <w:p w14:paraId="1D774043" w14:textId="188FFBFA" w:rsidR="008622F9" w:rsidRPr="006944D1" w:rsidRDefault="008622F9" w:rsidP="008622F9">
      <w:pPr>
        <w:pStyle w:val="ListParagraph"/>
        <w:spacing w:line="480" w:lineRule="auto"/>
        <w:ind w:left="360" w:firstLine="540"/>
        <w:jc w:val="both"/>
        <w:rPr>
          <w:rFonts w:ascii="Book Antiqua" w:hAnsi="Book Antiqua"/>
          <w:spacing w:val="-3"/>
          <w:lang w:val="es-ES"/>
        </w:rPr>
      </w:pPr>
      <w:r w:rsidRPr="006944D1">
        <w:rPr>
          <w:rFonts w:ascii="Book Antiqua" w:hAnsi="Book Antiqua"/>
          <w:spacing w:val="-3"/>
          <w:lang w:val="es-PR"/>
        </w:rPr>
        <w:t>Sección</w:t>
      </w:r>
      <w:r w:rsidR="00B525F6">
        <w:rPr>
          <w:rFonts w:ascii="Book Antiqua" w:hAnsi="Book Antiqua"/>
          <w:spacing w:val="-3"/>
          <w:lang w:val="es-PR"/>
        </w:rPr>
        <w:t xml:space="preserve"> </w:t>
      </w:r>
      <w:r w:rsidR="00B525F6">
        <w:rPr>
          <w:rFonts w:ascii="Book Antiqua" w:hAnsi="Book Antiqua"/>
          <w:i/>
          <w:iCs/>
          <w:spacing w:val="-3"/>
          <w:u w:val="single"/>
          <w:lang w:val="es-PR"/>
        </w:rPr>
        <w:t>3</w:t>
      </w:r>
      <w:r w:rsidRPr="006944D1">
        <w:rPr>
          <w:rFonts w:ascii="Book Antiqua" w:hAnsi="Book Antiqua"/>
          <w:spacing w:val="-3"/>
          <w:lang w:val="es-PR"/>
        </w:rPr>
        <w:t xml:space="preserve"> </w:t>
      </w:r>
      <w:r w:rsidRPr="00B525F6">
        <w:rPr>
          <w:rFonts w:ascii="Book Antiqua" w:hAnsi="Book Antiqua"/>
          <w:strike/>
          <w:spacing w:val="-3"/>
          <w:lang w:val="es-PR"/>
        </w:rPr>
        <w:t>2</w:t>
      </w:r>
      <w:r w:rsidRPr="006944D1">
        <w:rPr>
          <w:rFonts w:ascii="Book Antiqua" w:hAnsi="Book Antiqua"/>
          <w:spacing w:val="-3"/>
          <w:lang w:val="es-PR"/>
        </w:rPr>
        <w:t xml:space="preserve">.- </w:t>
      </w:r>
      <w:r w:rsidRPr="006944D1">
        <w:rPr>
          <w:rFonts w:ascii="Book Antiqua" w:hAnsi="Book Antiqua"/>
          <w:spacing w:val="-3"/>
          <w:lang w:val="es-ES"/>
        </w:rPr>
        <w:t>Vigencia</w:t>
      </w:r>
    </w:p>
    <w:p w14:paraId="02E9089C" w14:textId="77777777" w:rsidR="008622F9" w:rsidRPr="00744FAA" w:rsidRDefault="008622F9" w:rsidP="008622F9">
      <w:pPr>
        <w:pStyle w:val="ListParagraph"/>
        <w:spacing w:line="480" w:lineRule="auto"/>
        <w:ind w:left="360" w:firstLine="540"/>
        <w:jc w:val="both"/>
        <w:rPr>
          <w:rFonts w:ascii="Book Antiqua" w:hAnsi="Book Antiqua"/>
          <w:lang w:val="es-PR" w:eastAsia="x-none"/>
        </w:rPr>
      </w:pPr>
      <w:r w:rsidRPr="006944D1">
        <w:rPr>
          <w:rFonts w:ascii="Book Antiqua" w:hAnsi="Book Antiqua"/>
          <w:spacing w:val="-3"/>
          <w:lang w:val="es-ES"/>
        </w:rPr>
        <w:lastRenderedPageBreak/>
        <w:t>Esta Ley comenzará a regir inmediatamente después de su aprobación.</w:t>
      </w:r>
      <w:bookmarkEnd w:id="3"/>
      <w:bookmarkEnd w:id="4"/>
    </w:p>
    <w:sectPr w:rsidR="008622F9" w:rsidRPr="00744FAA"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F203D" w14:textId="77777777" w:rsidR="00523AD4" w:rsidRDefault="00523AD4">
      <w:r>
        <w:separator/>
      </w:r>
    </w:p>
  </w:endnote>
  <w:endnote w:type="continuationSeparator" w:id="0">
    <w:p w14:paraId="75B5A276" w14:textId="77777777" w:rsidR="00523AD4" w:rsidRDefault="00523AD4">
      <w:r>
        <w:continuationSeparator/>
      </w:r>
    </w:p>
  </w:endnote>
  <w:endnote w:type="continuationNotice" w:id="1">
    <w:p w14:paraId="61CD72AB" w14:textId="77777777" w:rsidR="00523AD4" w:rsidRDefault="00523A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2288D2B9-C1D6-4157-A165-E77844B3405F}"/>
    <w:embedBold r:id="rId2" w:fontKey="{DD019B2E-53B6-489C-A725-BB13E07BC2AD}"/>
    <w:embedItalic r:id="rId3" w:fontKey="{D3A674E7-20F6-428A-AA10-CA6C977D0464}"/>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CD529200-E208-401A-BBAE-514709194C4E}"/>
  </w:font>
  <w:font w:name="Georgia">
    <w:panose1 w:val="02040502050405020303"/>
    <w:charset w:val="00"/>
    <w:family w:val="roman"/>
    <w:pitch w:val="variable"/>
    <w:sig w:usb0="00000287" w:usb1="00000000" w:usb2="00000000" w:usb3="00000000" w:csb0="0000009F" w:csb1="00000000"/>
    <w:embedRegular r:id="rId5" w:fontKey="{C2F50C17-75D1-469C-AA6B-6C11D3B17D49}"/>
    <w:embedItalic r:id="rId6" w:fontKey="{DAB81D27-3180-420C-96A4-CC5BCC989FE6}"/>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7" w:fontKey="{5BC0EF39-97B6-4DC2-BB7E-7D11FD61A7CA}"/>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C91E701A-1C24-408A-917A-4B4D6E05226E}"/>
  </w:font>
  <w:font w:name="Calibri">
    <w:panose1 w:val="020F0502020204030204"/>
    <w:charset w:val="00"/>
    <w:family w:val="swiss"/>
    <w:pitch w:val="variable"/>
    <w:sig w:usb0="E4002EFF" w:usb1="C200247B" w:usb2="00000009" w:usb3="00000000" w:csb0="000001FF" w:csb1="00000000"/>
    <w:embedRegular r:id="rId9" w:fontKey="{AAFD60C2-9CE9-4910-9226-FFCEFAF5F25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84B17" w14:textId="77777777" w:rsidR="00523AD4" w:rsidRDefault="00523AD4">
      <w:r>
        <w:separator/>
      </w:r>
    </w:p>
  </w:footnote>
  <w:footnote w:type="continuationSeparator" w:id="0">
    <w:p w14:paraId="317D8842" w14:textId="77777777" w:rsidR="00523AD4" w:rsidRDefault="00523AD4">
      <w:r>
        <w:continuationSeparator/>
      </w:r>
    </w:p>
  </w:footnote>
  <w:footnote w:type="continuationNotice" w:id="1">
    <w:p w14:paraId="51A8A94A" w14:textId="77777777" w:rsidR="00523AD4" w:rsidRDefault="00523AD4"/>
  </w:footnote>
  <w:footnote w:id="2">
    <w:p w14:paraId="5A71958D" w14:textId="3D9AA6DD" w:rsidR="00BA14DD" w:rsidRPr="00FD2A9A" w:rsidRDefault="00BA14DD" w:rsidP="00BA14DD">
      <w:pPr>
        <w:pStyle w:val="FootnoteText"/>
        <w:rPr>
          <w:rFonts w:ascii="Book Antiqua" w:hAnsi="Book Antiq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4B9BFCB" w:rsidR="00FF2214" w:rsidRDefault="00850770">
    <w:pPr>
      <w:tabs>
        <w:tab w:val="center" w:pos="4320"/>
        <w:tab w:val="right" w:pos="8640"/>
      </w:tabs>
      <w:jc w:val="right"/>
      <w:rPr>
        <w:color w:val="000000"/>
      </w:rPr>
    </w:pPr>
    <w:r w:rsidRPr="00876144">
      <w:rPr>
        <w:color w:val="000000"/>
      </w:rPr>
      <w:t>A-0</w:t>
    </w:r>
    <w:r w:rsidR="00756F9A">
      <w:rPr>
        <w:color w:val="000000"/>
      </w:rPr>
      <w:t>88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0265"/>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2F8C"/>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1009A"/>
    <w:rsid w:val="002121D5"/>
    <w:rsid w:val="002138BE"/>
    <w:rsid w:val="00215C12"/>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57BF"/>
    <w:rsid w:val="002D6159"/>
    <w:rsid w:val="002D75E1"/>
    <w:rsid w:val="002D7EFD"/>
    <w:rsid w:val="002E26F2"/>
    <w:rsid w:val="002E6D1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91268"/>
    <w:rsid w:val="00391B13"/>
    <w:rsid w:val="00396D46"/>
    <w:rsid w:val="003A2100"/>
    <w:rsid w:val="003B17EE"/>
    <w:rsid w:val="003B2357"/>
    <w:rsid w:val="003B6F6C"/>
    <w:rsid w:val="003C0451"/>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576E9"/>
    <w:rsid w:val="00461FBD"/>
    <w:rsid w:val="00462353"/>
    <w:rsid w:val="00462BEA"/>
    <w:rsid w:val="0046344B"/>
    <w:rsid w:val="00465256"/>
    <w:rsid w:val="004674AD"/>
    <w:rsid w:val="00475DF2"/>
    <w:rsid w:val="0048210C"/>
    <w:rsid w:val="0049165E"/>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2823"/>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3AD4"/>
    <w:rsid w:val="00524FBA"/>
    <w:rsid w:val="00526AC9"/>
    <w:rsid w:val="00527B13"/>
    <w:rsid w:val="00534596"/>
    <w:rsid w:val="005427F8"/>
    <w:rsid w:val="00543529"/>
    <w:rsid w:val="00544E02"/>
    <w:rsid w:val="00545120"/>
    <w:rsid w:val="00546040"/>
    <w:rsid w:val="00550344"/>
    <w:rsid w:val="00552C7A"/>
    <w:rsid w:val="0055681C"/>
    <w:rsid w:val="00556C43"/>
    <w:rsid w:val="005640D7"/>
    <w:rsid w:val="0056577A"/>
    <w:rsid w:val="0057325F"/>
    <w:rsid w:val="00573345"/>
    <w:rsid w:val="0057336F"/>
    <w:rsid w:val="00573C36"/>
    <w:rsid w:val="0057614A"/>
    <w:rsid w:val="00576725"/>
    <w:rsid w:val="00576F23"/>
    <w:rsid w:val="00576F8E"/>
    <w:rsid w:val="00577130"/>
    <w:rsid w:val="00580739"/>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87A3E"/>
    <w:rsid w:val="00694E17"/>
    <w:rsid w:val="006A05F0"/>
    <w:rsid w:val="006A1488"/>
    <w:rsid w:val="006B03E4"/>
    <w:rsid w:val="006B17C2"/>
    <w:rsid w:val="006B3A56"/>
    <w:rsid w:val="006B78AD"/>
    <w:rsid w:val="006C4755"/>
    <w:rsid w:val="006C5540"/>
    <w:rsid w:val="006C6334"/>
    <w:rsid w:val="006D1974"/>
    <w:rsid w:val="006E1314"/>
    <w:rsid w:val="006E37D2"/>
    <w:rsid w:val="006E7A33"/>
    <w:rsid w:val="006F0B06"/>
    <w:rsid w:val="006F205C"/>
    <w:rsid w:val="006F5F28"/>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56F9A"/>
    <w:rsid w:val="00760792"/>
    <w:rsid w:val="00763CE6"/>
    <w:rsid w:val="0077017C"/>
    <w:rsid w:val="00773ABA"/>
    <w:rsid w:val="0078017D"/>
    <w:rsid w:val="00781480"/>
    <w:rsid w:val="00791FA9"/>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22F9"/>
    <w:rsid w:val="008670BC"/>
    <w:rsid w:val="00876144"/>
    <w:rsid w:val="00876922"/>
    <w:rsid w:val="008863D7"/>
    <w:rsid w:val="0088798F"/>
    <w:rsid w:val="0089008A"/>
    <w:rsid w:val="00890C4D"/>
    <w:rsid w:val="00891773"/>
    <w:rsid w:val="008925BB"/>
    <w:rsid w:val="008A1828"/>
    <w:rsid w:val="008A1F5E"/>
    <w:rsid w:val="008A5641"/>
    <w:rsid w:val="008B3680"/>
    <w:rsid w:val="008C0934"/>
    <w:rsid w:val="008C2B44"/>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4319B"/>
    <w:rsid w:val="00950505"/>
    <w:rsid w:val="00950A46"/>
    <w:rsid w:val="009511D6"/>
    <w:rsid w:val="00952875"/>
    <w:rsid w:val="00954675"/>
    <w:rsid w:val="00955EB4"/>
    <w:rsid w:val="00961B21"/>
    <w:rsid w:val="00962C3E"/>
    <w:rsid w:val="00963E17"/>
    <w:rsid w:val="00965195"/>
    <w:rsid w:val="00970540"/>
    <w:rsid w:val="00975D82"/>
    <w:rsid w:val="009833D3"/>
    <w:rsid w:val="009927E5"/>
    <w:rsid w:val="009A0ED5"/>
    <w:rsid w:val="009B47BF"/>
    <w:rsid w:val="009D1C75"/>
    <w:rsid w:val="009D5726"/>
    <w:rsid w:val="009D5C33"/>
    <w:rsid w:val="009D61E3"/>
    <w:rsid w:val="009D7450"/>
    <w:rsid w:val="009D79EC"/>
    <w:rsid w:val="009E36AA"/>
    <w:rsid w:val="009F15AE"/>
    <w:rsid w:val="009F5E7C"/>
    <w:rsid w:val="00A02203"/>
    <w:rsid w:val="00A04577"/>
    <w:rsid w:val="00A11BAB"/>
    <w:rsid w:val="00A1720E"/>
    <w:rsid w:val="00A22039"/>
    <w:rsid w:val="00A23051"/>
    <w:rsid w:val="00A23CBE"/>
    <w:rsid w:val="00A26252"/>
    <w:rsid w:val="00A26489"/>
    <w:rsid w:val="00A30925"/>
    <w:rsid w:val="00A3392B"/>
    <w:rsid w:val="00A41F69"/>
    <w:rsid w:val="00A44362"/>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0D7C"/>
    <w:rsid w:val="00B231AC"/>
    <w:rsid w:val="00B23F46"/>
    <w:rsid w:val="00B24BAA"/>
    <w:rsid w:val="00B34886"/>
    <w:rsid w:val="00B34B9F"/>
    <w:rsid w:val="00B4099C"/>
    <w:rsid w:val="00B41851"/>
    <w:rsid w:val="00B51DBD"/>
    <w:rsid w:val="00B525F6"/>
    <w:rsid w:val="00B5375E"/>
    <w:rsid w:val="00B57F92"/>
    <w:rsid w:val="00B60014"/>
    <w:rsid w:val="00B60332"/>
    <w:rsid w:val="00B70822"/>
    <w:rsid w:val="00B70B63"/>
    <w:rsid w:val="00B72A6A"/>
    <w:rsid w:val="00B74EC0"/>
    <w:rsid w:val="00B81DD3"/>
    <w:rsid w:val="00B81E44"/>
    <w:rsid w:val="00B8278F"/>
    <w:rsid w:val="00B84666"/>
    <w:rsid w:val="00B84B1D"/>
    <w:rsid w:val="00B87A1C"/>
    <w:rsid w:val="00B87D3C"/>
    <w:rsid w:val="00B950B6"/>
    <w:rsid w:val="00BA14DD"/>
    <w:rsid w:val="00BA3CB8"/>
    <w:rsid w:val="00BA70CD"/>
    <w:rsid w:val="00BB3314"/>
    <w:rsid w:val="00BB3C4F"/>
    <w:rsid w:val="00BB48CC"/>
    <w:rsid w:val="00BB4F4D"/>
    <w:rsid w:val="00BC1AD6"/>
    <w:rsid w:val="00BD11DE"/>
    <w:rsid w:val="00BD4F99"/>
    <w:rsid w:val="00BE4BBF"/>
    <w:rsid w:val="00BE55AC"/>
    <w:rsid w:val="00BE6A63"/>
    <w:rsid w:val="00BE7D02"/>
    <w:rsid w:val="00BF5673"/>
    <w:rsid w:val="00BF5A14"/>
    <w:rsid w:val="00BF5DE6"/>
    <w:rsid w:val="00C004A4"/>
    <w:rsid w:val="00C05E49"/>
    <w:rsid w:val="00C05E9D"/>
    <w:rsid w:val="00C06126"/>
    <w:rsid w:val="00C066AA"/>
    <w:rsid w:val="00C13DC9"/>
    <w:rsid w:val="00C2331C"/>
    <w:rsid w:val="00C25487"/>
    <w:rsid w:val="00C32AB8"/>
    <w:rsid w:val="00C32AF1"/>
    <w:rsid w:val="00C33CEB"/>
    <w:rsid w:val="00C361CD"/>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F3010"/>
    <w:rsid w:val="00CF32D6"/>
    <w:rsid w:val="00CF4242"/>
    <w:rsid w:val="00CF70FE"/>
    <w:rsid w:val="00D00EE1"/>
    <w:rsid w:val="00D02F3E"/>
    <w:rsid w:val="00D21E5F"/>
    <w:rsid w:val="00D24065"/>
    <w:rsid w:val="00D312C4"/>
    <w:rsid w:val="00D32989"/>
    <w:rsid w:val="00D32EB3"/>
    <w:rsid w:val="00D42696"/>
    <w:rsid w:val="00D43503"/>
    <w:rsid w:val="00D43E19"/>
    <w:rsid w:val="00D50765"/>
    <w:rsid w:val="00D50CD3"/>
    <w:rsid w:val="00D5113C"/>
    <w:rsid w:val="00D67CEE"/>
    <w:rsid w:val="00D814BA"/>
    <w:rsid w:val="00D81859"/>
    <w:rsid w:val="00D82600"/>
    <w:rsid w:val="00D83BC1"/>
    <w:rsid w:val="00D840F6"/>
    <w:rsid w:val="00D84992"/>
    <w:rsid w:val="00D92BAE"/>
    <w:rsid w:val="00D937E3"/>
    <w:rsid w:val="00D938F9"/>
    <w:rsid w:val="00D9587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35B39"/>
    <w:rsid w:val="00E45E9B"/>
    <w:rsid w:val="00E64141"/>
    <w:rsid w:val="00E65583"/>
    <w:rsid w:val="00E67017"/>
    <w:rsid w:val="00E673B7"/>
    <w:rsid w:val="00E7117D"/>
    <w:rsid w:val="00E71396"/>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81E58"/>
    <w:rsid w:val="00F84204"/>
    <w:rsid w:val="00F858BD"/>
    <w:rsid w:val="00F96E52"/>
    <w:rsid w:val="00FA0CB1"/>
    <w:rsid w:val="00FA11F4"/>
    <w:rsid w:val="00FA1B27"/>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970</Words>
  <Characters>5530</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Camyl Moreno Pantojas</cp:lastModifiedBy>
  <cp:revision>2</cp:revision>
  <cp:lastPrinted>2025-03-26T20:40:00Z</cp:lastPrinted>
  <dcterms:created xsi:type="dcterms:W3CDTF">2026-02-24T19:33:00Z</dcterms:created>
  <dcterms:modified xsi:type="dcterms:W3CDTF">2026-02-24T19:33:00Z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GrammarlyDocumentId">
    <vt:lpwstr>2a78080f-b232-43c1-b680-02821d42dabb</vt:lpwstr>
  </property>
</Properties>
</file>