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2F0515A8"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8A1DDA">
        <w:rPr>
          <w:rFonts w:ascii="Book Antiqua" w:hAnsi="Book Antiqua"/>
          <w:b/>
          <w:sz w:val="52"/>
          <w:szCs w:val="52"/>
          <w:lang w:val="es-ES_tradnl"/>
        </w:rPr>
        <w:t>1015</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0C5FE264" w:rsidR="006705DD" w:rsidRPr="00B95434" w:rsidRDefault="001C1F0F" w:rsidP="006705DD">
      <w:pPr>
        <w:jc w:val="center"/>
        <w:rPr>
          <w:rFonts w:ascii="Book Antiqua" w:hAnsi="Book Antiqua"/>
          <w:szCs w:val="24"/>
          <w:lang w:val="es-ES_tradnl"/>
        </w:rPr>
      </w:pPr>
      <w:r>
        <w:rPr>
          <w:rFonts w:ascii="Book Antiqua" w:hAnsi="Book Antiqua"/>
          <w:szCs w:val="24"/>
          <w:lang w:val="es-ES_tradnl"/>
        </w:rPr>
        <w:t>24</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w:t>
      </w:r>
      <w:r w:rsidR="00592412">
        <w:rPr>
          <w:rFonts w:ascii="Book Antiqua" w:hAnsi="Book Antiqua"/>
          <w:szCs w:val="24"/>
          <w:lang w:val="es-ES_tradnl"/>
        </w:rPr>
        <w:t>febrero</w:t>
      </w:r>
      <w:r w:rsidR="005E345A">
        <w:rPr>
          <w:rFonts w:ascii="Book Antiqua" w:hAnsi="Book Antiqua"/>
          <w:szCs w:val="24"/>
          <w:lang w:val="es-ES_tradnl"/>
        </w:rPr>
        <w:t xml:space="preserve"> 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498F6551"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8A1DDA">
        <w:rPr>
          <w:rFonts w:ascii="Book Antiqua" w:hAnsi="Book Antiqua" w:cs="Arial"/>
          <w:lang w:val="es-ES"/>
        </w:rPr>
        <w:t>1015</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 xml:space="preserve">aprobación, </w:t>
      </w:r>
      <w:r w:rsidR="00A927E0"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592412">
        <w:rPr>
          <w:rFonts w:ascii="Book Antiqua" w:hAnsi="Book Antiqua" w:cs="Arial"/>
          <w:lang w:val="es-ES"/>
        </w:rPr>
        <w:t>i</w:t>
      </w:r>
      <w:r w:rsidR="009B3675" w:rsidRPr="009B3675">
        <w:rPr>
          <w:rFonts w:ascii="Book Antiqua" w:hAnsi="Book Antiqua" w:cs="Arial"/>
          <w:lang w:val="es-ES"/>
        </w:rPr>
        <w:t xml:space="preserve">nforme.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45E029D" w14:textId="32827A27"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8A1DDA">
        <w:rPr>
          <w:rFonts w:ascii="Book Antiqua" w:hAnsi="Book Antiqua" w:cs="Arial"/>
          <w:lang w:val="es-ES"/>
        </w:rPr>
        <w:t>1015</w:t>
      </w:r>
      <w:r w:rsidR="00A927E0">
        <w:rPr>
          <w:rFonts w:ascii="Book Antiqua" w:hAnsi="Book Antiqua" w:cs="Arial"/>
          <w:lang w:val="es-ES"/>
        </w:rPr>
        <w:t>,</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476E5E" w:rsidRPr="00476E5E">
        <w:rPr>
          <w:rFonts w:ascii="Book Antiqua" w:hAnsi="Book Antiqua" w:cs="Arial"/>
          <w:lang w:val="es-ES"/>
        </w:rPr>
        <w:t xml:space="preserve"> </w:t>
      </w:r>
      <w:r w:rsidR="008A1DDA" w:rsidRPr="008A1DDA">
        <w:rPr>
          <w:rFonts w:ascii="Book Antiqua" w:hAnsi="Book Antiqua" w:cs="Arial"/>
          <w:lang w:val="es-ES"/>
        </w:rPr>
        <w:t>añadir un nuevo Artículo 2.003B de la Ley 107-2020, según enmendada, conocida como “Código Municipal de Puerto Rico”, a los fines de requerir un Enlace Municipal de Asuntos de la Mujer y Víctimas de Violencia Doméstica en cada municipio; y para otros fines relacionados</w:t>
      </w:r>
      <w:r w:rsidR="00DB2C23">
        <w:rPr>
          <w:rFonts w:ascii="Book Antiqua" w:hAnsi="Book Antiqua" w:cs="Arial"/>
          <w:lang w:val="es-ES"/>
        </w:rPr>
        <w:t>.</w:t>
      </w:r>
    </w:p>
    <w:p w14:paraId="3F6D663B" w14:textId="77777777" w:rsidR="00A76B51" w:rsidRDefault="00A76B51" w:rsidP="00A76B51">
      <w:pPr>
        <w:autoSpaceDE w:val="0"/>
        <w:autoSpaceDN w:val="0"/>
        <w:adjustRightInd w:val="0"/>
        <w:jc w:val="both"/>
        <w:rPr>
          <w:rFonts w:ascii="Book Antiqua" w:hAnsi="Book Antiqua" w:cs="Arial"/>
          <w:lang w:val="es-ES"/>
        </w:rPr>
      </w:pPr>
    </w:p>
    <w:p w14:paraId="1076BE82" w14:textId="6F1FC53E" w:rsidR="008A1DDA" w:rsidRPr="00BA14DD" w:rsidRDefault="00182ED3" w:rsidP="008A1DDA">
      <w:pPr>
        <w:jc w:val="both"/>
        <w:rPr>
          <w:rFonts w:ascii="Book Antiqua" w:hAnsi="Book Antiqua"/>
          <w:lang w:val="es-PR"/>
        </w:rPr>
      </w:pPr>
      <w:r w:rsidRPr="000245A3">
        <w:rPr>
          <w:rFonts w:ascii="Book Antiqua" w:hAnsi="Book Antiqua" w:cs="Arial"/>
          <w:szCs w:val="24"/>
          <w:lang w:val="es-ES"/>
        </w:rPr>
        <w:t>Según establece la Exposición de Motivos</w:t>
      </w:r>
      <w:r w:rsidR="00A927E0">
        <w:rPr>
          <w:rFonts w:ascii="Book Antiqua" w:hAnsi="Book Antiqua" w:cs="Arial"/>
          <w:szCs w:val="24"/>
          <w:lang w:val="es-ES"/>
        </w:rPr>
        <w:t>,</w:t>
      </w:r>
      <w:r w:rsidRPr="000245A3">
        <w:rPr>
          <w:rFonts w:ascii="Book Antiqua" w:hAnsi="Book Antiqua" w:cs="Arial"/>
          <w:szCs w:val="24"/>
          <w:lang w:val="es-ES"/>
        </w:rPr>
        <w:t xml:space="preserve"> </w:t>
      </w:r>
      <w:r w:rsidR="00A927E0">
        <w:rPr>
          <w:rFonts w:ascii="Book Antiqua" w:hAnsi="Book Antiqua"/>
          <w:lang w:val="es-PR"/>
        </w:rPr>
        <w:t>l</w:t>
      </w:r>
      <w:r w:rsidR="008A1DDA" w:rsidRPr="00BA14DD">
        <w:rPr>
          <w:rFonts w:ascii="Book Antiqua" w:hAnsi="Book Antiqua"/>
          <w:lang w:val="es-PR"/>
        </w:rPr>
        <w:t xml:space="preserve">a violencia de género constituye una de las </w:t>
      </w:r>
      <w:r w:rsidR="00A927E0">
        <w:rPr>
          <w:rFonts w:ascii="Book Antiqua" w:hAnsi="Book Antiqua"/>
          <w:lang w:val="es-PR"/>
        </w:rPr>
        <w:t>manifestaciones más persistentes y devastadoras</w:t>
      </w:r>
      <w:r w:rsidR="008A1DDA" w:rsidRPr="00BA14DD">
        <w:rPr>
          <w:rFonts w:ascii="Book Antiqua" w:hAnsi="Book Antiqua"/>
          <w:lang w:val="es-PR"/>
        </w:rPr>
        <w:t xml:space="preserve"> de desigualdad en nuestra sociedad. Se trata de una crisis social que trasciende lo individual y genera un clima de inseguridad incompatible con los principios de equidad, respeto y justicia. Habida cuenta </w:t>
      </w:r>
      <w:r w:rsidR="00A927E0">
        <w:rPr>
          <w:rFonts w:ascii="Book Antiqua" w:hAnsi="Book Antiqua"/>
          <w:lang w:val="es-PR"/>
        </w:rPr>
        <w:t xml:space="preserve">de </w:t>
      </w:r>
      <w:r w:rsidR="008A1DDA" w:rsidRPr="00BA14DD">
        <w:rPr>
          <w:rFonts w:ascii="Book Antiqua" w:hAnsi="Book Antiqua"/>
          <w:lang w:val="es-PR"/>
        </w:rPr>
        <w:t>que se trata de una problemática complicada y generalizada, basada en patrones culturales y estructuras de poder históricamente desiguales, es imperativo atenderla desde múltiples frentes con una respuesta gubernamental efectiva e integrada.</w:t>
      </w:r>
    </w:p>
    <w:p w14:paraId="48DD6F05" w14:textId="77777777" w:rsidR="008A1DDA" w:rsidRDefault="008A1DDA" w:rsidP="008A1DDA">
      <w:pPr>
        <w:jc w:val="both"/>
        <w:rPr>
          <w:rFonts w:ascii="Book Antiqua" w:hAnsi="Book Antiqua"/>
          <w:lang w:val="es-PR"/>
        </w:rPr>
      </w:pPr>
    </w:p>
    <w:p w14:paraId="4C395CC1" w14:textId="77777777" w:rsidR="00A927E0" w:rsidRDefault="008A1DDA" w:rsidP="008A1DDA">
      <w:pPr>
        <w:jc w:val="both"/>
        <w:rPr>
          <w:rFonts w:ascii="Book Antiqua" w:hAnsi="Book Antiqua"/>
          <w:lang w:val="es-PR"/>
        </w:rPr>
      </w:pPr>
      <w:r w:rsidRPr="00BA14DD">
        <w:rPr>
          <w:rFonts w:ascii="Book Antiqua" w:hAnsi="Book Antiqua"/>
          <w:lang w:val="es-PR"/>
        </w:rPr>
        <w:t xml:space="preserve">De otra parte, si bien reconocemos que tanto hombres como mujeres pueden ser víctimas de violencia de género, es nuestra contención que las estadísticas reflejan una realidad </w:t>
      </w:r>
    </w:p>
    <w:p w14:paraId="01A579EC" w14:textId="77777777" w:rsidR="00A927E0" w:rsidRDefault="00A927E0" w:rsidP="008A1DDA">
      <w:pPr>
        <w:jc w:val="both"/>
        <w:rPr>
          <w:rFonts w:ascii="Book Antiqua" w:hAnsi="Book Antiqua"/>
          <w:lang w:val="es-PR"/>
        </w:rPr>
      </w:pPr>
    </w:p>
    <w:p w14:paraId="36772B69" w14:textId="7451FEA9" w:rsidR="008A1DDA" w:rsidRPr="00BA14DD" w:rsidRDefault="008A1DDA" w:rsidP="008A1DDA">
      <w:pPr>
        <w:jc w:val="both"/>
        <w:rPr>
          <w:rFonts w:ascii="Book Antiqua" w:hAnsi="Book Antiqua"/>
          <w:lang w:val="es-PR"/>
        </w:rPr>
      </w:pPr>
      <w:r w:rsidRPr="00BA14DD">
        <w:rPr>
          <w:rFonts w:ascii="Book Antiqua" w:hAnsi="Book Antiqua"/>
          <w:lang w:val="es-PR"/>
        </w:rPr>
        <w:lastRenderedPageBreak/>
        <w:t>alarmante e irrefutable. La vasta mayoría de las víctimas son mujeres. Según datos oficiales del Negociado de la Policía de Puerto Rico, durante el año 2024 se reportaron 9,476 incidentes de violencia doméstica, de los cuales 7,784 fueron contra mujeres. Mientras tanto, los datos más recientes disponibles sobre el 2025 (entre el 1 de enero de 2025 al 27 de abril de 2025) revelan que se han registrado 2,552 incidentes, siendo 2,097 de ellos en perjuicio de mujeres. Esta tendencia, lejos de revertirse, ha evidenciado un recrudecimiento preocupante con consecuencias trágicas como los 8 feminicidios íntimos reportados en lo que va del presente año.</w:t>
      </w:r>
    </w:p>
    <w:p w14:paraId="14C93F1A" w14:textId="77777777" w:rsidR="008A1DDA" w:rsidRDefault="008A1DDA" w:rsidP="008A1DDA">
      <w:pPr>
        <w:jc w:val="both"/>
        <w:rPr>
          <w:rFonts w:ascii="Book Antiqua" w:hAnsi="Book Antiqua"/>
          <w:lang w:val="es-PR"/>
        </w:rPr>
      </w:pPr>
      <w:r>
        <w:rPr>
          <w:rFonts w:ascii="Book Antiqua" w:hAnsi="Book Antiqua"/>
          <w:lang w:val="es-PR"/>
        </w:rPr>
        <w:tab/>
      </w:r>
    </w:p>
    <w:p w14:paraId="078687C3" w14:textId="142EAFC0" w:rsidR="008A1DDA" w:rsidRPr="00BA14DD" w:rsidRDefault="008A1DDA" w:rsidP="008A1DDA">
      <w:pPr>
        <w:jc w:val="both"/>
        <w:rPr>
          <w:rFonts w:ascii="Book Antiqua" w:hAnsi="Book Antiqua"/>
          <w:lang w:val="es-PR"/>
        </w:rPr>
      </w:pPr>
      <w:r w:rsidRPr="00BA14DD">
        <w:rPr>
          <w:rFonts w:ascii="Book Antiqua" w:hAnsi="Book Antiqua"/>
          <w:lang w:val="es-PR"/>
        </w:rPr>
        <w:t>La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las instituciones gubernamentales y las organizaciones sin fines de lucro vuelquen sus esfuerzos para contener este mal social que nos agobia.</w:t>
      </w:r>
    </w:p>
    <w:p w14:paraId="4F1309F9" w14:textId="77777777" w:rsidR="008A1DDA" w:rsidRDefault="008A1DDA" w:rsidP="008A1DDA">
      <w:pPr>
        <w:jc w:val="both"/>
        <w:rPr>
          <w:rFonts w:ascii="Book Antiqua" w:hAnsi="Book Antiqua"/>
          <w:lang w:val="es-PR"/>
        </w:rPr>
      </w:pPr>
    </w:p>
    <w:p w14:paraId="493B873F" w14:textId="20078297" w:rsidR="008A1DDA" w:rsidRDefault="008A1DDA" w:rsidP="008A1DDA">
      <w:pPr>
        <w:jc w:val="both"/>
        <w:rPr>
          <w:rFonts w:ascii="Book Antiqua" w:hAnsi="Book Antiqua"/>
          <w:lang w:val="es-PR"/>
        </w:rPr>
      </w:pPr>
      <w:r w:rsidRPr="00BA14DD">
        <w:rPr>
          <w:rFonts w:ascii="Book Antiqua" w:hAnsi="Book Antiqua"/>
          <w:lang w:val="es-PR"/>
        </w:rPr>
        <w:t>En atención a esta realidad, resulta urgente reexaminar y fortalecer los mecanismos institucionales existentes para prevenir, atender y erradicar la violencia de dirigida contra las mujeres. La respuesta debe ser amplia, inclusiva y articulada, lo cual exige el compromiso no solo del gobierno central, sino también de las estructuras más cercanas al ciudadano, los municipios. Ante esta realidad, se hace indispensable reconocer el rol medular que las administraciones municipales pueden y deben desempeñar en la gestión de servicios, atención directa y acompañamiento a las víctimas/sobrevivientes de este mal social que nos agobia.</w:t>
      </w:r>
    </w:p>
    <w:p w14:paraId="7E27887A" w14:textId="77777777" w:rsidR="008A1DDA" w:rsidRDefault="008A1DDA" w:rsidP="008A1DDA">
      <w:pPr>
        <w:jc w:val="both"/>
        <w:rPr>
          <w:rFonts w:ascii="Book Antiqua" w:hAnsi="Book Antiqua"/>
          <w:lang w:val="es-PR"/>
        </w:rPr>
      </w:pPr>
      <w:r>
        <w:rPr>
          <w:rFonts w:ascii="Book Antiqua" w:hAnsi="Book Antiqua"/>
          <w:lang w:val="es-PR"/>
        </w:rPr>
        <w:tab/>
      </w:r>
    </w:p>
    <w:p w14:paraId="0BC05AAD" w14:textId="20692E72" w:rsidR="008A1DDA" w:rsidRPr="00BA14DD" w:rsidRDefault="008A1DDA" w:rsidP="008A1DDA">
      <w:pPr>
        <w:jc w:val="both"/>
        <w:rPr>
          <w:rFonts w:ascii="Book Antiqua" w:hAnsi="Book Antiqua"/>
          <w:lang w:val="es-PR"/>
        </w:rPr>
      </w:pPr>
      <w:r w:rsidRPr="00BA14DD">
        <w:rPr>
          <w:rFonts w:ascii="Book Antiqua" w:hAnsi="Book Antiqua"/>
          <w:lang w:val="es-PR"/>
        </w:rPr>
        <w:t>Respecto a este punto, cabe destacar que la Ley Núm. 81-1991, conocida como “Ley de Municipios Autónomos de Puerto Rico”, actualmente derogada, disponía 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y se canalizaban otro tipo de servicios atinentes para atender las necesidades de las mujeres. </w:t>
      </w:r>
    </w:p>
    <w:p w14:paraId="6D6349B4" w14:textId="77777777" w:rsidR="008A1DDA" w:rsidRDefault="008A1DDA" w:rsidP="008A1DDA">
      <w:pPr>
        <w:jc w:val="both"/>
        <w:rPr>
          <w:rFonts w:ascii="Book Antiqua" w:hAnsi="Book Antiqua"/>
          <w:lang w:val="es-PR"/>
        </w:rPr>
      </w:pPr>
    </w:p>
    <w:p w14:paraId="592724BD" w14:textId="77777777" w:rsidR="00A927E0" w:rsidRDefault="008A1DDA" w:rsidP="008A1DDA">
      <w:pPr>
        <w:jc w:val="both"/>
        <w:rPr>
          <w:rFonts w:ascii="Book Antiqua" w:hAnsi="Book Antiqua"/>
          <w:lang w:val="es-PR"/>
        </w:rPr>
      </w:pPr>
      <w:r w:rsidRPr="00BA14DD">
        <w:rPr>
          <w:rFonts w:ascii="Book Antiqua" w:hAnsi="Book Antiqua"/>
          <w:lang w:val="es-PR"/>
        </w:rPr>
        <w:t xml:space="preserve">Sin embargo, con la aprobación de la Ley Núm. 107-2020, según enmendada, conocida como “Código Municipal de Puerto Rico”, dicha disposición fue eliminada. Esta omisión legislativa ha generado un vacío que debilita los esfuerzos de prevención y respuesta ante </w:t>
      </w:r>
    </w:p>
    <w:p w14:paraId="150F7AB3" w14:textId="7B09E5AD" w:rsidR="008A1DDA" w:rsidRDefault="008A1DDA" w:rsidP="008A1DDA">
      <w:pPr>
        <w:jc w:val="both"/>
        <w:rPr>
          <w:rFonts w:ascii="Book Antiqua" w:hAnsi="Book Antiqua"/>
          <w:lang w:val="es-PR"/>
        </w:rPr>
      </w:pPr>
      <w:r w:rsidRPr="00BA14DD">
        <w:rPr>
          <w:rFonts w:ascii="Book Antiqua" w:hAnsi="Book Antiqua"/>
          <w:lang w:val="es-PR"/>
        </w:rPr>
        <w:t>la violencia de género, fragmentando los servicios y reduciendo la capacidad del Estado para responder con agilidad y cercanía.</w:t>
      </w:r>
    </w:p>
    <w:p w14:paraId="2D93F6A0" w14:textId="77777777" w:rsidR="008A1DDA" w:rsidRDefault="008A1DDA" w:rsidP="008A1DDA">
      <w:pPr>
        <w:jc w:val="both"/>
        <w:rPr>
          <w:rFonts w:ascii="Book Antiqua" w:hAnsi="Book Antiqua"/>
          <w:lang w:val="es-PR"/>
        </w:rPr>
      </w:pPr>
      <w:r>
        <w:rPr>
          <w:rFonts w:ascii="Book Antiqua" w:hAnsi="Book Antiqua"/>
          <w:lang w:val="es-PR"/>
        </w:rPr>
        <w:tab/>
      </w:r>
    </w:p>
    <w:p w14:paraId="0DE2E5B2" w14:textId="5AF96B3D" w:rsidR="008A1DDA" w:rsidRPr="00BA14DD" w:rsidRDefault="008A1DDA" w:rsidP="008A1DDA">
      <w:pPr>
        <w:jc w:val="both"/>
        <w:rPr>
          <w:rFonts w:ascii="Book Antiqua" w:hAnsi="Book Antiqua"/>
          <w:lang w:val="es-PR"/>
        </w:rPr>
      </w:pPr>
      <w:r>
        <w:rPr>
          <w:rFonts w:ascii="Book Antiqua" w:hAnsi="Book Antiqua"/>
          <w:lang w:val="es-PR"/>
        </w:rPr>
        <w:t xml:space="preserve">Esta legislación le requiere a cada alcalde designar un funcionario municipal que sirva de enlace de </w:t>
      </w:r>
      <w:r w:rsidRPr="003C0451">
        <w:rPr>
          <w:rFonts w:ascii="Book Antiqua" w:hAnsi="Book Antiqua"/>
          <w:lang w:val="es-PR"/>
        </w:rPr>
        <w:t>Asuntos de la Mujer y Víctimas de Violencia Doméstica</w:t>
      </w:r>
      <w:r>
        <w:rPr>
          <w:rFonts w:ascii="Book Antiqua" w:hAnsi="Book Antiqua"/>
          <w:lang w:val="es-PR"/>
        </w:rPr>
        <w:t xml:space="preserve">. </w:t>
      </w:r>
    </w:p>
    <w:p w14:paraId="7756AA82" w14:textId="178A61CF" w:rsidR="007E3FE5" w:rsidRPr="008A1DDA" w:rsidRDefault="007E3FE5" w:rsidP="008A1DDA">
      <w:pPr>
        <w:jc w:val="both"/>
        <w:rPr>
          <w:rFonts w:ascii="Book Antiqua" w:hAnsi="Book Antiqua"/>
          <w:b/>
          <w:i/>
          <w:smallCaps/>
          <w:szCs w:val="24"/>
          <w:lang w:val="es-PR"/>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61021842" w14:textId="735AE79D" w:rsidR="00121062" w:rsidRPr="00A927E0" w:rsidRDefault="005616B3" w:rsidP="00A927E0">
      <w:pPr>
        <w:spacing w:before="100" w:beforeAutospacing="1" w:after="100" w:afterAutospacing="1"/>
        <w:jc w:val="both"/>
        <w:rPr>
          <w:rFonts w:ascii="Book Antiqua" w:hAnsi="Book Antiqua"/>
          <w:lang w:val="es-ES"/>
        </w:rPr>
      </w:pPr>
      <w:r w:rsidRPr="00DB2C23">
        <w:rPr>
          <w:rFonts w:ascii="Book Antiqua" w:hAnsi="Book Antiqua"/>
          <w:bCs/>
          <w:iCs/>
          <w:szCs w:val="24"/>
          <w:lang w:val="es-ES"/>
        </w:rPr>
        <w:t xml:space="preserve">Durante la discusión y </w:t>
      </w:r>
      <w:r w:rsidR="00D400B4" w:rsidRPr="00DB2C23">
        <w:rPr>
          <w:rFonts w:ascii="Book Antiqua" w:hAnsi="Book Antiqua"/>
          <w:bCs/>
          <w:iCs/>
          <w:szCs w:val="24"/>
          <w:lang w:val="es-ES"/>
        </w:rPr>
        <w:t>análisis</w:t>
      </w:r>
      <w:r w:rsidRPr="00DB2C23">
        <w:rPr>
          <w:rFonts w:ascii="Book Antiqua" w:hAnsi="Book Antiqua"/>
          <w:bCs/>
          <w:iCs/>
          <w:szCs w:val="24"/>
          <w:lang w:val="es-ES"/>
        </w:rPr>
        <w:t xml:space="preserve"> legislativo de la </w:t>
      </w:r>
      <w:r w:rsidR="009E093A" w:rsidRPr="00DB2C23">
        <w:rPr>
          <w:rFonts w:ascii="Book Antiqua" w:hAnsi="Book Antiqua"/>
          <w:bCs/>
          <w:iCs/>
          <w:szCs w:val="24"/>
          <w:lang w:val="es-ES"/>
        </w:rPr>
        <w:t>p</w:t>
      </w:r>
      <w:r w:rsidRPr="00DB2C23">
        <w:rPr>
          <w:rFonts w:ascii="Book Antiqua" w:hAnsi="Book Antiqua"/>
          <w:bCs/>
          <w:iCs/>
          <w:szCs w:val="24"/>
          <w:lang w:val="es-ES"/>
        </w:rPr>
        <w:t xml:space="preserve">resente </w:t>
      </w:r>
      <w:r w:rsidR="009E093A" w:rsidRPr="00DB2C23">
        <w:rPr>
          <w:rFonts w:ascii="Book Antiqua" w:hAnsi="Book Antiqua"/>
          <w:bCs/>
          <w:iCs/>
          <w:szCs w:val="24"/>
          <w:lang w:val="es-ES"/>
        </w:rPr>
        <w:t xml:space="preserve">medida, </w:t>
      </w:r>
      <w:bookmarkStart w:id="1" w:name="_Hlk195509733"/>
      <w:r w:rsidR="00DB2C23" w:rsidRPr="00DB2C23">
        <w:rPr>
          <w:rFonts w:ascii="Book Antiqua" w:hAnsi="Book Antiqua"/>
          <w:bCs/>
          <w:iCs/>
          <w:szCs w:val="24"/>
          <w:lang w:val="es-ES"/>
        </w:rPr>
        <w:t xml:space="preserve">se </w:t>
      </w:r>
      <w:r w:rsidR="00121062" w:rsidRPr="00DB2C23">
        <w:rPr>
          <w:rFonts w:ascii="Book Antiqua" w:hAnsi="Book Antiqua"/>
          <w:bCs/>
          <w:iCs/>
          <w:szCs w:val="24"/>
          <w:lang w:val="es-ES"/>
        </w:rPr>
        <w:t>realizó</w:t>
      </w:r>
      <w:r w:rsidR="00DB2C23" w:rsidRPr="00DB2C23">
        <w:rPr>
          <w:rFonts w:ascii="Book Antiqua" w:hAnsi="Book Antiqua"/>
          <w:bCs/>
          <w:iCs/>
          <w:szCs w:val="24"/>
          <w:lang w:val="es-ES"/>
        </w:rPr>
        <w:t xml:space="preserve"> </w:t>
      </w:r>
      <w:r w:rsidR="00A927E0">
        <w:rPr>
          <w:rFonts w:ascii="Book Antiqua" w:hAnsi="Book Antiqua"/>
          <w:bCs/>
          <w:iCs/>
          <w:szCs w:val="24"/>
          <w:lang w:val="es-ES"/>
        </w:rPr>
        <w:t>una</w:t>
      </w:r>
      <w:r w:rsidR="00DB2C23" w:rsidRPr="00DB2C23">
        <w:rPr>
          <w:rFonts w:ascii="Book Antiqua" w:hAnsi="Book Antiqua"/>
          <w:bCs/>
          <w:iCs/>
          <w:szCs w:val="24"/>
          <w:lang w:val="es-ES"/>
        </w:rPr>
        <w:t xml:space="preserve"> </w:t>
      </w:r>
      <w:r w:rsidR="00592412">
        <w:rPr>
          <w:rFonts w:ascii="Book Antiqua" w:hAnsi="Book Antiqua"/>
          <w:bCs/>
          <w:iCs/>
          <w:szCs w:val="24"/>
          <w:lang w:val="es-ES"/>
        </w:rPr>
        <w:t>v</w:t>
      </w:r>
      <w:r w:rsidR="00DB2C23" w:rsidRPr="00DB2C23">
        <w:rPr>
          <w:rFonts w:ascii="Book Antiqua" w:hAnsi="Book Antiqua"/>
          <w:bCs/>
          <w:iCs/>
          <w:szCs w:val="24"/>
          <w:lang w:val="es-ES"/>
        </w:rPr>
        <w:t xml:space="preserve">ista </w:t>
      </w:r>
      <w:r w:rsidR="00592412">
        <w:rPr>
          <w:rFonts w:ascii="Book Antiqua" w:hAnsi="Book Antiqua"/>
          <w:bCs/>
          <w:iCs/>
          <w:szCs w:val="24"/>
          <w:lang w:val="es-ES"/>
        </w:rPr>
        <w:t>pública</w:t>
      </w:r>
      <w:r w:rsidR="00DB2C23" w:rsidRPr="00DB2C23">
        <w:rPr>
          <w:rFonts w:ascii="Book Antiqua" w:hAnsi="Book Antiqua"/>
          <w:bCs/>
          <w:iCs/>
          <w:szCs w:val="24"/>
          <w:lang w:val="es-ES"/>
        </w:rPr>
        <w:t xml:space="preserve"> el martes 1</w:t>
      </w:r>
      <w:r w:rsidR="008A1DDA">
        <w:rPr>
          <w:rFonts w:ascii="Book Antiqua" w:hAnsi="Book Antiqua"/>
          <w:bCs/>
          <w:iCs/>
          <w:szCs w:val="24"/>
          <w:lang w:val="es-ES"/>
        </w:rPr>
        <w:t>0</w:t>
      </w:r>
      <w:r w:rsidR="00DB2C23" w:rsidRPr="00DB2C23">
        <w:rPr>
          <w:rFonts w:ascii="Book Antiqua" w:hAnsi="Book Antiqua"/>
          <w:bCs/>
          <w:iCs/>
          <w:szCs w:val="24"/>
          <w:lang w:val="es-ES"/>
        </w:rPr>
        <w:t xml:space="preserve"> de </w:t>
      </w:r>
      <w:r w:rsidR="008A1DDA">
        <w:rPr>
          <w:rFonts w:ascii="Book Antiqua" w:hAnsi="Book Antiqua"/>
          <w:bCs/>
          <w:iCs/>
          <w:szCs w:val="24"/>
          <w:lang w:val="es-ES"/>
        </w:rPr>
        <w:t>febrero</w:t>
      </w:r>
      <w:r w:rsidR="00DB2C23" w:rsidRPr="00DB2C23">
        <w:rPr>
          <w:rFonts w:ascii="Book Antiqua" w:hAnsi="Book Antiqua"/>
          <w:bCs/>
          <w:iCs/>
          <w:szCs w:val="24"/>
          <w:lang w:val="es-ES"/>
        </w:rPr>
        <w:t xml:space="preserve"> de 2026, en el salón Audiencias </w:t>
      </w:r>
      <w:r w:rsidR="008A1DDA">
        <w:rPr>
          <w:rFonts w:ascii="Book Antiqua" w:hAnsi="Book Antiqua"/>
          <w:bCs/>
          <w:iCs/>
          <w:szCs w:val="24"/>
          <w:lang w:val="es-ES"/>
        </w:rPr>
        <w:t>2</w:t>
      </w:r>
      <w:r w:rsidR="00DB2C23" w:rsidRPr="00DB2C23">
        <w:rPr>
          <w:rFonts w:ascii="Book Antiqua" w:hAnsi="Book Antiqua"/>
          <w:bCs/>
          <w:iCs/>
          <w:szCs w:val="24"/>
          <w:lang w:val="es-ES"/>
        </w:rPr>
        <w:t>, a las 10:00am</w:t>
      </w:r>
      <w:bookmarkStart w:id="2" w:name="_Hlk199336735"/>
      <w:bookmarkEnd w:id="1"/>
      <w:r w:rsidR="008A1DDA">
        <w:rPr>
          <w:rFonts w:ascii="Book Antiqua" w:hAnsi="Book Antiqua"/>
          <w:bCs/>
          <w:iCs/>
          <w:szCs w:val="24"/>
          <w:lang w:val="es-ES"/>
        </w:rPr>
        <w:t xml:space="preserve">. </w:t>
      </w:r>
      <w:r w:rsidR="00A927E0">
        <w:rPr>
          <w:rFonts w:ascii="Book Antiqua" w:hAnsi="Book Antiqua"/>
          <w:bCs/>
          <w:iCs/>
          <w:szCs w:val="24"/>
          <w:lang w:val="es-ES"/>
        </w:rPr>
        <w:t xml:space="preserve">En dicha </w:t>
      </w:r>
      <w:r w:rsidR="00592412">
        <w:rPr>
          <w:rFonts w:ascii="Book Antiqua" w:hAnsi="Book Antiqua"/>
          <w:bCs/>
          <w:iCs/>
          <w:szCs w:val="24"/>
          <w:lang w:val="es-ES"/>
        </w:rPr>
        <w:t>vista</w:t>
      </w:r>
      <w:r w:rsidR="00A927E0">
        <w:rPr>
          <w:rFonts w:ascii="Book Antiqua" w:hAnsi="Book Antiqua"/>
          <w:bCs/>
          <w:iCs/>
          <w:szCs w:val="24"/>
          <w:lang w:val="es-ES"/>
        </w:rPr>
        <w:t xml:space="preserve"> comparecieron las siguientes agencias: </w:t>
      </w:r>
    </w:p>
    <w:p w14:paraId="657F976E" w14:textId="77777777" w:rsidR="00A927E0" w:rsidRDefault="00A927E0" w:rsidP="00A927E0">
      <w:pPr>
        <w:pStyle w:val="ListParagraph"/>
        <w:numPr>
          <w:ilvl w:val="0"/>
          <w:numId w:val="13"/>
        </w:numPr>
        <w:spacing w:before="100" w:beforeAutospacing="1" w:after="100" w:afterAutospacing="1"/>
        <w:rPr>
          <w:rFonts w:ascii="Book Antiqua" w:hAnsi="Book Antiqua"/>
          <w:b/>
          <w:bCs/>
          <w:i/>
          <w:iCs/>
        </w:rPr>
      </w:pPr>
      <w:r w:rsidRPr="00DB2C23">
        <w:rPr>
          <w:rFonts w:ascii="Book Antiqua" w:hAnsi="Book Antiqua"/>
          <w:b/>
          <w:bCs/>
          <w:i/>
          <w:iCs/>
        </w:rPr>
        <w:t>Departamento de</w:t>
      </w:r>
      <w:r>
        <w:rPr>
          <w:rFonts w:ascii="Book Antiqua" w:hAnsi="Book Antiqua"/>
          <w:b/>
          <w:bCs/>
          <w:i/>
          <w:iCs/>
        </w:rPr>
        <w:t xml:space="preserve"> Justicia (DJ)</w:t>
      </w:r>
    </w:p>
    <w:p w14:paraId="6AE13764" w14:textId="77777777" w:rsidR="00A927E0" w:rsidRDefault="00A927E0" w:rsidP="00A927E0">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Federación de </w:t>
      </w:r>
      <w:proofErr w:type="gramStart"/>
      <w:r>
        <w:rPr>
          <w:rFonts w:ascii="Book Antiqua" w:hAnsi="Book Antiqua"/>
          <w:b/>
          <w:bCs/>
          <w:i/>
          <w:iCs/>
        </w:rPr>
        <w:t>Alcaldes</w:t>
      </w:r>
      <w:proofErr w:type="gramEnd"/>
    </w:p>
    <w:p w14:paraId="5D16EEC3" w14:textId="77777777" w:rsidR="00A927E0" w:rsidRPr="008A1DDA" w:rsidRDefault="00A927E0" w:rsidP="00A927E0">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Oficina de la Procuradora de las Mujeres (OPM) </w:t>
      </w:r>
    </w:p>
    <w:p w14:paraId="5C521D2D" w14:textId="1C3F24C1" w:rsidR="00A927E0" w:rsidRPr="009B3675" w:rsidRDefault="00A927E0" w:rsidP="00A927E0">
      <w:pPr>
        <w:pStyle w:val="NormalWeb"/>
        <w:jc w:val="both"/>
        <w:rPr>
          <w:rFonts w:ascii="Book Antiqua" w:hAnsi="Book Antiqua"/>
        </w:rPr>
      </w:pPr>
      <w:r w:rsidRPr="009B3675">
        <w:rPr>
          <w:rFonts w:ascii="Book Antiqua" w:hAnsi="Book Antiqua"/>
        </w:rPr>
        <w:t xml:space="preserve">El </w:t>
      </w:r>
      <w:r w:rsidRPr="009B3675">
        <w:rPr>
          <w:rFonts w:ascii="Book Antiqua" w:hAnsi="Book Antiqua"/>
          <w:b/>
          <w:bCs/>
          <w:i/>
          <w:iCs/>
        </w:rPr>
        <w:t>Departamento de Justicia (DJ),</w:t>
      </w:r>
      <w:r>
        <w:rPr>
          <w:rFonts w:ascii="Book Antiqua" w:hAnsi="Book Antiqua"/>
          <w:b/>
          <w:bCs/>
          <w:i/>
          <w:iCs/>
        </w:rPr>
        <w:t xml:space="preserve"> </w:t>
      </w:r>
      <w:r>
        <w:rPr>
          <w:rFonts w:ascii="Book Antiqua" w:hAnsi="Book Antiqua"/>
        </w:rPr>
        <w:t xml:space="preserve">fue representado por el </w:t>
      </w:r>
      <w:r w:rsidR="00592412">
        <w:rPr>
          <w:rFonts w:ascii="Book Antiqua" w:hAnsi="Book Antiqua"/>
        </w:rPr>
        <w:t>l</w:t>
      </w:r>
      <w:r>
        <w:rPr>
          <w:rFonts w:ascii="Book Antiqua" w:hAnsi="Book Antiqua"/>
        </w:rPr>
        <w:t xml:space="preserve">icenciado Gerardo Rodríguez Ortiz, mencionando </w:t>
      </w:r>
      <w:r w:rsidR="00F34222">
        <w:rPr>
          <w:rFonts w:ascii="Book Antiqua" w:hAnsi="Book Antiqua"/>
        </w:rPr>
        <w:t>que,</w:t>
      </w:r>
      <w:r>
        <w:rPr>
          <w:rFonts w:ascii="Book Antiqua" w:hAnsi="Book Antiqua"/>
        </w:rPr>
        <w:t xml:space="preserve"> d</w:t>
      </w:r>
      <w:r w:rsidRPr="009B3675">
        <w:rPr>
          <w:rFonts w:ascii="Book Antiqua" w:hAnsi="Book Antiqua"/>
        </w:rPr>
        <w:t xml:space="preserve">esde el punto de vista constitucional y legal, el </w:t>
      </w:r>
      <w:r w:rsidRPr="009B3675">
        <w:rPr>
          <w:rStyle w:val="Strong"/>
          <w:rFonts w:ascii="Book Antiqua" w:hAnsi="Book Antiqua"/>
        </w:rPr>
        <w:t>Código Municipal de Puerto Rico</w:t>
      </w:r>
      <w:r w:rsidRPr="009B3675">
        <w:rPr>
          <w:rFonts w:ascii="Book Antiqua" w:hAnsi="Book Antiqua"/>
        </w:rPr>
        <w:t xml:space="preserve">, aprobado mediante la </w:t>
      </w:r>
      <w:r w:rsidRPr="009B3675">
        <w:rPr>
          <w:rStyle w:val="Strong"/>
          <w:rFonts w:ascii="Book Antiqua" w:hAnsi="Book Antiqua"/>
        </w:rPr>
        <w:t>Ley Núm. 107-2020</w:t>
      </w:r>
      <w:r w:rsidRPr="009B3675">
        <w:rPr>
          <w:rFonts w:ascii="Book Antiqua" w:hAnsi="Book Antiqua"/>
        </w:rPr>
        <w:t xml:space="preserve">, constituye el marco normativo que regula la organización, el gobierno y el funcionamiento de los </w:t>
      </w:r>
      <w:proofErr w:type="spellStart"/>
      <w:r w:rsidRPr="009B3675">
        <w:rPr>
          <w:rFonts w:ascii="Book Antiqua" w:hAnsi="Book Antiqua"/>
        </w:rPr>
        <w:t>unicipios</w:t>
      </w:r>
      <w:proofErr w:type="spellEnd"/>
      <w:r w:rsidRPr="009B3675">
        <w:rPr>
          <w:rFonts w:ascii="Book Antiqua" w:hAnsi="Book Antiqua"/>
        </w:rPr>
        <w:t>,</w:t>
      </w:r>
      <w:r w:rsidR="00640235">
        <w:rPr>
          <w:rFonts w:ascii="Book Antiqua" w:hAnsi="Book Antiqua"/>
        </w:rPr>
        <w:t xml:space="preserve"> </w:t>
      </w:r>
      <w:r w:rsidRPr="009B3675">
        <w:rPr>
          <w:rFonts w:ascii="Book Antiqua" w:hAnsi="Book Antiqua"/>
        </w:rPr>
        <w:t>otorgándoles las facultades necesarias para cumplir con sus responsabilidades en el desarrollo social y la prestación de servicios públicos. En este contexto, la designación de un funcionario municipal especializado en asuntos de la mujer y de víctimas de violencia doméstica se alinea plenamente con las facultades municipales y responde al interés público de ofrecer servicios efectivos y oportunos ante situaciones de violencia de género.</w:t>
      </w:r>
    </w:p>
    <w:p w14:paraId="55362B87" w14:textId="77777777" w:rsidR="00A927E0" w:rsidRPr="009B3675" w:rsidRDefault="00A927E0" w:rsidP="00A927E0">
      <w:pPr>
        <w:pStyle w:val="NormalWeb"/>
        <w:jc w:val="both"/>
        <w:rPr>
          <w:rFonts w:ascii="Book Antiqua" w:hAnsi="Book Antiqua"/>
        </w:rPr>
      </w:pPr>
      <w:r w:rsidRPr="009B3675">
        <w:rPr>
          <w:rFonts w:ascii="Book Antiqua" w:hAnsi="Book Antiqua"/>
        </w:rPr>
        <w:t xml:space="preserve">Asimismo, </w:t>
      </w:r>
      <w:r>
        <w:rPr>
          <w:rFonts w:ascii="Book Antiqua" w:hAnsi="Book Antiqua"/>
        </w:rPr>
        <w:t>el DJ entiende</w:t>
      </w:r>
      <w:r w:rsidRPr="009B3675">
        <w:rPr>
          <w:rFonts w:ascii="Book Antiqua" w:hAnsi="Book Antiqua"/>
        </w:rPr>
        <w:t xml:space="preserve"> que la enmienda propuesta se ajusta a la competencia legislativa de la Asamblea Legislativa, por lo que resulta constitucionalmente viable y consistente con la política pública dirigida a proteger a las víctimas y a fortalecer la intervención municipal en esta materia.</w:t>
      </w:r>
    </w:p>
    <w:p w14:paraId="1A30AE44" w14:textId="51FE16DA" w:rsidR="00A927E0" w:rsidRPr="009B3675" w:rsidRDefault="00A927E0" w:rsidP="00A927E0">
      <w:pPr>
        <w:pStyle w:val="NormalWeb"/>
        <w:jc w:val="both"/>
        <w:rPr>
          <w:rFonts w:ascii="Book Antiqua" w:hAnsi="Book Antiqua"/>
        </w:rPr>
      </w:pPr>
      <w:r w:rsidRPr="009B3675">
        <w:rPr>
          <w:rFonts w:ascii="Book Antiqua" w:hAnsi="Book Antiqua"/>
        </w:rPr>
        <w:t>No obstante, adv</w:t>
      </w:r>
      <w:r>
        <w:rPr>
          <w:rFonts w:ascii="Book Antiqua" w:hAnsi="Book Antiqua"/>
        </w:rPr>
        <w:t>ierten</w:t>
      </w:r>
      <w:r w:rsidRPr="009B3675">
        <w:rPr>
          <w:rFonts w:ascii="Book Antiqua" w:hAnsi="Book Antiqua"/>
        </w:rPr>
        <w:t xml:space="preserve"> que el texto propuesto </w:t>
      </w:r>
      <w:r w:rsidRPr="00C868AA">
        <w:rPr>
          <w:rFonts w:ascii="Book Antiqua" w:hAnsi="Book Antiqua"/>
          <w:b/>
          <w:bCs/>
        </w:rPr>
        <w:t xml:space="preserve">del artículo no establece de manera expresa quién debe realizar la designación del funcionario municipal. </w:t>
      </w:r>
      <w:r w:rsidRPr="009B3675">
        <w:rPr>
          <w:rFonts w:ascii="Book Antiqua" w:hAnsi="Book Antiqua"/>
        </w:rPr>
        <w:t>Sin embargo, la Exposición de Motivos de la medida indica que</w:t>
      </w:r>
      <w:r w:rsidRPr="00C868AA">
        <w:rPr>
          <w:rFonts w:ascii="Book Antiqua" w:hAnsi="Book Antiqua"/>
          <w:b/>
          <w:bCs/>
        </w:rPr>
        <w:t xml:space="preserve"> “esta legislación le requiere a cada alcalde designar un funcionario municipal que sirva de enlace de Asuntos de la Mujer y Víctimas de Violencia Doméstica”.</w:t>
      </w:r>
      <w:r w:rsidRPr="009B3675">
        <w:rPr>
          <w:rFonts w:ascii="Book Antiqua" w:hAnsi="Book Antiqua"/>
        </w:rPr>
        <w:t xml:space="preserve"> Si esta es, en efecto, la intención legislativa, </w:t>
      </w:r>
      <w:r>
        <w:rPr>
          <w:rFonts w:ascii="Book Antiqua" w:hAnsi="Book Antiqua"/>
        </w:rPr>
        <w:t>el DJ</w:t>
      </w:r>
      <w:r w:rsidR="00592412">
        <w:rPr>
          <w:rFonts w:ascii="Book Antiqua" w:hAnsi="Book Antiqua"/>
        </w:rPr>
        <w:t xml:space="preserve"> entiende</w:t>
      </w:r>
      <w:r>
        <w:rPr>
          <w:rFonts w:ascii="Book Antiqua" w:hAnsi="Book Antiqua"/>
        </w:rPr>
        <w:t xml:space="preserve">, </w:t>
      </w:r>
      <w:r w:rsidRPr="009B3675">
        <w:rPr>
          <w:rFonts w:ascii="Book Antiqua" w:hAnsi="Book Antiqua"/>
        </w:rPr>
        <w:t>conveniente que dicha disposición se incorpore directamente en el cuerpo del artículo, estableciendo de forma clara que el alcalde o el funcionario municipal autorizado será responsable de efectuar la designación del funcionario que desempeñará el rol de enlace.</w:t>
      </w:r>
    </w:p>
    <w:p w14:paraId="589A2079" w14:textId="62E44739" w:rsidR="00A927E0" w:rsidRPr="009B3675" w:rsidRDefault="00592412" w:rsidP="00A927E0">
      <w:pPr>
        <w:pStyle w:val="NormalWeb"/>
        <w:jc w:val="both"/>
        <w:rPr>
          <w:rFonts w:ascii="Book Antiqua" w:hAnsi="Book Antiqua"/>
        </w:rPr>
      </w:pPr>
      <w:r w:rsidRPr="009B3675">
        <w:rPr>
          <w:rFonts w:ascii="Book Antiqua" w:hAnsi="Book Antiqua"/>
        </w:rPr>
        <w:t>Ad</w:t>
      </w:r>
      <w:r>
        <w:rPr>
          <w:rFonts w:ascii="Book Antiqua" w:hAnsi="Book Antiqua"/>
        </w:rPr>
        <w:t>emás</w:t>
      </w:r>
      <w:r w:rsidR="00A927E0" w:rsidRPr="009B3675">
        <w:rPr>
          <w:rFonts w:ascii="Book Antiqua" w:hAnsi="Book Antiqua"/>
        </w:rPr>
        <w:t>, sug</w:t>
      </w:r>
      <w:r w:rsidR="00A927E0">
        <w:rPr>
          <w:rFonts w:ascii="Book Antiqua" w:hAnsi="Book Antiqua"/>
        </w:rPr>
        <w:t>ieren</w:t>
      </w:r>
      <w:r w:rsidR="00A927E0" w:rsidRPr="009B3675">
        <w:rPr>
          <w:rFonts w:ascii="Book Antiqua" w:hAnsi="Book Antiqua"/>
        </w:rPr>
        <w:t xml:space="preserve"> que se </w:t>
      </w:r>
      <w:r w:rsidR="00A927E0" w:rsidRPr="009B3675">
        <w:rPr>
          <w:rFonts w:ascii="Book Antiqua" w:hAnsi="Book Antiqua"/>
          <w:b/>
          <w:bCs/>
        </w:rPr>
        <w:t>incluya un plazo específico para realizar dicha designación —por ejemplo, dentro de los tres (3) meses siguientes a la entrada en vigor de la ley—</w:t>
      </w:r>
      <w:r w:rsidR="00A927E0" w:rsidRPr="009B3675">
        <w:rPr>
          <w:rFonts w:ascii="Book Antiqua" w:hAnsi="Book Antiqua"/>
        </w:rPr>
        <w:t xml:space="preserve"> a fin de garantizar su cumplimiento oportuno y efectivo.</w:t>
      </w:r>
    </w:p>
    <w:p w14:paraId="2BDC9D85" w14:textId="77777777" w:rsidR="00A927E0" w:rsidRPr="009B3675" w:rsidRDefault="00A927E0" w:rsidP="00A927E0">
      <w:pPr>
        <w:pStyle w:val="NormalWeb"/>
        <w:jc w:val="both"/>
        <w:rPr>
          <w:rFonts w:ascii="Book Antiqua" w:hAnsi="Book Antiqua"/>
        </w:rPr>
      </w:pPr>
      <w:r w:rsidRPr="009B3675">
        <w:rPr>
          <w:rFonts w:ascii="Book Antiqua" w:hAnsi="Book Antiqua"/>
        </w:rPr>
        <w:t xml:space="preserve">De igual forma, </w:t>
      </w:r>
      <w:r>
        <w:rPr>
          <w:rFonts w:ascii="Book Antiqua" w:hAnsi="Book Antiqua"/>
        </w:rPr>
        <w:t>el DJ estima</w:t>
      </w:r>
      <w:r w:rsidRPr="009B3675">
        <w:rPr>
          <w:rFonts w:ascii="Book Antiqua" w:hAnsi="Book Antiqua"/>
        </w:rPr>
        <w:t xml:space="preserve"> prudente </w:t>
      </w:r>
      <w:r w:rsidRPr="00C868AA">
        <w:rPr>
          <w:rFonts w:ascii="Book Antiqua" w:hAnsi="Book Antiqua"/>
          <w:b/>
          <w:bCs/>
        </w:rPr>
        <w:t xml:space="preserve">que la medida establezca orientaciones generales sobre las funciones del puesto y los asuntos que deberá atender el funcionario </w:t>
      </w:r>
      <w:r w:rsidRPr="00C868AA">
        <w:rPr>
          <w:rFonts w:ascii="Book Antiqua" w:hAnsi="Book Antiqua"/>
          <w:b/>
          <w:bCs/>
        </w:rPr>
        <w:lastRenderedPageBreak/>
        <w:t xml:space="preserve">municipal designado. </w:t>
      </w:r>
      <w:r w:rsidRPr="009B3675">
        <w:rPr>
          <w:rFonts w:ascii="Book Antiqua" w:hAnsi="Book Antiqua"/>
        </w:rPr>
        <w:t xml:space="preserve">A modo ilustrativo, la Exposición de Motivos recuerda que las oficinas análogas existentes bajo la derogada </w:t>
      </w:r>
      <w:r w:rsidRPr="009B3675">
        <w:rPr>
          <w:rStyle w:val="Strong"/>
          <w:rFonts w:ascii="Book Antiqua" w:hAnsi="Book Antiqua"/>
        </w:rPr>
        <w:t>Ley de Municipios Autónomos de Puerto Rico (Ley Núm. 81-1991)</w:t>
      </w:r>
      <w:r w:rsidRPr="009B3675">
        <w:rPr>
          <w:rFonts w:ascii="Book Antiqua" w:hAnsi="Book Antiqua"/>
        </w:rPr>
        <w:t xml:space="preserve"> servían como primer punto de apoyo para mujeres víctimas de violencia de género, orientándolas sobre sus derechos, asistiendo en la gestión de órdenes de protección, facilitando referidos a la Oficina de la Procuradora de las Mujeres (OPM) y a otras agencias pertinentes, así como canalizando otros servicios relacionados con las necesidades de las mujeres.</w:t>
      </w:r>
    </w:p>
    <w:p w14:paraId="4993CFCE" w14:textId="77777777" w:rsidR="00A927E0" w:rsidRPr="009B3675" w:rsidRDefault="00A927E0" w:rsidP="00A927E0">
      <w:pPr>
        <w:pStyle w:val="NormalWeb"/>
        <w:jc w:val="both"/>
        <w:rPr>
          <w:rFonts w:ascii="Book Antiqua" w:hAnsi="Book Antiqua"/>
        </w:rPr>
      </w:pPr>
      <w:r w:rsidRPr="009B3675">
        <w:rPr>
          <w:rFonts w:ascii="Book Antiqua" w:hAnsi="Book Antiqua"/>
        </w:rPr>
        <w:t>Con el fin de garantizar una implementación efectiva de este mandato, resulta importante que los setenta y ocho (78) funcionarios municipales que se designen bajo la nueva normativa cuenten con lineamientos uniformes respecto a sus funciones. Ello permitirá mantener coherencia en la prestación de los servicios y contribuirá directamente al objetivo central del Estado de prevenir y erradicar la violencia de género, brindando atención adecuada y oportuna a las víctimas.</w:t>
      </w:r>
    </w:p>
    <w:p w14:paraId="4697FF88" w14:textId="77777777" w:rsidR="00A927E0" w:rsidRPr="009B3675" w:rsidRDefault="00A927E0" w:rsidP="00A927E0">
      <w:pPr>
        <w:pStyle w:val="NormalWeb"/>
        <w:jc w:val="both"/>
        <w:rPr>
          <w:rFonts w:ascii="Book Antiqua" w:hAnsi="Book Antiqua"/>
        </w:rPr>
      </w:pPr>
      <w:r w:rsidRPr="009B3675">
        <w:rPr>
          <w:rFonts w:ascii="Book Antiqua" w:hAnsi="Book Antiqua"/>
        </w:rPr>
        <w:t>Cabe señalar que la propuesta legislativa procura reinstalar en el Código Municipal la obligación que previamente establecía la Ley Núm. 81-1991, la cual requería que cada municipio contara con una Oficina Municipal de Asuntos de la Mujer como unidad administrativa. Esta reinstalación refleja la intención del Estado de garantizar que los municipios contribuyan activamente al desarrollo de políticas públicas dirigidas a la protección de las mujeres y a la atención directa de los casos de violencia doméstica.</w:t>
      </w:r>
    </w:p>
    <w:p w14:paraId="5032DB3F" w14:textId="77777777" w:rsidR="00A927E0" w:rsidRPr="009B3675" w:rsidRDefault="00A927E0" w:rsidP="00A927E0">
      <w:pPr>
        <w:pStyle w:val="NormalWeb"/>
        <w:jc w:val="both"/>
        <w:rPr>
          <w:rFonts w:ascii="Book Antiqua" w:hAnsi="Book Antiqua"/>
        </w:rPr>
      </w:pPr>
      <w:r w:rsidRPr="009B3675">
        <w:rPr>
          <w:rFonts w:ascii="Book Antiqua" w:hAnsi="Book Antiqua"/>
        </w:rPr>
        <w:t xml:space="preserve">En síntesis, el </w:t>
      </w:r>
      <w:r w:rsidRPr="009B3675">
        <w:rPr>
          <w:rStyle w:val="Strong"/>
          <w:rFonts w:ascii="Book Antiqua" w:hAnsi="Book Antiqua"/>
        </w:rPr>
        <w:t>Proyecto de la Cámara 1015</w:t>
      </w:r>
      <w:r w:rsidRPr="009B3675">
        <w:rPr>
          <w:rFonts w:ascii="Book Antiqua" w:hAnsi="Book Antiqua"/>
        </w:rPr>
        <w:t xml:space="preserve"> constituye una medida positiva y oportuna que fortalece la capacidad de los municipios para atender de manera directa y efectiva los casos de violencia de género, en consonancia con la facultad legislativa de la Asamblea Legislativa y los principios constitucionales que rigen la función municipal. La designación de un funcionario municipal especializado como Enlace de Asuntos de la Mujer y Víctimas de Violencia Doméstica permite institucionalizar el acompañamiento a las víctimas, la coordinación con la Oficina de la Procuradora de las Mujeres y la prestación de servicios integrales y uniformes en todos los municipios.</w:t>
      </w:r>
    </w:p>
    <w:p w14:paraId="4A11EDBB" w14:textId="77777777" w:rsidR="00A927E0" w:rsidRPr="009B3675" w:rsidRDefault="00A927E0" w:rsidP="00A927E0">
      <w:pPr>
        <w:pStyle w:val="NormalWeb"/>
        <w:jc w:val="both"/>
        <w:rPr>
          <w:rFonts w:ascii="Book Antiqua" w:hAnsi="Book Antiqua"/>
        </w:rPr>
      </w:pPr>
      <w:r w:rsidRPr="009B3675">
        <w:rPr>
          <w:rFonts w:ascii="Book Antiqua" w:hAnsi="Book Antiqua"/>
        </w:rPr>
        <w:t>Al incorporar directrices claras sobre la responsabilidad de designación, el término para su implementación y las funciones esenciales del cargo, la medida asegura no solo su viabilidad jurídica, sino también su efectividad práctica, garantizando que los municipios puedan cumplir con el mandato estatal de prevenir, atender y erradicar la violencia de género de manera consistente y sostenida.</w:t>
      </w:r>
    </w:p>
    <w:p w14:paraId="2CDA03B7" w14:textId="4ECCB079" w:rsidR="00A927E0" w:rsidRDefault="00A927E0" w:rsidP="00A927E0">
      <w:pPr>
        <w:pStyle w:val="NormalWeb"/>
        <w:jc w:val="both"/>
        <w:rPr>
          <w:rFonts w:ascii="Book Antiqua" w:hAnsi="Book Antiqua"/>
        </w:rPr>
      </w:pPr>
      <w:r>
        <w:rPr>
          <w:rFonts w:ascii="Book Antiqua" w:hAnsi="Book Antiqua"/>
        </w:rPr>
        <w:t>E</w:t>
      </w:r>
      <w:r w:rsidRPr="009B3675">
        <w:rPr>
          <w:rFonts w:ascii="Book Antiqua" w:hAnsi="Book Antiqua"/>
        </w:rPr>
        <w:t>l Departamento de Justicia</w:t>
      </w:r>
      <w:r>
        <w:rPr>
          <w:rFonts w:ascii="Book Antiqua" w:hAnsi="Book Antiqua"/>
        </w:rPr>
        <w:t xml:space="preserve">, </w:t>
      </w:r>
      <w:r w:rsidR="00640235">
        <w:rPr>
          <w:rFonts w:ascii="Book Antiqua" w:hAnsi="Book Antiqua"/>
        </w:rPr>
        <w:t>concluye,</w:t>
      </w:r>
      <w:r>
        <w:rPr>
          <w:rFonts w:ascii="Book Antiqua" w:hAnsi="Book Antiqua"/>
        </w:rPr>
        <w:t xml:space="preserve"> mencionando que</w:t>
      </w:r>
      <w:r w:rsidRPr="009B3675">
        <w:rPr>
          <w:rFonts w:ascii="Book Antiqua" w:hAnsi="Book Antiqua"/>
        </w:rPr>
        <w:t xml:space="preserve"> endosa la aprobación del </w:t>
      </w:r>
      <w:r w:rsidRPr="009B3675">
        <w:rPr>
          <w:rStyle w:val="Strong"/>
          <w:rFonts w:ascii="Book Antiqua" w:hAnsi="Book Antiqua"/>
        </w:rPr>
        <w:t>P. de la C. 1015</w:t>
      </w:r>
      <w:r w:rsidR="00592412">
        <w:rPr>
          <w:rFonts w:ascii="Book Antiqua" w:hAnsi="Book Antiqua"/>
        </w:rPr>
        <w:t>.</w:t>
      </w:r>
    </w:p>
    <w:p w14:paraId="42CD42B8" w14:textId="1F7F0E3F" w:rsidR="00A927E0" w:rsidRPr="007751EF" w:rsidRDefault="00A927E0" w:rsidP="00A927E0">
      <w:pPr>
        <w:pStyle w:val="NormalWeb"/>
        <w:jc w:val="both"/>
        <w:rPr>
          <w:rFonts w:ascii="Book Antiqua" w:hAnsi="Book Antiqua"/>
          <w:lang w:val="es-DO"/>
        </w:rPr>
      </w:pPr>
      <w:r w:rsidRPr="007751EF">
        <w:rPr>
          <w:rFonts w:ascii="Book Antiqua" w:hAnsi="Book Antiqua"/>
          <w:lang w:val="es-DO"/>
        </w:rPr>
        <w:t xml:space="preserve">La </w:t>
      </w:r>
      <w:r w:rsidRPr="007751EF">
        <w:rPr>
          <w:rFonts w:ascii="Book Antiqua" w:hAnsi="Book Antiqua"/>
          <w:b/>
          <w:bCs/>
          <w:i/>
          <w:iCs/>
          <w:lang w:val="es-DO"/>
        </w:rPr>
        <w:t xml:space="preserve">Federación de </w:t>
      </w:r>
      <w:proofErr w:type="gramStart"/>
      <w:r w:rsidRPr="007751EF">
        <w:rPr>
          <w:rFonts w:ascii="Book Antiqua" w:hAnsi="Book Antiqua"/>
          <w:b/>
          <w:bCs/>
          <w:i/>
          <w:iCs/>
          <w:lang w:val="es-DO"/>
        </w:rPr>
        <w:t>Alcaldes</w:t>
      </w:r>
      <w:proofErr w:type="gramEnd"/>
      <w:r w:rsidR="00592412">
        <w:rPr>
          <w:rFonts w:ascii="Book Antiqua" w:hAnsi="Book Antiqua"/>
          <w:b/>
          <w:bCs/>
          <w:i/>
          <w:iCs/>
          <w:lang w:val="es-DO"/>
        </w:rPr>
        <w:t xml:space="preserve"> de </w:t>
      </w:r>
      <w:proofErr w:type="spellStart"/>
      <w:r w:rsidR="00592412">
        <w:rPr>
          <w:rFonts w:ascii="Book Antiqua" w:hAnsi="Book Antiqua"/>
          <w:b/>
          <w:bCs/>
          <w:i/>
          <w:iCs/>
          <w:lang w:val="es-DO"/>
        </w:rPr>
        <w:t>Alcades</w:t>
      </w:r>
      <w:proofErr w:type="spellEnd"/>
      <w:r w:rsidR="00592412">
        <w:rPr>
          <w:rFonts w:ascii="Book Antiqua" w:hAnsi="Book Antiqua"/>
          <w:b/>
          <w:bCs/>
          <w:i/>
          <w:iCs/>
          <w:lang w:val="es-DO"/>
        </w:rPr>
        <w:t xml:space="preserve"> de Puerto Rico (FAPR)</w:t>
      </w:r>
      <w:r w:rsidRPr="007751EF">
        <w:rPr>
          <w:rFonts w:ascii="Book Antiqua" w:hAnsi="Book Antiqua"/>
          <w:lang w:val="es-DO"/>
        </w:rPr>
        <w:t xml:space="preserve">, </w:t>
      </w:r>
      <w:r>
        <w:rPr>
          <w:rFonts w:ascii="Book Antiqua" w:hAnsi="Book Antiqua"/>
          <w:lang w:val="es-DO"/>
        </w:rPr>
        <w:t>fue representad</w:t>
      </w:r>
      <w:r w:rsidR="00592412">
        <w:rPr>
          <w:rFonts w:ascii="Book Antiqua" w:hAnsi="Book Antiqua"/>
          <w:lang w:val="es-DO"/>
        </w:rPr>
        <w:t>a</w:t>
      </w:r>
      <w:r w:rsidRPr="007751EF">
        <w:rPr>
          <w:rFonts w:ascii="Book Antiqua" w:hAnsi="Book Antiqua"/>
          <w:lang w:val="es-DO"/>
        </w:rPr>
        <w:t xml:space="preserve"> por su </w:t>
      </w:r>
      <w:r w:rsidR="00592412">
        <w:rPr>
          <w:rFonts w:ascii="Book Antiqua" w:hAnsi="Book Antiqua"/>
          <w:lang w:val="es-DO"/>
        </w:rPr>
        <w:t>d</w:t>
      </w:r>
      <w:r w:rsidRPr="007751EF">
        <w:rPr>
          <w:rFonts w:ascii="Book Antiqua" w:hAnsi="Book Antiqua"/>
          <w:lang w:val="es-DO"/>
        </w:rPr>
        <w:t xml:space="preserve">irector </w:t>
      </w:r>
      <w:r w:rsidR="00592412">
        <w:rPr>
          <w:rFonts w:ascii="Book Antiqua" w:hAnsi="Book Antiqua"/>
          <w:lang w:val="es-DO"/>
        </w:rPr>
        <w:t>e</w:t>
      </w:r>
      <w:r w:rsidRPr="007751EF">
        <w:rPr>
          <w:rFonts w:ascii="Book Antiqua" w:hAnsi="Book Antiqua"/>
          <w:lang w:val="es-DO"/>
        </w:rPr>
        <w:t xml:space="preserve">jecutivo, Ángel M. Morales Vázquez, </w:t>
      </w:r>
      <w:r w:rsidR="00640235">
        <w:rPr>
          <w:rFonts w:ascii="Book Antiqua" w:hAnsi="Book Antiqua"/>
          <w:lang w:val="es-DO"/>
        </w:rPr>
        <w:t xml:space="preserve">indicando que </w:t>
      </w:r>
      <w:r w:rsidRPr="007751EF">
        <w:rPr>
          <w:rFonts w:ascii="Book Antiqua" w:hAnsi="Book Antiqua"/>
          <w:lang w:val="es-DO"/>
        </w:rPr>
        <w:t>endosa</w:t>
      </w:r>
      <w:r w:rsidR="00640235">
        <w:rPr>
          <w:rFonts w:ascii="Book Antiqua" w:hAnsi="Book Antiqua"/>
          <w:lang w:val="es-DO"/>
        </w:rPr>
        <w:t>n</w:t>
      </w:r>
      <w:r w:rsidRPr="007751EF">
        <w:rPr>
          <w:rFonts w:ascii="Book Antiqua" w:hAnsi="Book Antiqua"/>
          <w:lang w:val="es-DO"/>
        </w:rPr>
        <w:t xml:space="preserve"> la medida y </w:t>
      </w:r>
      <w:r>
        <w:rPr>
          <w:rFonts w:ascii="Book Antiqua" w:hAnsi="Book Antiqua"/>
          <w:lang w:val="es-DO"/>
        </w:rPr>
        <w:t>expresa</w:t>
      </w:r>
      <w:r w:rsidR="00640235">
        <w:rPr>
          <w:rFonts w:ascii="Book Antiqua" w:hAnsi="Book Antiqua"/>
          <w:lang w:val="es-DO"/>
        </w:rPr>
        <w:t>do</w:t>
      </w:r>
      <w:r w:rsidRPr="007751EF">
        <w:rPr>
          <w:rFonts w:ascii="Book Antiqua" w:hAnsi="Book Antiqua"/>
          <w:lang w:val="es-DO"/>
        </w:rPr>
        <w:t xml:space="preserve"> que lo propuesto en la </w:t>
      </w:r>
      <w:r w:rsidR="00592412">
        <w:rPr>
          <w:rFonts w:ascii="Book Antiqua" w:hAnsi="Book Antiqua"/>
          <w:lang w:val="es-DO"/>
        </w:rPr>
        <w:t xml:space="preserve">misma, </w:t>
      </w:r>
      <w:r w:rsidRPr="007751EF">
        <w:rPr>
          <w:rFonts w:ascii="Book Antiqua" w:hAnsi="Book Antiqua"/>
          <w:b/>
          <w:bCs/>
          <w:lang w:val="es-DO"/>
        </w:rPr>
        <w:t>r</w:t>
      </w:r>
      <w:r w:rsidRPr="007751EF">
        <w:rPr>
          <w:rFonts w:ascii="Book Antiqua" w:hAnsi="Book Antiqua"/>
          <w:lang w:val="es-DO"/>
        </w:rPr>
        <w:t xml:space="preserve">esulta conveniente y viable para los </w:t>
      </w:r>
      <w:r w:rsidRPr="007751EF">
        <w:rPr>
          <w:rFonts w:ascii="Book Antiqua" w:hAnsi="Book Antiqua"/>
          <w:lang w:val="es-DO"/>
        </w:rPr>
        <w:lastRenderedPageBreak/>
        <w:t>municipios, toda vez que no altera la estructura organizacional municipal ni conlleva impacto directo en el</w:t>
      </w:r>
      <w:r w:rsidRPr="007751EF">
        <w:rPr>
          <w:rFonts w:ascii="Book Antiqua" w:hAnsi="Book Antiqua"/>
          <w:b/>
          <w:bCs/>
          <w:lang w:val="es-DO"/>
        </w:rPr>
        <w:t xml:space="preserve"> </w:t>
      </w:r>
      <w:r w:rsidRPr="00592412">
        <w:rPr>
          <w:rFonts w:ascii="Book Antiqua" w:hAnsi="Book Antiqua"/>
          <w:lang w:val="es-DO"/>
        </w:rPr>
        <w:t xml:space="preserve">servicio </w:t>
      </w:r>
      <w:r w:rsidRPr="007751EF">
        <w:rPr>
          <w:rFonts w:ascii="Book Antiqua" w:hAnsi="Book Antiqua"/>
          <w:lang w:val="es-DO"/>
        </w:rPr>
        <w:t>público. La medida no impone la creación de un nuevo puesto, ni un nombramiento ni una nueva clasificación de empleo por mandato legislativo, sino que se limita a requerir la designación de un funcionario municipal existente, permitiendo flexibilidad administrativa y operacional a cada municipio.</w:t>
      </w:r>
    </w:p>
    <w:p w14:paraId="5785725F" w14:textId="77777777" w:rsidR="00A927E0" w:rsidRPr="007751EF" w:rsidRDefault="00A927E0" w:rsidP="00A927E0">
      <w:pPr>
        <w:pStyle w:val="NormalWeb"/>
        <w:jc w:val="both"/>
        <w:rPr>
          <w:rFonts w:ascii="Book Antiqua" w:hAnsi="Book Antiqua"/>
          <w:lang w:val="es-DO"/>
        </w:rPr>
      </w:pPr>
      <w:r w:rsidRPr="007751EF">
        <w:rPr>
          <w:rFonts w:ascii="Book Antiqua" w:hAnsi="Book Antiqua"/>
          <w:lang w:val="es-DO"/>
        </w:rPr>
        <w:t>Es importante aclarar que, aunque la medida señala que la aprobación del Código Municipal eliminó la obligación de establecer una Oficina Municipal de Asuntos de la Mujer como unidad administrativa, ello no constituyó un error legislativo. Por el contrario, el Código Municipal responde a la intención de romper con la homogeneidad administrativa que caracterizaba a los municipios bajo legislación anterior, reconociendo que las realidades fiscales, poblacionales y operacionales de los setenta y ocho (78) municipios no son uniformes. En consecuencia, el Código faculta a los alcaldes a crear, mediante ordenanza, aquellas unidades administrativas necesarias para atender las funciones y servicios conforme a las necesidades particulares de sus comunidades.</w:t>
      </w:r>
    </w:p>
    <w:p w14:paraId="35818512" w14:textId="77777777" w:rsidR="00A927E0" w:rsidRPr="007751EF" w:rsidRDefault="00A927E0" w:rsidP="00A927E0">
      <w:pPr>
        <w:pStyle w:val="NormalWeb"/>
        <w:jc w:val="both"/>
        <w:rPr>
          <w:rFonts w:ascii="Book Antiqua" w:hAnsi="Book Antiqua"/>
          <w:lang w:val="es-DO"/>
        </w:rPr>
      </w:pPr>
      <w:r w:rsidRPr="007751EF">
        <w:rPr>
          <w:rFonts w:ascii="Book Antiqua" w:hAnsi="Book Antiqua"/>
          <w:lang w:val="es-DO"/>
        </w:rPr>
        <w:t>Cónsono con lo anterior, muchos municipios ya cuentan con Oficinas de Servicios al Ciudadano u otras estructuras administrativas desde las cuales se atienden asuntos relacionados con mujeres, adultos mayores, niñez y otras poblaciones vulnerables, desarrollando iniciativas educativas, de orientación y de apoyo comunitario. En ese contexto, la designación de un Enlace Municipal de Asuntos de la Mujer y Víctimas de Violencia Doméstica se integra de manera natural a las estructuras existentes, sin imponer rigidez administrativa ni cargas fiscales adicionales.</w:t>
      </w:r>
    </w:p>
    <w:p w14:paraId="44DAE638" w14:textId="77777777" w:rsidR="00A927E0" w:rsidRPr="007751EF" w:rsidRDefault="00A927E0" w:rsidP="00A927E0">
      <w:pPr>
        <w:pStyle w:val="NormalWeb"/>
        <w:jc w:val="both"/>
        <w:rPr>
          <w:rFonts w:ascii="Book Antiqua" w:hAnsi="Book Antiqua"/>
          <w:lang w:val="es-DO"/>
        </w:rPr>
      </w:pPr>
      <w:r w:rsidRPr="007751EF">
        <w:rPr>
          <w:rFonts w:ascii="Book Antiqua" w:hAnsi="Book Antiqua"/>
          <w:lang w:val="es-DO"/>
        </w:rPr>
        <w:t xml:space="preserve">Dado que la legislación </w:t>
      </w:r>
      <w:r>
        <w:rPr>
          <w:rFonts w:ascii="Book Antiqua" w:hAnsi="Book Antiqua"/>
          <w:lang w:val="es-DO"/>
        </w:rPr>
        <w:t>establece</w:t>
      </w:r>
      <w:r w:rsidRPr="007751EF">
        <w:rPr>
          <w:rFonts w:ascii="Book Antiqua" w:hAnsi="Book Antiqua"/>
          <w:lang w:val="es-DO"/>
        </w:rPr>
        <w:t xml:space="preserve"> que cada alcalde designe un funcionario municipal como enlace, el rol principal de dicho funcionario será servir de punto de coordinación con las agencias gubernamentales pertinentes y con las entidades del tercer sector que tienen el deber ministerial y el rol primario en la prestación de servicios, atención y acompañamiento a las víctimas y sobrevivientes de violencia doméstica y de género. De esta manera, se fortalece la presencia institucional de los asuntos de la mujer a nivel municipal y se promueve una respuesta más accesible y coordinada.</w:t>
      </w:r>
    </w:p>
    <w:p w14:paraId="1CBED4A7" w14:textId="4F8F69C6" w:rsidR="00A927E0" w:rsidRDefault="00A927E0" w:rsidP="00A927E0">
      <w:pPr>
        <w:pStyle w:val="NormalWeb"/>
        <w:jc w:val="both"/>
        <w:rPr>
          <w:rFonts w:ascii="Book Antiqua" w:hAnsi="Book Antiqua"/>
          <w:lang w:val="es-DO"/>
        </w:rPr>
      </w:pPr>
      <w:r w:rsidRPr="007751EF">
        <w:rPr>
          <w:rFonts w:ascii="Book Antiqua" w:hAnsi="Book Antiqua"/>
          <w:lang w:val="es-DO"/>
        </w:rPr>
        <w:t xml:space="preserve">En síntesis, </w:t>
      </w:r>
      <w:r>
        <w:rPr>
          <w:rFonts w:ascii="Book Antiqua" w:hAnsi="Book Antiqua"/>
          <w:lang w:val="es-DO"/>
        </w:rPr>
        <w:t>la F</w:t>
      </w:r>
      <w:r w:rsidR="00592412">
        <w:rPr>
          <w:rFonts w:ascii="Book Antiqua" w:hAnsi="Book Antiqua"/>
          <w:lang w:val="es-DO"/>
        </w:rPr>
        <w:t>APR</w:t>
      </w:r>
      <w:r>
        <w:rPr>
          <w:rFonts w:ascii="Book Antiqua" w:hAnsi="Book Antiqua"/>
          <w:lang w:val="es-DO"/>
        </w:rPr>
        <w:t xml:space="preserve"> expresa que </w:t>
      </w:r>
      <w:r w:rsidRPr="007751EF">
        <w:rPr>
          <w:rFonts w:ascii="Book Antiqua" w:hAnsi="Book Antiqua"/>
          <w:lang w:val="es-DO"/>
        </w:rPr>
        <w:t>el Proyecto de la Cámara 1015 constituye una medida con potencial de impacto social positivo, alineada con las realidades y necesidades de los municipios. La misma promueve un enfoque municipal activo y coordinado en la atención de la violencia doméstica y de género, reconoce la importancia de atender esta problemática desde la cercanía comunitaria y puede mejorar significativamente el acceso de las víctimas a recursos y apoyo directamente en su municipio.</w:t>
      </w:r>
    </w:p>
    <w:p w14:paraId="5FF0CA21" w14:textId="0A202EE1" w:rsidR="00A927E0" w:rsidRPr="00BF3E46" w:rsidRDefault="00A927E0" w:rsidP="00A927E0">
      <w:pPr>
        <w:pStyle w:val="NormalWeb"/>
        <w:jc w:val="both"/>
        <w:rPr>
          <w:rFonts w:ascii="Book Antiqua" w:hAnsi="Book Antiqua"/>
          <w:lang w:val="es-DO"/>
        </w:rPr>
      </w:pPr>
      <w:r w:rsidRPr="00BF3E46">
        <w:rPr>
          <w:rFonts w:ascii="Book Antiqua" w:hAnsi="Book Antiqua"/>
          <w:lang w:val="es-DO"/>
        </w:rPr>
        <w:t xml:space="preserve">La </w:t>
      </w:r>
      <w:r w:rsidRPr="00BF3E46">
        <w:rPr>
          <w:rFonts w:ascii="Book Antiqua" w:hAnsi="Book Antiqua"/>
          <w:b/>
          <w:bCs/>
          <w:i/>
          <w:iCs/>
          <w:lang w:val="es-DO"/>
        </w:rPr>
        <w:t>Oficina de la Procuradora de las Mujeres (OPM)</w:t>
      </w:r>
      <w:r w:rsidRPr="00BF3E46">
        <w:rPr>
          <w:rFonts w:ascii="Book Antiqua" w:hAnsi="Book Antiqua"/>
          <w:lang w:val="es-DO"/>
        </w:rPr>
        <w:t xml:space="preserve">, compareció </w:t>
      </w:r>
      <w:r>
        <w:rPr>
          <w:rFonts w:ascii="Book Antiqua" w:hAnsi="Book Antiqua"/>
          <w:lang w:val="es-DO"/>
        </w:rPr>
        <w:t>representad</w:t>
      </w:r>
      <w:r w:rsidR="00592412">
        <w:rPr>
          <w:rFonts w:ascii="Book Antiqua" w:hAnsi="Book Antiqua"/>
          <w:lang w:val="es-DO"/>
        </w:rPr>
        <w:t>a</w:t>
      </w:r>
      <w:r>
        <w:rPr>
          <w:rFonts w:ascii="Book Antiqua" w:hAnsi="Book Antiqua"/>
          <w:lang w:val="es-DO"/>
        </w:rPr>
        <w:t xml:space="preserve"> </w:t>
      </w:r>
      <w:r w:rsidRPr="00BF3E46">
        <w:rPr>
          <w:rFonts w:ascii="Book Antiqua" w:hAnsi="Book Antiqua"/>
          <w:lang w:val="es-DO"/>
        </w:rPr>
        <w:t>por</w:t>
      </w:r>
      <w:r w:rsidR="00592412">
        <w:rPr>
          <w:rFonts w:ascii="Book Antiqua" w:hAnsi="Book Antiqua"/>
          <w:lang w:val="es-DO"/>
        </w:rPr>
        <w:t xml:space="preserve"> su procuradora</w:t>
      </w:r>
      <w:r w:rsidRPr="00BF3E46">
        <w:rPr>
          <w:rFonts w:ascii="Book Antiqua" w:hAnsi="Book Antiqua"/>
          <w:lang w:val="es-DO"/>
        </w:rPr>
        <w:t xml:space="preserve"> la </w:t>
      </w:r>
      <w:r w:rsidR="00592412">
        <w:rPr>
          <w:rFonts w:ascii="Book Antiqua" w:hAnsi="Book Antiqua"/>
          <w:lang w:val="es-DO"/>
        </w:rPr>
        <w:t>l</w:t>
      </w:r>
      <w:r w:rsidRPr="00BF3E46">
        <w:rPr>
          <w:rFonts w:ascii="Book Antiqua" w:hAnsi="Book Antiqua"/>
          <w:lang w:val="es-DO"/>
        </w:rPr>
        <w:t>icenciada Astrid Piñero Vázquez</w:t>
      </w:r>
      <w:r>
        <w:rPr>
          <w:rFonts w:ascii="Book Antiqua" w:hAnsi="Book Antiqua"/>
          <w:lang w:val="es-DO"/>
        </w:rPr>
        <w:t>,</w:t>
      </w:r>
      <w:r w:rsidRPr="00BF3E46">
        <w:rPr>
          <w:rFonts w:ascii="Book Antiqua" w:hAnsi="Book Antiqua"/>
          <w:lang w:val="es-DO"/>
        </w:rPr>
        <w:t xml:space="preserve"> indicando que la enmienda propuesta en la Sección 1 del proyecto, al añadir el Artículo 2.003B a la Ley 107, supra, </w:t>
      </w:r>
      <w:r>
        <w:rPr>
          <w:rFonts w:ascii="Book Antiqua" w:hAnsi="Book Antiqua"/>
          <w:lang w:val="es-DO"/>
        </w:rPr>
        <w:t xml:space="preserve">les </w:t>
      </w:r>
      <w:r w:rsidRPr="00BF3E46">
        <w:rPr>
          <w:rFonts w:ascii="Book Antiqua" w:hAnsi="Book Antiqua"/>
          <w:lang w:val="es-DO"/>
        </w:rPr>
        <w:t xml:space="preserve">parece razonable y necesaria, habida cuenta que establece un deber claro y uniforme para todos </w:t>
      </w:r>
      <w:r w:rsidRPr="00BF3E46">
        <w:rPr>
          <w:rFonts w:ascii="Book Antiqua" w:hAnsi="Book Antiqua"/>
          <w:lang w:val="es-DO"/>
        </w:rPr>
        <w:lastRenderedPageBreak/>
        <w:t>los municipios sin imponer una estructura administrativa onerosa. La disposición se limita a requerir la designación de un funcionario municipal como Enlace Municipal de Asuntos de la Mujer y Víctimas de Violencia Doméstica, lo cual permite flexibilidad administrativa a cada municipio para integrar dicha función conforme a su realidad operacional, sin menoscabar el objetivo de política pública que se persigue.</w:t>
      </w:r>
    </w:p>
    <w:p w14:paraId="33874E6C" w14:textId="77777777" w:rsidR="00A927E0" w:rsidRPr="00BF3E46" w:rsidRDefault="00A927E0" w:rsidP="00A927E0">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 xml:space="preserve">De otra parte, esta enmienda responde directamente al vacío creado tras la derogación de la Ley 81, </w:t>
      </w:r>
      <w:r w:rsidRPr="00BF3E46">
        <w:rPr>
          <w:rFonts w:ascii="Book Antiqua" w:eastAsia="Times New Roman" w:hAnsi="Book Antiqua"/>
          <w:i/>
          <w:iCs/>
          <w:szCs w:val="24"/>
          <w:lang w:val="es-DO"/>
        </w:rPr>
        <w:t xml:space="preserve">supra, </w:t>
      </w:r>
      <w:r w:rsidRPr="00BF3E46">
        <w:rPr>
          <w:rFonts w:ascii="Book Antiqua" w:eastAsia="Times New Roman" w:hAnsi="Book Antiqua"/>
          <w:szCs w:val="24"/>
          <w:lang w:val="es-DO"/>
        </w:rPr>
        <w:t xml:space="preserve">y a la eliminación de la obligación expresa de contar con oficinas municipales especializadas en asuntos de la mujer. En atención a esta omisión legislativa, el Artículo 2.003B </w:t>
      </w:r>
      <w:r>
        <w:rPr>
          <w:rFonts w:ascii="Book Antiqua" w:eastAsia="Times New Roman" w:hAnsi="Book Antiqua"/>
          <w:szCs w:val="24"/>
          <w:lang w:val="es-DO"/>
        </w:rPr>
        <w:t>restablecería</w:t>
      </w:r>
      <w:r w:rsidRPr="00BF3E46">
        <w:rPr>
          <w:rFonts w:ascii="Book Antiqua" w:eastAsia="Times New Roman" w:hAnsi="Book Antiqua"/>
          <w:szCs w:val="24"/>
          <w:lang w:val="es-DO"/>
        </w:rPr>
        <w:t>, aunque de forma distinta, un punto de contacto institucional a nivel municipal que facilita la coordinación de servicios, la orientación y el acompañamiento de las víctimas, conforme a los fines del Código Municipal y a la realidad fiscal de los municipios.</w:t>
      </w:r>
    </w:p>
    <w:p w14:paraId="68D8576E" w14:textId="77777777" w:rsidR="00A927E0" w:rsidRPr="00BF3E46" w:rsidRDefault="00A927E0" w:rsidP="00A927E0">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 xml:space="preserve">Asimismo, la creación de este enlace municipal reviste particular importancia como mecanismo de coordinación entre los municipios, la OPM y otras agencias concernidas. Como se sabe, de conformidad con la Ley 20-2001, según enmendada (1 LPRA § 311 et </w:t>
      </w:r>
      <w:proofErr w:type="spellStart"/>
      <w:r w:rsidRPr="00BF3E46">
        <w:rPr>
          <w:rFonts w:ascii="Book Antiqua" w:eastAsia="Times New Roman" w:hAnsi="Book Antiqua"/>
          <w:szCs w:val="24"/>
          <w:lang w:val="es-DO"/>
        </w:rPr>
        <w:t>seq</w:t>
      </w:r>
      <w:proofErr w:type="spellEnd"/>
      <w:r w:rsidRPr="00BF3E46">
        <w:rPr>
          <w:rFonts w:ascii="Book Antiqua" w:eastAsia="Times New Roman" w:hAnsi="Book Antiqua"/>
          <w:szCs w:val="24"/>
          <w:lang w:val="es-DO"/>
        </w:rPr>
        <w:t xml:space="preserve">.), </w:t>
      </w:r>
      <w:r>
        <w:rPr>
          <w:rFonts w:ascii="Book Antiqua" w:eastAsia="Times New Roman" w:hAnsi="Book Antiqua"/>
          <w:szCs w:val="24"/>
          <w:lang w:val="es-DO"/>
        </w:rPr>
        <w:t>la OPM</w:t>
      </w:r>
      <w:r w:rsidRPr="00BF3E46">
        <w:rPr>
          <w:rFonts w:ascii="Book Antiqua" w:eastAsia="Times New Roman" w:hAnsi="Book Antiqua"/>
          <w:szCs w:val="24"/>
          <w:lang w:val="es-DO"/>
        </w:rPr>
        <w:t xml:space="preserve"> tiene el deber ministerial de fiscalizar la implantación de la política pública dirigida a garantizar los derechos de las mujeres. La existencia de enlaces municipales facilita el flujo de información, el cumplimiento de referidos y la implementación coherente de programas y protocolos, sin que ello implique una intromisión indebida en la autonomía municipal.</w:t>
      </w:r>
    </w:p>
    <w:p w14:paraId="4E9EFAC4" w14:textId="77777777" w:rsidR="00A927E0" w:rsidRPr="00BF3E46" w:rsidRDefault="00A927E0" w:rsidP="00A927E0">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Además, este tipo de enlace resulta esencial para fortalecer la prevención y la atención temprana de la violencia doméstica y de género. En cuanto a la respuesta del Estado, la cercanía del gobierno municipal con las comunidades permite identificar patrones de riesgo, necesidades específicas y situaciones de vulnerabilidad que, en muchos casos, no llegan de inmediato a las agencias de la Rama Ejecutiva. Por consiguiente, el enlace municipal se convierte en un recurso idóneo y estratégico para canalizar servicios, coordinar intervenciones y promover iniciativas educativas y preventivas a nivel comunitario.</w:t>
      </w:r>
    </w:p>
    <w:p w14:paraId="440708F2" w14:textId="77777777" w:rsidR="00A927E0" w:rsidRPr="00BF3E46" w:rsidRDefault="00A927E0" w:rsidP="00A927E0">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Respecto a la cercanía con las mujeres y las víctimas/sobrevivientes de violencia doméstica, la designación de un enlace municipal brinda un acceso más inmediato para la búsqueda de ayuda. Muchas víctimas enfrentan barreras significativas para acudir a agencias estatales, ya sea por temor, falta de recursos o desconocimiento. En cambio, la presencia de un funcionario municipal identificado y capacitado puede reducir esas barreras, fomentar la confianza y propiciar que las víctimas busquen protección y servicios de manera oportuna.</w:t>
      </w:r>
    </w:p>
    <w:p w14:paraId="5CEEFA4A" w14:textId="6852405B" w:rsidR="00A927E0" w:rsidRPr="00BF3E46" w:rsidRDefault="00A927E0" w:rsidP="00A927E0">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 xml:space="preserve">Además, </w:t>
      </w:r>
      <w:r>
        <w:rPr>
          <w:rFonts w:ascii="Book Antiqua" w:eastAsia="Times New Roman" w:hAnsi="Book Antiqua"/>
          <w:szCs w:val="24"/>
          <w:lang w:val="es-DO"/>
        </w:rPr>
        <w:t>la OPM señala</w:t>
      </w:r>
      <w:r w:rsidRPr="00BF3E46">
        <w:rPr>
          <w:rFonts w:ascii="Book Antiqua" w:eastAsia="Times New Roman" w:hAnsi="Book Antiqua"/>
          <w:szCs w:val="24"/>
          <w:lang w:val="es-DO"/>
        </w:rPr>
        <w:t xml:space="preserve"> que la razonabilidad de la medida se sostiene en que no duplica funciones ni crea conflictos de competencia con la OPM, sino que complementa </w:t>
      </w:r>
      <w:r>
        <w:rPr>
          <w:rFonts w:ascii="Book Antiqua" w:eastAsia="Times New Roman" w:hAnsi="Book Antiqua"/>
          <w:szCs w:val="24"/>
          <w:lang w:val="es-DO"/>
        </w:rPr>
        <w:t xml:space="preserve">su </w:t>
      </w:r>
      <w:r w:rsidRPr="00BF3E46">
        <w:rPr>
          <w:rFonts w:ascii="Book Antiqua" w:eastAsia="Times New Roman" w:hAnsi="Book Antiqua"/>
          <w:szCs w:val="24"/>
          <w:lang w:val="es-DO"/>
        </w:rPr>
        <w:t xml:space="preserve">labor fiscalizadora y de política pública. Conforme a la Ley 20, supra, en la OPM mantenemos </w:t>
      </w:r>
      <w:r w:rsidRPr="00BF3E46">
        <w:rPr>
          <w:rFonts w:ascii="Book Antiqua" w:eastAsia="Times New Roman" w:hAnsi="Book Antiqua"/>
          <w:szCs w:val="24"/>
          <w:lang w:val="es-DO"/>
        </w:rPr>
        <w:lastRenderedPageBreak/>
        <w:t>nuestras facultades educativas, investigativas, reglamentarias y cuasi judiciales. El enlace municipal, por el contrario, actúa como un facilitador local, alineado con dicha política pública en contra de la violencia, lo que fortalece la labor institucional sin menoscabar ni confundir las responsabilidades de cada entidad.</w:t>
      </w:r>
    </w:p>
    <w:p w14:paraId="457A5188" w14:textId="5B29B033" w:rsidR="00A927E0" w:rsidRPr="002E0754" w:rsidRDefault="00A927E0" w:rsidP="002E0754">
      <w:pPr>
        <w:spacing w:before="100" w:beforeAutospacing="1" w:after="100" w:afterAutospacing="1"/>
        <w:jc w:val="both"/>
        <w:rPr>
          <w:rFonts w:ascii="Book Antiqua" w:eastAsia="Times New Roman" w:hAnsi="Book Antiqua"/>
          <w:szCs w:val="24"/>
          <w:lang w:val="es-DO"/>
        </w:rPr>
      </w:pPr>
      <w:r w:rsidRPr="00BF3E46">
        <w:rPr>
          <w:rFonts w:ascii="Book Antiqua" w:eastAsia="Times New Roman" w:hAnsi="Book Antiqua"/>
          <w:szCs w:val="24"/>
          <w:lang w:val="es-DO"/>
        </w:rPr>
        <w:t>Finalmente,</w:t>
      </w:r>
      <w:r>
        <w:rPr>
          <w:rFonts w:ascii="Book Antiqua" w:eastAsia="Times New Roman" w:hAnsi="Book Antiqua"/>
          <w:szCs w:val="24"/>
          <w:lang w:val="es-DO"/>
        </w:rPr>
        <w:t xml:space="preserve"> la OPM</w:t>
      </w:r>
      <w:r w:rsidRPr="00BF3E46">
        <w:rPr>
          <w:rFonts w:ascii="Book Antiqua" w:eastAsia="Times New Roman" w:hAnsi="Book Antiqua"/>
          <w:szCs w:val="24"/>
          <w:lang w:val="es-DO"/>
        </w:rPr>
        <w:t xml:space="preserve"> señala que la medida promueve una respuesta gubernamental integrada, tal como se plantea en la Exposición de Motivos. Habida cuenta que la violencia de género es un fenómeno complejo y multifacético, la coordinación entre niveles de gobierno es indispensable. En ese sentido, el Artículo 2.003B propuesto constituye una herramienta puntual para avanzar hacia una atención más eficaz, cercana y sensible a las realidades de las mujeres y de las víctimas/sobrevivientes de violencia doméstica en Puerto Rico.</w:t>
      </w:r>
      <w:r>
        <w:rPr>
          <w:rFonts w:ascii="Book Antiqua" w:eastAsia="Times New Roman" w:hAnsi="Book Antiqua"/>
          <w:szCs w:val="24"/>
          <w:lang w:val="es-DO"/>
        </w:rPr>
        <w:t xml:space="preserve"> </w:t>
      </w:r>
      <w:r w:rsidRPr="00BF3E46">
        <w:rPr>
          <w:rFonts w:ascii="Book Antiqua" w:eastAsia="Times New Roman" w:hAnsi="Book Antiqua"/>
          <w:szCs w:val="24"/>
          <w:lang w:val="es-DO"/>
        </w:rPr>
        <w:t xml:space="preserve">En atención a los fundamentos expuestos, </w:t>
      </w:r>
      <w:r>
        <w:rPr>
          <w:rFonts w:ascii="Book Antiqua" w:eastAsia="Times New Roman" w:hAnsi="Book Antiqua"/>
          <w:szCs w:val="24"/>
          <w:lang w:val="es-DO"/>
        </w:rPr>
        <w:t xml:space="preserve">la OPM </w:t>
      </w:r>
      <w:r w:rsidRPr="00BF3E46">
        <w:rPr>
          <w:rFonts w:ascii="Book Antiqua" w:eastAsia="Times New Roman" w:hAnsi="Book Antiqua"/>
          <w:b/>
          <w:bCs/>
          <w:szCs w:val="24"/>
          <w:lang w:val="es-DO"/>
        </w:rPr>
        <w:t>respalda sin reservas la aprobación del P. de la C. 1015 (A-088)</w:t>
      </w:r>
      <w:r w:rsidRPr="00BF3E46">
        <w:rPr>
          <w:rFonts w:ascii="Book Antiqua" w:eastAsia="Times New Roman" w:hAnsi="Book Antiqua"/>
          <w:szCs w:val="24"/>
          <w:lang w:val="es-DO"/>
        </w:rPr>
        <w:t>.</w:t>
      </w:r>
    </w:p>
    <w:p w14:paraId="0E019BED" w14:textId="63300D47" w:rsidR="00DB2C23" w:rsidRPr="00121062" w:rsidRDefault="00DB2C23" w:rsidP="002E0754">
      <w:pPr>
        <w:spacing w:before="100" w:beforeAutospacing="1" w:after="100" w:afterAutospacing="1"/>
        <w:ind w:firstLine="720"/>
        <w:rPr>
          <w:rFonts w:ascii="Book Antiqua" w:hAnsi="Book Antiqua"/>
          <w:b/>
          <w:bCs/>
          <w:i/>
          <w:iCs/>
          <w:lang w:val="es-ES"/>
        </w:rPr>
      </w:pPr>
      <w:r w:rsidRPr="00121062">
        <w:rPr>
          <w:rFonts w:ascii="Book Antiqua" w:hAnsi="Book Antiqua"/>
          <w:b/>
          <w:bCs/>
          <w:i/>
          <w:iCs/>
          <w:lang w:val="es-ES"/>
        </w:rPr>
        <w:t>Resumen de Memoriales:</w:t>
      </w:r>
    </w:p>
    <w:p w14:paraId="4C8C16C4" w14:textId="0B4A113F" w:rsidR="00DB2C23" w:rsidRPr="00DB2C23" w:rsidRDefault="00DB2C23" w:rsidP="00DB2C23">
      <w:pPr>
        <w:spacing w:before="100" w:beforeAutospacing="1" w:after="100" w:afterAutospacing="1"/>
        <w:rPr>
          <w:rFonts w:ascii="Book Antiqua" w:hAnsi="Book Antiqua"/>
          <w:lang w:val="es-ES"/>
        </w:rPr>
      </w:pPr>
      <w:r w:rsidRPr="00DB2C23">
        <w:rPr>
          <w:rFonts w:ascii="Book Antiqua" w:hAnsi="Book Antiqua"/>
          <w:lang w:val="es-ES"/>
        </w:rPr>
        <w:t xml:space="preserve">Las siguientes agencias comparecieron mediante memorial explicativo: </w:t>
      </w:r>
    </w:p>
    <w:p w14:paraId="3D1C4D97" w14:textId="44999903" w:rsidR="009915D8" w:rsidRDefault="009915D8" w:rsidP="008A1DDA">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Asociación de </w:t>
      </w:r>
      <w:proofErr w:type="gramStart"/>
      <w:r>
        <w:rPr>
          <w:rFonts w:ascii="Book Antiqua" w:hAnsi="Book Antiqua"/>
          <w:b/>
          <w:bCs/>
          <w:i/>
          <w:iCs/>
        </w:rPr>
        <w:t>Alcaldes</w:t>
      </w:r>
      <w:proofErr w:type="gramEnd"/>
      <w:r w:rsidR="00592412">
        <w:rPr>
          <w:rFonts w:ascii="Book Antiqua" w:hAnsi="Book Antiqua"/>
          <w:b/>
          <w:bCs/>
          <w:i/>
          <w:iCs/>
        </w:rPr>
        <w:t xml:space="preserve"> de Puerto Rico (AAPR)</w:t>
      </w:r>
    </w:p>
    <w:bookmarkEnd w:id="2"/>
    <w:p w14:paraId="4B14B1E8" w14:textId="2507EC6E" w:rsidR="009915D8" w:rsidRPr="009915D8" w:rsidRDefault="009915D8" w:rsidP="009915D8">
      <w:pPr>
        <w:pStyle w:val="NormalWeb"/>
        <w:jc w:val="both"/>
        <w:rPr>
          <w:rFonts w:ascii="Book Antiqua" w:hAnsi="Book Antiqua"/>
        </w:rPr>
      </w:pPr>
      <w:r>
        <w:rPr>
          <w:rFonts w:ascii="Book Antiqua" w:hAnsi="Book Antiqua"/>
        </w:rPr>
        <w:t xml:space="preserve">La </w:t>
      </w:r>
      <w:r w:rsidRPr="009915D8">
        <w:rPr>
          <w:rFonts w:ascii="Book Antiqua" w:hAnsi="Book Antiqua"/>
          <w:b/>
          <w:bCs/>
          <w:i/>
          <w:iCs/>
        </w:rPr>
        <w:t xml:space="preserve">Asociación de </w:t>
      </w:r>
      <w:proofErr w:type="gramStart"/>
      <w:r w:rsidR="00242B71" w:rsidRPr="009915D8">
        <w:rPr>
          <w:rFonts w:ascii="Book Antiqua" w:hAnsi="Book Antiqua"/>
          <w:b/>
          <w:bCs/>
          <w:i/>
          <w:iCs/>
        </w:rPr>
        <w:t>Alcaldes</w:t>
      </w:r>
      <w:proofErr w:type="gramEnd"/>
      <w:r w:rsidR="00592412">
        <w:rPr>
          <w:rFonts w:ascii="Book Antiqua" w:hAnsi="Book Antiqua"/>
          <w:b/>
          <w:bCs/>
          <w:i/>
          <w:iCs/>
        </w:rPr>
        <w:t xml:space="preserve"> </w:t>
      </w:r>
      <w:r w:rsidR="00592412" w:rsidRPr="00592412">
        <w:rPr>
          <w:rFonts w:ascii="Book Antiqua" w:hAnsi="Book Antiqua"/>
          <w:b/>
          <w:bCs/>
          <w:i/>
          <w:iCs/>
        </w:rPr>
        <w:t>de Puerto Rico (AAPR)</w:t>
      </w:r>
      <w:r w:rsidR="00242B71">
        <w:rPr>
          <w:rFonts w:ascii="Book Antiqua" w:hAnsi="Book Antiqua"/>
        </w:rPr>
        <w:t>,</w:t>
      </w:r>
      <w:r>
        <w:rPr>
          <w:rFonts w:ascii="Book Antiqua" w:hAnsi="Book Antiqua"/>
        </w:rPr>
        <w:t xml:space="preserve"> en su memorial del 30 de enero de 2026, suscrito por su </w:t>
      </w:r>
      <w:r w:rsidR="00592412">
        <w:rPr>
          <w:rFonts w:ascii="Book Antiqua" w:hAnsi="Book Antiqua"/>
        </w:rPr>
        <w:t>d</w:t>
      </w:r>
      <w:r>
        <w:rPr>
          <w:rFonts w:ascii="Book Antiqua" w:hAnsi="Book Antiqua"/>
        </w:rPr>
        <w:t xml:space="preserve">irectora </w:t>
      </w:r>
      <w:r w:rsidR="00592412">
        <w:rPr>
          <w:rFonts w:ascii="Book Antiqua" w:hAnsi="Book Antiqua"/>
        </w:rPr>
        <w:t>e</w:t>
      </w:r>
      <w:r>
        <w:rPr>
          <w:rFonts w:ascii="Book Antiqua" w:hAnsi="Book Antiqua"/>
        </w:rPr>
        <w:t>jecutiva, Verónica Rodríguez Irrizary, expresa que l</w:t>
      </w:r>
      <w:r w:rsidRPr="009915D8">
        <w:rPr>
          <w:rFonts w:ascii="Book Antiqua" w:hAnsi="Book Antiqua"/>
        </w:rPr>
        <w:t>uego de evaluar el contenido del Proyecto</w:t>
      </w:r>
      <w:r w:rsidRPr="009915D8">
        <w:rPr>
          <w:rFonts w:ascii="Book Antiqua" w:hAnsi="Book Antiqua"/>
          <w:b/>
          <w:bCs/>
        </w:rPr>
        <w:t>,</w:t>
      </w:r>
      <w:r w:rsidRPr="009915D8">
        <w:rPr>
          <w:rStyle w:val="Strong"/>
          <w:rFonts w:ascii="Book Antiqua" w:hAnsi="Book Antiqua"/>
          <w:b w:val="0"/>
          <w:bCs w:val="0"/>
        </w:rPr>
        <w:t xml:space="preserve"> </w:t>
      </w:r>
      <w:r w:rsidR="00A927E0">
        <w:rPr>
          <w:rStyle w:val="Strong"/>
          <w:rFonts w:ascii="Book Antiqua" w:hAnsi="Book Antiqua"/>
          <w:b w:val="0"/>
          <w:bCs w:val="0"/>
        </w:rPr>
        <w:t>entiende</w:t>
      </w:r>
      <w:r w:rsidRPr="009915D8">
        <w:rPr>
          <w:rStyle w:val="Strong"/>
          <w:rFonts w:ascii="Book Antiqua" w:hAnsi="Book Antiqua"/>
          <w:b w:val="0"/>
          <w:bCs w:val="0"/>
        </w:rPr>
        <w:t xml:space="preserve"> que la </w:t>
      </w:r>
      <w:r w:rsidR="00304E2D" w:rsidRPr="009915D8">
        <w:rPr>
          <w:rStyle w:val="Strong"/>
          <w:rFonts w:ascii="Book Antiqua" w:hAnsi="Book Antiqua"/>
          <w:b w:val="0"/>
          <w:bCs w:val="0"/>
        </w:rPr>
        <w:t xml:space="preserve">medida </w:t>
      </w:r>
      <w:r w:rsidR="00304E2D">
        <w:rPr>
          <w:rStyle w:val="Strong"/>
          <w:rFonts w:ascii="Book Antiqua" w:hAnsi="Book Antiqua"/>
          <w:b w:val="0"/>
          <w:bCs w:val="0"/>
        </w:rPr>
        <w:t>no</w:t>
      </w:r>
      <w:r w:rsidR="00592412">
        <w:rPr>
          <w:rStyle w:val="Strong"/>
          <w:rFonts w:ascii="Book Antiqua" w:hAnsi="Book Antiqua"/>
          <w:b w:val="0"/>
          <w:bCs w:val="0"/>
        </w:rPr>
        <w:t xml:space="preserve"> es </w:t>
      </w:r>
      <w:r w:rsidRPr="009915D8">
        <w:rPr>
          <w:rStyle w:val="Strong"/>
          <w:rFonts w:ascii="Book Antiqua" w:hAnsi="Book Antiqua"/>
          <w:b w:val="0"/>
          <w:bCs w:val="0"/>
        </w:rPr>
        <w:t>necesaria</w:t>
      </w:r>
      <w:r w:rsidRPr="009915D8">
        <w:rPr>
          <w:rFonts w:ascii="Book Antiqua" w:hAnsi="Book Antiqua"/>
        </w:rPr>
        <w:t xml:space="preserve">. El </w:t>
      </w:r>
      <w:r w:rsidRPr="009915D8">
        <w:rPr>
          <w:rStyle w:val="Strong"/>
          <w:rFonts w:ascii="Book Antiqua" w:hAnsi="Book Antiqua"/>
          <w:b w:val="0"/>
          <w:bCs w:val="0"/>
        </w:rPr>
        <w:t>Código Municipal de Puerto Rico</w:t>
      </w:r>
      <w:r w:rsidRPr="009915D8">
        <w:rPr>
          <w:rFonts w:ascii="Book Antiqua" w:hAnsi="Book Antiqua"/>
          <w:b/>
          <w:bCs/>
        </w:rPr>
        <w:t xml:space="preserve"> </w:t>
      </w:r>
      <w:r w:rsidRPr="009915D8">
        <w:rPr>
          <w:rFonts w:ascii="Book Antiqua" w:hAnsi="Book Antiqua"/>
        </w:rPr>
        <w:t>ya contiene disposiciones estatutarias suficientes que permiten a los gobiernos municipales atender este asunto mediante iniciativas propias, así como crear unidades administrativas o designar dependencias específicas para brindar atención especializada a los asuntos relacionados con la mujer y las víctimas de violencia doméstica.</w:t>
      </w:r>
    </w:p>
    <w:p w14:paraId="3A3127F8" w14:textId="77777777" w:rsidR="009915D8" w:rsidRDefault="009915D8" w:rsidP="009915D8">
      <w:pPr>
        <w:pStyle w:val="NormalWeb"/>
        <w:jc w:val="both"/>
        <w:rPr>
          <w:rFonts w:ascii="Book Antiqua" w:hAnsi="Book Antiqua"/>
        </w:rPr>
      </w:pPr>
      <w:r w:rsidRPr="009915D8">
        <w:rPr>
          <w:rFonts w:ascii="Book Antiqua" w:hAnsi="Book Antiqua"/>
        </w:rPr>
        <w:t>Reconoce</w:t>
      </w:r>
      <w:r>
        <w:rPr>
          <w:rFonts w:ascii="Book Antiqua" w:hAnsi="Book Antiqua"/>
        </w:rPr>
        <w:t>n</w:t>
      </w:r>
      <w:r w:rsidRPr="009915D8">
        <w:rPr>
          <w:rFonts w:ascii="Book Antiqua" w:hAnsi="Book Antiqua"/>
        </w:rPr>
        <w:t xml:space="preserve"> que la violencia de género ha sido una preocupación constante en nuestra sociedad y que, en tiempos recientes, ha adquirido mayor visibilidad y urgencia. No obstante, la existencia de esta problemática no justifica, por sí sola, la creación de nuevas enmiendas estatutarias cuando ya existen herramientas legales adecuadas para atenderla. De lo contrario, se corre el riesgo de enmendar continuamente el Código Municipal para atender asuntos particulares que ya pueden ser manejados bajo su marco general. </w:t>
      </w:r>
    </w:p>
    <w:p w14:paraId="554DBAFA" w14:textId="3C854AA3" w:rsidR="009915D8" w:rsidRPr="009915D8" w:rsidRDefault="009915D8" w:rsidP="009915D8">
      <w:pPr>
        <w:pStyle w:val="NormalWeb"/>
        <w:jc w:val="both"/>
        <w:rPr>
          <w:rFonts w:ascii="Book Antiqua" w:hAnsi="Book Antiqua"/>
        </w:rPr>
      </w:pPr>
      <w:r w:rsidRPr="009915D8">
        <w:rPr>
          <w:rFonts w:ascii="Book Antiqua" w:hAnsi="Book Antiqua"/>
        </w:rPr>
        <w:t xml:space="preserve">En primer lugar, </w:t>
      </w:r>
      <w:r w:rsidR="00592412">
        <w:rPr>
          <w:rFonts w:ascii="Book Antiqua" w:hAnsi="Book Antiqua"/>
        </w:rPr>
        <w:t>la medida</w:t>
      </w:r>
      <w:r w:rsidRPr="009915D8">
        <w:rPr>
          <w:rFonts w:ascii="Book Antiqua" w:hAnsi="Book Antiqua"/>
        </w:rPr>
        <w:t xml:space="preserve"> propone la creación de un </w:t>
      </w:r>
      <w:r w:rsidRPr="009915D8">
        <w:rPr>
          <w:rStyle w:val="Strong"/>
          <w:rFonts w:ascii="Book Antiqua" w:hAnsi="Book Antiqua"/>
        </w:rPr>
        <w:t>Artículo 2.003B</w:t>
      </w:r>
      <w:r w:rsidRPr="009915D8">
        <w:rPr>
          <w:rFonts w:ascii="Book Antiqua" w:hAnsi="Book Antiqua"/>
        </w:rPr>
        <w:t>, cuando al examinar el Código Municipal se observa que no existe un Artículo 2.003A, lo que generaría una incongruencia en la numeración legislativa. De aprobarse una enmienda de esta naturaleza, correspondería crear un Artículo 2.003A, no un 2.003B.</w:t>
      </w:r>
    </w:p>
    <w:p w14:paraId="220AE98E" w14:textId="77777777" w:rsidR="009915D8" w:rsidRPr="009915D8" w:rsidRDefault="009915D8" w:rsidP="009915D8">
      <w:pPr>
        <w:pStyle w:val="NormalWeb"/>
        <w:rPr>
          <w:rFonts w:ascii="Book Antiqua" w:hAnsi="Book Antiqua"/>
        </w:rPr>
      </w:pPr>
      <w:r w:rsidRPr="009915D8">
        <w:rPr>
          <w:rFonts w:ascii="Book Antiqua" w:hAnsi="Book Antiqua"/>
        </w:rPr>
        <w:t xml:space="preserve">En segundo lugar, el propio </w:t>
      </w:r>
      <w:r w:rsidRPr="009915D8">
        <w:rPr>
          <w:rStyle w:val="Strong"/>
          <w:rFonts w:ascii="Book Antiqua" w:hAnsi="Book Antiqua"/>
        </w:rPr>
        <w:t>Artículo 2.003 – Rama Ejecutiva Municipal</w:t>
      </w:r>
      <w:r w:rsidRPr="009915D8">
        <w:rPr>
          <w:rFonts w:ascii="Book Antiqua" w:hAnsi="Book Antiqua"/>
        </w:rPr>
        <w:t xml:space="preserve"> del Código Municipal dispone que:</w:t>
      </w:r>
    </w:p>
    <w:p w14:paraId="17AEB32C" w14:textId="77777777" w:rsidR="009915D8" w:rsidRPr="009915D8" w:rsidRDefault="009915D8" w:rsidP="009915D8">
      <w:pPr>
        <w:pStyle w:val="NormalWeb"/>
        <w:rPr>
          <w:rFonts w:ascii="Book Antiqua" w:hAnsi="Book Antiqua"/>
        </w:rPr>
      </w:pPr>
      <w:r w:rsidRPr="009915D8">
        <w:rPr>
          <w:rFonts w:ascii="Book Antiqua" w:hAnsi="Book Antiqua"/>
        </w:rPr>
        <w:lastRenderedPageBreak/>
        <w:t>“Los alcaldes están facultados para crear las unidades administrativas que entiendan necesarias mediante ordenanza…”</w:t>
      </w:r>
    </w:p>
    <w:p w14:paraId="241C5682" w14:textId="77777777" w:rsidR="009915D8" w:rsidRPr="009915D8" w:rsidRDefault="009915D8" w:rsidP="009915D8">
      <w:pPr>
        <w:pStyle w:val="NormalWeb"/>
        <w:jc w:val="both"/>
        <w:rPr>
          <w:rFonts w:ascii="Book Antiqua" w:hAnsi="Book Antiqua"/>
        </w:rPr>
      </w:pPr>
      <w:r w:rsidRPr="009915D8">
        <w:rPr>
          <w:rFonts w:ascii="Book Antiqua" w:hAnsi="Book Antiqua"/>
        </w:rPr>
        <w:t>Es decir, el Código ya faculta expresamente a los alcaldes para crear las estructuras administrativas necesarias para atender asuntos específicos, incluyendo aquellos relacionados con la protección de las mujeres y las víctimas de violencia doméstica, sin necesidad de una enmienda adicional.</w:t>
      </w:r>
    </w:p>
    <w:p w14:paraId="6E2F838E" w14:textId="77777777" w:rsidR="009915D8" w:rsidRPr="009915D8" w:rsidRDefault="009915D8" w:rsidP="009915D8">
      <w:pPr>
        <w:pStyle w:val="NormalWeb"/>
        <w:jc w:val="both"/>
        <w:rPr>
          <w:rFonts w:ascii="Book Antiqua" w:hAnsi="Book Antiqua"/>
        </w:rPr>
      </w:pPr>
      <w:r w:rsidRPr="009915D8">
        <w:rPr>
          <w:rFonts w:ascii="Book Antiqua" w:hAnsi="Book Antiqua"/>
        </w:rPr>
        <w:t xml:space="preserve">En tercer lugar, el </w:t>
      </w:r>
      <w:r w:rsidRPr="009915D8">
        <w:rPr>
          <w:rStyle w:val="Strong"/>
          <w:rFonts w:ascii="Book Antiqua" w:hAnsi="Book Antiqua"/>
        </w:rPr>
        <w:t>Artículo 1.010 – Facultades Generales de los Municipios</w:t>
      </w:r>
      <w:r w:rsidRPr="009915D8">
        <w:rPr>
          <w:rFonts w:ascii="Book Antiqua" w:hAnsi="Book Antiqua"/>
        </w:rPr>
        <w:t xml:space="preserve"> establece que corresponde a cada municipio:</w:t>
      </w:r>
    </w:p>
    <w:p w14:paraId="2FD6BF9F" w14:textId="77777777" w:rsidR="009915D8" w:rsidRPr="009915D8" w:rsidRDefault="009915D8" w:rsidP="009915D8">
      <w:pPr>
        <w:pStyle w:val="NormalWeb"/>
        <w:jc w:val="both"/>
        <w:rPr>
          <w:rFonts w:ascii="Book Antiqua" w:hAnsi="Book Antiqua"/>
        </w:rPr>
      </w:pPr>
      <w:r w:rsidRPr="009915D8">
        <w:rPr>
          <w:rFonts w:ascii="Book Antiqua" w:hAnsi="Book Antiqua"/>
        </w:rPr>
        <w:t>“ordenar, reglamentar y resolver cuanto sea necesario o conveniente para atender las necesidades locales y para su mayor prosperidad y desarrollo…”</w:t>
      </w:r>
    </w:p>
    <w:p w14:paraId="5C81F2ED" w14:textId="77777777" w:rsidR="009915D8" w:rsidRPr="009915D8" w:rsidRDefault="009915D8" w:rsidP="009915D8">
      <w:pPr>
        <w:pStyle w:val="NormalWeb"/>
        <w:jc w:val="both"/>
        <w:rPr>
          <w:rFonts w:ascii="Book Antiqua" w:hAnsi="Book Antiqua"/>
        </w:rPr>
      </w:pPr>
      <w:r w:rsidRPr="009915D8">
        <w:rPr>
          <w:rFonts w:ascii="Book Antiqua" w:hAnsi="Book Antiqua"/>
        </w:rPr>
        <w:t xml:space="preserve">Asimismo, el </w:t>
      </w:r>
      <w:r w:rsidRPr="009915D8">
        <w:rPr>
          <w:rStyle w:val="Strong"/>
          <w:rFonts w:ascii="Book Antiqua" w:hAnsi="Book Antiqua"/>
        </w:rPr>
        <w:t xml:space="preserve">Artículo 1.018 – Facultades, Deberes y Funciones Generales del </w:t>
      </w:r>
      <w:proofErr w:type="gramStart"/>
      <w:r w:rsidRPr="009915D8">
        <w:rPr>
          <w:rStyle w:val="Strong"/>
          <w:rFonts w:ascii="Book Antiqua" w:hAnsi="Book Antiqua"/>
        </w:rPr>
        <w:t>Alcalde</w:t>
      </w:r>
      <w:proofErr w:type="gramEnd"/>
      <w:r w:rsidRPr="009915D8">
        <w:rPr>
          <w:rFonts w:ascii="Book Antiqua" w:hAnsi="Book Antiqua"/>
        </w:rPr>
        <w:t xml:space="preserve"> dispone que el alcalde es la máxima autoridad de la Rama Ejecutiva municipal y le corresponde, entre otros deberes:</w:t>
      </w:r>
    </w:p>
    <w:p w14:paraId="005168D6" w14:textId="77777777" w:rsidR="009915D8" w:rsidRPr="009915D8" w:rsidRDefault="009915D8" w:rsidP="009915D8">
      <w:pPr>
        <w:pStyle w:val="NormalWeb"/>
        <w:numPr>
          <w:ilvl w:val="0"/>
          <w:numId w:val="33"/>
        </w:numPr>
        <w:jc w:val="both"/>
        <w:rPr>
          <w:rFonts w:ascii="Book Antiqua" w:hAnsi="Book Antiqua"/>
        </w:rPr>
      </w:pPr>
      <w:r w:rsidRPr="009915D8">
        <w:rPr>
          <w:rFonts w:ascii="Book Antiqua" w:hAnsi="Book Antiqua"/>
        </w:rPr>
        <w:t>Organizar, dirigir y supervisar todas las funciones y actividades administrativas del municipio; y</w:t>
      </w:r>
    </w:p>
    <w:p w14:paraId="02DAE593" w14:textId="3236D1AE" w:rsidR="002E0754" w:rsidRPr="002E0754" w:rsidRDefault="009915D8" w:rsidP="002E0754">
      <w:pPr>
        <w:pStyle w:val="NormalWeb"/>
        <w:numPr>
          <w:ilvl w:val="0"/>
          <w:numId w:val="33"/>
        </w:numPr>
        <w:jc w:val="both"/>
        <w:rPr>
          <w:rFonts w:ascii="Book Antiqua" w:hAnsi="Book Antiqua"/>
        </w:rPr>
      </w:pPr>
      <w:r w:rsidRPr="009915D8">
        <w:rPr>
          <w:rFonts w:ascii="Book Antiqua" w:hAnsi="Book Antiqua"/>
        </w:rPr>
        <w:t>Coordinar los servicios municipales para asegurar su prestación integral y adecuada, garantizando el acceso equitativo de la población a los servicios públicos mínimos de competencia municipal.</w:t>
      </w:r>
    </w:p>
    <w:p w14:paraId="568966F0" w14:textId="19D69B15" w:rsidR="002E0754" w:rsidRPr="001D3CBC" w:rsidRDefault="002E0754" w:rsidP="002E0754">
      <w:pPr>
        <w:pStyle w:val="NormalWeb"/>
        <w:jc w:val="both"/>
        <w:rPr>
          <w:rFonts w:ascii="Book Antiqua" w:hAnsi="Book Antiqua"/>
          <w:lang w:val="es-DO"/>
        </w:rPr>
      </w:pPr>
      <w:r w:rsidRPr="001D3CBC">
        <w:rPr>
          <w:rFonts w:ascii="Book Antiqua" w:hAnsi="Book Antiqua"/>
          <w:lang w:val="es-DO"/>
        </w:rPr>
        <w:t xml:space="preserve">La </w:t>
      </w:r>
      <w:r w:rsidRPr="001D3CBC">
        <w:rPr>
          <w:rFonts w:ascii="Book Antiqua" w:hAnsi="Book Antiqua"/>
          <w:b/>
          <w:bCs/>
          <w:i/>
          <w:iCs/>
          <w:lang w:val="es-DO"/>
        </w:rPr>
        <w:t>Oficina de la Procuradora de las Mujeres (OPM)</w:t>
      </w:r>
      <w:r w:rsidRPr="001D3CBC">
        <w:rPr>
          <w:rFonts w:ascii="Book Antiqua" w:hAnsi="Book Antiqua"/>
          <w:lang w:val="es-DO"/>
        </w:rPr>
        <w:t xml:space="preserve">, sometió una segunda comparecencia mediante memorial explicativo con fecha del 12 de febrero de 2026. remitió información adicional solicitada por esta Comisión durante la vista pública celebrada el 10 de febrero de 2026, en relación con la estructura municipal existente para atender asuntos de la mujer y violencia de género </w:t>
      </w:r>
    </w:p>
    <w:p w14:paraId="703EDDAD" w14:textId="77777777" w:rsidR="002E0754" w:rsidRPr="001D3CBC" w:rsidRDefault="002E0754" w:rsidP="002E0754">
      <w:pPr>
        <w:pStyle w:val="NormalWeb"/>
        <w:jc w:val="both"/>
        <w:rPr>
          <w:rFonts w:ascii="Book Antiqua" w:hAnsi="Book Antiqua"/>
          <w:lang w:val="es-DO"/>
        </w:rPr>
      </w:pPr>
      <w:r w:rsidRPr="001D3CBC">
        <w:rPr>
          <w:rFonts w:ascii="Book Antiqua" w:hAnsi="Book Antiqua"/>
          <w:lang w:val="es-DO"/>
        </w:rPr>
        <w:t xml:space="preserve">En su comparecencia escrita, la OPM incluyó una </w:t>
      </w:r>
      <w:r w:rsidRPr="001D3CBC">
        <w:rPr>
          <w:rFonts w:ascii="Book Antiqua" w:hAnsi="Book Antiqua"/>
          <w:b/>
          <w:bCs/>
          <w:lang w:val="es-DO"/>
        </w:rPr>
        <w:t>lista actualizada de los municipios que cuentan con Oficinas de Asuntos de la Mujer</w:t>
      </w:r>
      <w:r w:rsidRPr="001D3CBC">
        <w:rPr>
          <w:rFonts w:ascii="Book Antiqua" w:hAnsi="Book Antiqua"/>
          <w:lang w:val="es-DO"/>
        </w:rPr>
        <w:t xml:space="preserve">, detallando su estructura organizacional, persona coordinadora, información de contacto y modelo operativo. Del análisis de dicha lista se desprende que, aunque múltiples municipios han desarrollado oficinas formales o programas especializados, un número significativo de municipios aún no cuenta con una estructura institucional dedicada exclusivamente a estos asuntos, o atienden los casos desde otras dependencias municipales, como oficinas del alcalde, programas de ayuda al ciudadano o departamentos de desarrollo social </w:t>
      </w:r>
    </w:p>
    <w:p w14:paraId="36CB238B" w14:textId="3C05F926" w:rsidR="002E0754" w:rsidRPr="001D3CBC" w:rsidRDefault="002E0754" w:rsidP="002E0754">
      <w:pPr>
        <w:pStyle w:val="NormalWeb"/>
        <w:jc w:val="both"/>
        <w:rPr>
          <w:rFonts w:ascii="Book Antiqua" w:hAnsi="Book Antiqua"/>
          <w:lang w:val="es-DO"/>
        </w:rPr>
      </w:pPr>
      <w:r w:rsidRPr="001D3CBC">
        <w:rPr>
          <w:rFonts w:ascii="Book Antiqua" w:hAnsi="Book Antiqua"/>
          <w:lang w:val="es-DO"/>
        </w:rPr>
        <w:t xml:space="preserve">Asimismo, la OPM informó que, durante la actual administración de la Procuradora, Lcda. Astrid Piñeiro Vázquez, se han fortalecido esfuerzos municipales mediante la inauguración de nuevas oficinas en los municipios de </w:t>
      </w:r>
      <w:r w:rsidRPr="001D3CBC">
        <w:rPr>
          <w:rFonts w:ascii="Book Antiqua" w:hAnsi="Book Antiqua"/>
          <w:b/>
          <w:bCs/>
          <w:lang w:val="es-DO"/>
        </w:rPr>
        <w:t>Juncos y Cidra</w:t>
      </w:r>
      <w:r w:rsidRPr="001D3CBC">
        <w:rPr>
          <w:rFonts w:ascii="Book Antiqua" w:hAnsi="Book Antiqua"/>
          <w:lang w:val="es-DO"/>
        </w:rPr>
        <w:t xml:space="preserve">, la remodelación o </w:t>
      </w:r>
      <w:r w:rsidRPr="001D3CBC">
        <w:rPr>
          <w:rFonts w:ascii="Book Antiqua" w:hAnsi="Book Antiqua"/>
          <w:lang w:val="es-DO"/>
        </w:rPr>
        <w:lastRenderedPageBreak/>
        <w:t xml:space="preserve">reubicación de oficinas en </w:t>
      </w:r>
      <w:r w:rsidRPr="001D3CBC">
        <w:rPr>
          <w:rFonts w:ascii="Book Antiqua" w:hAnsi="Book Antiqua"/>
          <w:b/>
          <w:bCs/>
          <w:lang w:val="es-DO"/>
        </w:rPr>
        <w:t>Camuy, Ponce y Ceiba</w:t>
      </w:r>
      <w:r w:rsidRPr="001D3CBC">
        <w:rPr>
          <w:rFonts w:ascii="Book Antiqua" w:hAnsi="Book Antiqua"/>
          <w:lang w:val="es-DO"/>
        </w:rPr>
        <w:t xml:space="preserve">, y que se encuentra en proceso de inauguración una oficina en el municipio de </w:t>
      </w:r>
      <w:r w:rsidRPr="001D3CBC">
        <w:rPr>
          <w:rFonts w:ascii="Book Antiqua" w:hAnsi="Book Antiqua"/>
          <w:b/>
          <w:bCs/>
          <w:lang w:val="es-DO"/>
        </w:rPr>
        <w:t>Humacao</w:t>
      </w:r>
      <w:r w:rsidR="00304E2D">
        <w:rPr>
          <w:rFonts w:ascii="Book Antiqua" w:hAnsi="Book Antiqua"/>
          <w:b/>
          <w:bCs/>
          <w:lang w:val="es-DO"/>
        </w:rPr>
        <w:t>.</w:t>
      </w:r>
      <w:r w:rsidRPr="001D3CBC">
        <w:rPr>
          <w:rFonts w:ascii="Book Antiqua" w:hAnsi="Book Antiqua"/>
          <w:lang w:val="es-DO"/>
        </w:rPr>
        <w:t xml:space="preserve"> </w:t>
      </w:r>
    </w:p>
    <w:p w14:paraId="2A1F6257" w14:textId="77777777" w:rsidR="002E0754" w:rsidRPr="001D3CBC" w:rsidRDefault="002E0754" w:rsidP="002E0754">
      <w:pPr>
        <w:pStyle w:val="NormalWeb"/>
        <w:jc w:val="both"/>
        <w:rPr>
          <w:rFonts w:ascii="Book Antiqua" w:hAnsi="Book Antiqua"/>
          <w:lang w:val="es-DO"/>
        </w:rPr>
      </w:pPr>
      <w:r w:rsidRPr="001D3CBC">
        <w:rPr>
          <w:rFonts w:ascii="Book Antiqua" w:hAnsi="Book Antiqua"/>
          <w:lang w:val="es-DO"/>
        </w:rPr>
        <w:t>Estas iniciativas responden a estrategias de fortalecimiento institucional, coordinación intergubernamental y apoyo técnico dirigidas a robustecer la red municipal de servicios para víctimas de violencia de género.</w:t>
      </w:r>
    </w:p>
    <w:p w14:paraId="14C1D1C4" w14:textId="73585D7D" w:rsidR="009B3675" w:rsidRPr="002E0754" w:rsidRDefault="002E0754" w:rsidP="002E0754">
      <w:pPr>
        <w:spacing w:before="100" w:beforeAutospacing="1" w:after="100" w:afterAutospacing="1"/>
        <w:jc w:val="both"/>
        <w:rPr>
          <w:rFonts w:ascii="Book Antiqua" w:eastAsia="Times New Roman" w:hAnsi="Book Antiqua"/>
          <w:szCs w:val="24"/>
          <w:lang w:val="es-PR"/>
        </w:rPr>
      </w:pPr>
      <w:r w:rsidRPr="001D3CBC">
        <w:rPr>
          <w:rFonts w:ascii="Book Antiqua" w:eastAsia="Times New Roman" w:hAnsi="Book Antiqua"/>
          <w:szCs w:val="24"/>
          <w:lang w:val="es-PR"/>
        </w:rPr>
        <w:t>Del total de 78 municipios, una cantidad considerable figura expresamente como “No tiene oficina” en la información suministrada por la OPM, lo que evidencia una ausencia de estructura formal dedicada exclusivamente a la atención de asuntos relacionados con violencia de género o apoyo especializado a víctimas.</w:t>
      </w:r>
    </w:p>
    <w:p w14:paraId="4FF2ECB3" w14:textId="77777777" w:rsidR="009B3675" w:rsidRPr="00BB54F0" w:rsidRDefault="009B3675" w:rsidP="009B3675">
      <w:pPr>
        <w:pStyle w:val="NormalWeb"/>
        <w:jc w:val="center"/>
        <w:rPr>
          <w:rFonts w:ascii="Book Antiqua" w:hAnsi="Book Antiqua"/>
          <w:b/>
          <w:i/>
          <w:smallCaps/>
          <w:color w:val="000000" w:themeColor="text1"/>
          <w:lang w:val="es-ES_tradnl"/>
        </w:rPr>
      </w:pPr>
      <w:r w:rsidRPr="00304E2D">
        <w:rPr>
          <w:rFonts w:ascii="Book Antiqua" w:hAnsi="Book Antiqua"/>
          <w:b/>
          <w:i/>
          <w:smallCaps/>
          <w:color w:val="000000" w:themeColor="text1"/>
          <w:lang w:val="es-ES_tradnl"/>
        </w:rPr>
        <w:t>Enmiendas Recomendadas</w:t>
      </w:r>
    </w:p>
    <w:p w14:paraId="12E6AAC8" w14:textId="20E9180F" w:rsidR="007A442F" w:rsidRPr="007A442F" w:rsidRDefault="007A442F" w:rsidP="007A442F">
      <w:pPr>
        <w:pStyle w:val="NormalWeb"/>
        <w:jc w:val="both"/>
        <w:rPr>
          <w:rFonts w:ascii="Book Antiqua" w:hAnsi="Book Antiqua"/>
        </w:rPr>
      </w:pPr>
      <w:r w:rsidRPr="007A442F">
        <w:rPr>
          <w:rFonts w:ascii="Book Antiqua" w:hAnsi="Book Antiqua"/>
        </w:rPr>
        <w:t xml:space="preserve">En atención a los comentarios y recomendaciones formulados por el </w:t>
      </w:r>
      <w:r w:rsidRPr="00592412">
        <w:rPr>
          <w:rStyle w:val="Strong"/>
          <w:rFonts w:ascii="Book Antiqua" w:hAnsi="Book Antiqua"/>
          <w:b w:val="0"/>
          <w:bCs w:val="0"/>
        </w:rPr>
        <w:t>Departamento de Justicia</w:t>
      </w:r>
      <w:r w:rsidRPr="00592412">
        <w:rPr>
          <w:rFonts w:ascii="Book Antiqua" w:hAnsi="Book Antiqua"/>
          <w:b/>
          <w:bCs/>
        </w:rPr>
        <w:t>,</w:t>
      </w:r>
      <w:r w:rsidRPr="007A442F">
        <w:rPr>
          <w:rFonts w:ascii="Book Antiqua" w:hAnsi="Book Antiqua"/>
        </w:rPr>
        <w:t xml:space="preserve"> la Comisión introdujo enmiendas sustantivas al texto</w:t>
      </w:r>
      <w:r w:rsidR="00592412">
        <w:rPr>
          <w:rFonts w:ascii="Book Antiqua" w:hAnsi="Book Antiqua"/>
        </w:rPr>
        <w:t xml:space="preserve"> de la medida </w:t>
      </w:r>
      <w:r w:rsidRPr="007A442F">
        <w:rPr>
          <w:rFonts w:ascii="Book Antiqua" w:hAnsi="Book Antiqua"/>
        </w:rPr>
        <w:t>con el propósito de fortalecer su claridad normativa, viabilidad jurídica y efectividad práctica, sin alterar el objetivo central de la medida. Estas enmiendas atienden preocupaciones legítimas relacionadas con la ejecución del mandato legislativo y garantizan una implantación uniforme y ordenada a nivel municipal.</w:t>
      </w:r>
    </w:p>
    <w:p w14:paraId="363271CE" w14:textId="77777777" w:rsidR="007A442F" w:rsidRPr="007A442F" w:rsidRDefault="007A442F" w:rsidP="007A442F">
      <w:pPr>
        <w:pStyle w:val="NormalWeb"/>
        <w:jc w:val="both"/>
        <w:rPr>
          <w:rFonts w:ascii="Book Antiqua" w:hAnsi="Book Antiqua"/>
        </w:rPr>
      </w:pPr>
      <w:r w:rsidRPr="007A442F">
        <w:rPr>
          <w:rFonts w:ascii="Book Antiqua" w:hAnsi="Book Antiqua"/>
        </w:rPr>
        <w:t xml:space="preserve">En primer lugar, se enmendó la </w:t>
      </w:r>
      <w:r w:rsidRPr="007A442F">
        <w:rPr>
          <w:rStyle w:val="Strong"/>
          <w:rFonts w:ascii="Book Antiqua" w:hAnsi="Book Antiqua"/>
        </w:rPr>
        <w:t>Sección 1 de la medida</w:t>
      </w:r>
      <w:r w:rsidRPr="007A442F">
        <w:rPr>
          <w:rFonts w:ascii="Book Antiqua" w:hAnsi="Book Antiqua"/>
        </w:rPr>
        <w:t xml:space="preserve"> para establecer de manera expresa que </w:t>
      </w:r>
      <w:r w:rsidRPr="00304E2D">
        <w:rPr>
          <w:rStyle w:val="Strong"/>
          <w:rFonts w:ascii="Book Antiqua" w:hAnsi="Book Antiqua"/>
          <w:b w:val="0"/>
          <w:bCs w:val="0"/>
        </w:rPr>
        <w:t>el</w:t>
      </w:r>
      <w:r w:rsidRPr="007A442F">
        <w:rPr>
          <w:rStyle w:val="Strong"/>
          <w:rFonts w:ascii="Book Antiqua" w:hAnsi="Book Antiqua"/>
        </w:rPr>
        <w:t xml:space="preserve"> alcalde</w:t>
      </w:r>
      <w:r w:rsidRPr="007A442F">
        <w:rPr>
          <w:rFonts w:ascii="Book Antiqua" w:hAnsi="Book Antiqua"/>
        </w:rPr>
        <w:t xml:space="preserve"> será el funcionario responsable de realizar la designación del Enlace Municipal de Asuntos de la Mujer y Víctimas de Violencia Doméstica. Esta aclaración responde directamente a la observación del Departamento de Justicia en torno a la ausencia de una disposición expresa sobre quién ostenta la facultad de designación, eliminando cualquier ambigüedad interpretativa y reafirmando la estructura jerárquica y administrativa propia del gobierno municipal, conforme al </w:t>
      </w:r>
      <w:r w:rsidRPr="00075ACF">
        <w:rPr>
          <w:rStyle w:val="Strong"/>
          <w:rFonts w:ascii="Book Antiqua" w:hAnsi="Book Antiqua"/>
        </w:rPr>
        <w:t>Código Municipal de Puerto Rico</w:t>
      </w:r>
      <w:r w:rsidRPr="00075ACF">
        <w:rPr>
          <w:rFonts w:ascii="Book Antiqua" w:hAnsi="Book Antiqua"/>
        </w:rPr>
        <w:t>.</w:t>
      </w:r>
    </w:p>
    <w:p w14:paraId="4844B9B0" w14:textId="77777777" w:rsidR="007A442F" w:rsidRPr="007A442F" w:rsidRDefault="007A442F" w:rsidP="007A442F">
      <w:pPr>
        <w:pStyle w:val="NormalWeb"/>
        <w:jc w:val="both"/>
        <w:rPr>
          <w:rFonts w:ascii="Book Antiqua" w:hAnsi="Book Antiqua"/>
        </w:rPr>
      </w:pPr>
      <w:r w:rsidRPr="007A442F">
        <w:rPr>
          <w:rFonts w:ascii="Book Antiqua" w:hAnsi="Book Antiqua"/>
        </w:rPr>
        <w:t xml:space="preserve">Asimismo, la Sección 1 fue enmendada para incorporar lenguaje específico que delimita las </w:t>
      </w:r>
      <w:r w:rsidRPr="007A442F">
        <w:rPr>
          <w:rStyle w:val="Strong"/>
          <w:rFonts w:ascii="Book Antiqua" w:hAnsi="Book Antiqua"/>
        </w:rPr>
        <w:t>funciones esenciales</w:t>
      </w:r>
      <w:r w:rsidRPr="007A442F">
        <w:rPr>
          <w:rFonts w:ascii="Book Antiqua" w:hAnsi="Book Antiqua"/>
        </w:rPr>
        <w:t xml:space="preserve"> del Enlace Municipal, estableciendo que esta oficina o enlace servirá como </w:t>
      </w:r>
      <w:r w:rsidRPr="007A442F">
        <w:rPr>
          <w:rStyle w:val="Strong"/>
          <w:rFonts w:ascii="Book Antiqua" w:hAnsi="Book Antiqua"/>
        </w:rPr>
        <w:t>primer punto de apoyo para las víctimas de violencia de género</w:t>
      </w:r>
      <w:r w:rsidRPr="007A442F">
        <w:rPr>
          <w:rFonts w:ascii="Book Antiqua" w:hAnsi="Book Antiqua"/>
        </w:rPr>
        <w:t xml:space="preserve">, incluyendo la orientación sobre sus derechos, la asistencia en la gestión de órdenes de protección, la facilitación de referidos a la </w:t>
      </w:r>
      <w:r w:rsidRPr="007A442F">
        <w:rPr>
          <w:rStyle w:val="Strong"/>
          <w:rFonts w:ascii="Book Antiqua" w:hAnsi="Book Antiqua"/>
        </w:rPr>
        <w:t>Oficina de la Procuradora de las Mujeres (OPM)</w:t>
      </w:r>
      <w:r w:rsidRPr="007A442F">
        <w:rPr>
          <w:rFonts w:ascii="Book Antiqua" w:hAnsi="Book Antiqua"/>
        </w:rPr>
        <w:t xml:space="preserve"> y a otras agencias pertinentes, así como la canalización de servicios relacionados con sus necesidades. Esta adición persigue dotar a los municipios de lineamientos claros y uniformes sobre el alcance del puesto, garantizando consistencia en la prestación de servicios y alineación con la política pública estatal dirigida a la prevención y erradicación de la violencia de género.</w:t>
      </w:r>
    </w:p>
    <w:p w14:paraId="0F946437" w14:textId="77777777" w:rsidR="007A442F" w:rsidRDefault="007A442F" w:rsidP="007A442F">
      <w:pPr>
        <w:pStyle w:val="NormalWeb"/>
        <w:jc w:val="both"/>
        <w:rPr>
          <w:rFonts w:ascii="Book Antiqua" w:hAnsi="Book Antiqua"/>
        </w:rPr>
      </w:pPr>
      <w:r w:rsidRPr="007A442F">
        <w:rPr>
          <w:rFonts w:ascii="Book Antiqua" w:hAnsi="Book Antiqua"/>
        </w:rPr>
        <w:t xml:space="preserve">Por otra parte, la medida fue enmendada para añadir una </w:t>
      </w:r>
      <w:r w:rsidRPr="007A442F">
        <w:rPr>
          <w:rStyle w:val="Strong"/>
          <w:rFonts w:ascii="Book Antiqua" w:hAnsi="Book Antiqua"/>
        </w:rPr>
        <w:t>nueva Sección 2</w:t>
      </w:r>
      <w:r w:rsidRPr="007A442F">
        <w:rPr>
          <w:rFonts w:ascii="Book Antiqua" w:hAnsi="Book Antiqua"/>
        </w:rPr>
        <w:t xml:space="preserve">, la cual establece un </w:t>
      </w:r>
      <w:r w:rsidRPr="007A442F">
        <w:rPr>
          <w:rStyle w:val="Strong"/>
          <w:rFonts w:ascii="Book Antiqua" w:hAnsi="Book Antiqua"/>
        </w:rPr>
        <w:t>plazo específico de tres (3) meses</w:t>
      </w:r>
      <w:r w:rsidRPr="007A442F">
        <w:rPr>
          <w:rFonts w:ascii="Book Antiqua" w:hAnsi="Book Antiqua"/>
        </w:rPr>
        <w:t xml:space="preserve"> contados a partir de la entrada en vigor </w:t>
      </w:r>
      <w:r w:rsidRPr="007A442F">
        <w:rPr>
          <w:rFonts w:ascii="Book Antiqua" w:hAnsi="Book Antiqua"/>
        </w:rPr>
        <w:lastRenderedPageBreak/>
        <w:t>de la Ley para que los municipios realicen la designación correspondiente. La inclusión de este término responde a la necesidad de asegurar una implantación oportuna y efectiva del mandato legislativo, evitando dilaciones administrativas y promoviendo una respuesta institucional ágil ante una problemática social de alta prioridad.</w:t>
      </w:r>
    </w:p>
    <w:p w14:paraId="0513540A" w14:textId="5B505C2B" w:rsidR="00721BCE" w:rsidRDefault="004000AE" w:rsidP="009962C2">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4B56AE07" w14:textId="77777777" w:rsidR="003004EC" w:rsidRPr="003004EC" w:rsidRDefault="003004EC" w:rsidP="003004EC">
      <w:pPr>
        <w:pStyle w:val="NormalWeb"/>
        <w:jc w:val="both"/>
        <w:rPr>
          <w:rFonts w:ascii="Book Antiqua" w:hAnsi="Book Antiqua"/>
          <w:lang w:val="es-DO"/>
        </w:rPr>
      </w:pPr>
      <w:r w:rsidRPr="003004EC">
        <w:rPr>
          <w:rFonts w:ascii="Book Antiqua" w:hAnsi="Book Antiqua"/>
          <w:lang w:val="es-DO"/>
        </w:rPr>
        <w:t xml:space="preserve">El </w:t>
      </w:r>
      <w:r w:rsidRPr="003004EC">
        <w:rPr>
          <w:rStyle w:val="Strong"/>
          <w:rFonts w:ascii="Book Antiqua" w:hAnsi="Book Antiqua"/>
          <w:lang w:val="es-DO"/>
        </w:rPr>
        <w:t>Proyecto de la Cámara 1015</w:t>
      </w:r>
      <w:r w:rsidRPr="003004EC">
        <w:rPr>
          <w:rFonts w:ascii="Book Antiqua" w:hAnsi="Book Antiqua"/>
          <w:lang w:val="es-DO"/>
        </w:rPr>
        <w:t xml:space="preserve">, </w:t>
      </w:r>
      <w:r w:rsidRPr="003004EC">
        <w:rPr>
          <w:rStyle w:val="Strong"/>
          <w:rFonts w:ascii="Book Antiqua" w:hAnsi="Book Antiqua"/>
          <w:lang w:val="es-DO"/>
        </w:rPr>
        <w:t>medida de Administración (A-088)</w:t>
      </w:r>
      <w:r w:rsidRPr="003004EC">
        <w:rPr>
          <w:rFonts w:ascii="Book Antiqua" w:hAnsi="Book Antiqua"/>
          <w:lang w:val="es-DO"/>
        </w:rPr>
        <w:t xml:space="preserve">, </w:t>
      </w:r>
      <w:r w:rsidRPr="003004EC">
        <w:rPr>
          <w:rStyle w:val="Strong"/>
          <w:rFonts w:ascii="Book Antiqua" w:hAnsi="Book Antiqua"/>
          <w:lang w:val="es-DO"/>
        </w:rPr>
        <w:t>equivalente al Proyecto del Senado 913</w:t>
      </w:r>
      <w:r w:rsidRPr="003004EC">
        <w:rPr>
          <w:rFonts w:ascii="Book Antiqua" w:hAnsi="Book Antiqua"/>
          <w:lang w:val="es-DO"/>
        </w:rPr>
        <w:t xml:space="preserve">, radicado el </w:t>
      </w:r>
      <w:r w:rsidRPr="003004EC">
        <w:rPr>
          <w:rStyle w:val="Strong"/>
          <w:rFonts w:ascii="Book Antiqua" w:hAnsi="Book Antiqua"/>
          <w:lang w:val="es-DO"/>
        </w:rPr>
        <w:t>12 de enero de 2026</w:t>
      </w:r>
      <w:r w:rsidRPr="003004EC">
        <w:rPr>
          <w:rFonts w:ascii="Book Antiqua" w:hAnsi="Book Antiqua"/>
          <w:lang w:val="es-DO"/>
        </w:rPr>
        <w:t xml:space="preserve">, persigue fortalecer la capacidad de respuesta de los municipios ante la violencia de género mediante la creación del Enlace Municipal de Asuntos de la Mujer y Víctimas de Violencia Doméstica. Desde el punto de vista </w:t>
      </w:r>
      <w:r w:rsidRPr="003004EC">
        <w:rPr>
          <w:rStyle w:val="Strong"/>
          <w:rFonts w:ascii="Book Antiqua" w:hAnsi="Book Antiqua"/>
          <w:lang w:val="es-DO"/>
        </w:rPr>
        <w:t>legal y constitucional</w:t>
      </w:r>
      <w:r w:rsidRPr="003004EC">
        <w:rPr>
          <w:rFonts w:ascii="Book Antiqua" w:hAnsi="Book Antiqua"/>
          <w:lang w:val="es-DO"/>
        </w:rPr>
        <w:t xml:space="preserve">, la medida se encuentra plenamente sustentada en la facultad de la Asamblea Legislativa para establecer política pública y regular la organización y funcionamiento de los municipios conforme al </w:t>
      </w:r>
      <w:r w:rsidRPr="003004EC">
        <w:rPr>
          <w:rStyle w:val="Strong"/>
          <w:rFonts w:ascii="Book Antiqua" w:hAnsi="Book Antiqua"/>
          <w:lang w:val="es-DO"/>
        </w:rPr>
        <w:t>Código Municipal de Puerto Rico, Ley Núm. 107-2020</w:t>
      </w:r>
      <w:r w:rsidRPr="003004EC">
        <w:rPr>
          <w:rFonts w:ascii="Book Antiqua" w:hAnsi="Book Antiqua"/>
          <w:lang w:val="es-DO"/>
        </w:rPr>
        <w:t>. La designación de este enlace se inserta dentro de las competencias municipales en la prestación de servicios sociales y de seguridad comunitaria, sin menoscabar la autonomía municipal. Las enmiendas incorporadas —al identificar expresamente al alcalde como responsable de la designación, delimitar las funciones esenciales del enlace y establecer un término razonable para su implantación— refuerzan la claridad normativa y aseguran la viabilidad jurídica y administrativa de la medida.</w:t>
      </w:r>
    </w:p>
    <w:p w14:paraId="575F2D9D" w14:textId="77777777" w:rsidR="003004EC" w:rsidRPr="003004EC" w:rsidRDefault="003004EC" w:rsidP="003004EC">
      <w:pPr>
        <w:pStyle w:val="NormalWeb"/>
        <w:jc w:val="both"/>
        <w:rPr>
          <w:rFonts w:ascii="Book Antiqua" w:hAnsi="Book Antiqua"/>
          <w:lang w:val="es-DO"/>
        </w:rPr>
      </w:pPr>
      <w:r w:rsidRPr="003004EC">
        <w:rPr>
          <w:rFonts w:ascii="Book Antiqua" w:hAnsi="Book Antiqua"/>
          <w:lang w:val="es-DO"/>
        </w:rPr>
        <w:t xml:space="preserve">En cuanto a la </w:t>
      </w:r>
      <w:r w:rsidRPr="003004EC">
        <w:rPr>
          <w:rStyle w:val="Strong"/>
          <w:rFonts w:ascii="Book Antiqua" w:hAnsi="Book Antiqua"/>
          <w:lang w:val="es-DO"/>
        </w:rPr>
        <w:t>necesidad de la medida</w:t>
      </w:r>
      <w:r w:rsidRPr="003004EC">
        <w:rPr>
          <w:rFonts w:ascii="Book Antiqua" w:hAnsi="Book Antiqua"/>
          <w:lang w:val="es-DO"/>
        </w:rPr>
        <w:t>, la persistencia y gravedad de la violencia de género en Puerto Rico exige respuestas institucionales ágiles, coordinadas y cercanas a las comunidades. La eliminación previa de la obligación municipal de contar con estructuras especializadas en asuntos de la mujer generó un vacío institucional que ha limitado el acceso inmediato de las víctimas a servicios de orientación, protección y referidos. El establecimiento de un Enlace Municipal en cada municipio atiende directamente esta deficiencia, al crear un punto de contacto accesible y claramente identificado que facilita la detección temprana de situaciones de riesgo y la canalización oportuna de servicios esenciales, particularmente para aquellas personas que enfrentan barreras para acudir directamente a agencias estatales.</w:t>
      </w:r>
    </w:p>
    <w:p w14:paraId="2C8F4DBC" w14:textId="50249E1E" w:rsidR="00721BCE" w:rsidRDefault="003004EC" w:rsidP="003004EC">
      <w:pPr>
        <w:pStyle w:val="NormalWeb"/>
        <w:jc w:val="both"/>
        <w:rPr>
          <w:rFonts w:ascii="Book Antiqua" w:hAnsi="Book Antiqua"/>
          <w:lang w:val="es-DO"/>
        </w:rPr>
      </w:pPr>
      <w:r w:rsidRPr="003004EC">
        <w:rPr>
          <w:rFonts w:ascii="Book Antiqua" w:hAnsi="Book Antiqua"/>
          <w:lang w:val="es-DO"/>
        </w:rPr>
        <w:t xml:space="preserve">Finalmente, la </w:t>
      </w:r>
      <w:r w:rsidRPr="003004EC">
        <w:rPr>
          <w:rStyle w:val="Strong"/>
          <w:rFonts w:ascii="Book Antiqua" w:hAnsi="Book Antiqua"/>
          <w:lang w:val="es-DO"/>
        </w:rPr>
        <w:t>justificación del P. de la C. 1015</w:t>
      </w:r>
      <w:r w:rsidRPr="003004EC">
        <w:rPr>
          <w:rFonts w:ascii="Book Antiqua" w:hAnsi="Book Antiqua"/>
          <w:lang w:val="es-DO"/>
        </w:rPr>
        <w:t xml:space="preserve"> descansa en su capacidad para fortalecer una respuesta gubernamental integrada y efectiva, sin imponer cargas administrativas irrazonables a los municipios. Al definir funciones claras y uniformes para el enlace municipal y promover la coordinación con la Oficina de la Procuradora de las Mujeres y otras agencias pertinentes, la medida complementa —y no duplica— los esfuerzos existentes a nivel estatal. De esta forma, se institucionaliza un modelo de intervención preventiva y de apoyo que promueve la orientación adecuada, el acompañamiento a las víctimas y la prevención de la violencia de género, avanzando el interés público de proteger derechos fundamentales y de garantizar una atención consistente y sensible en todos los municipios.</w:t>
      </w:r>
    </w:p>
    <w:p w14:paraId="4CB03BBE" w14:textId="77777777" w:rsidR="00F34222" w:rsidRPr="001D3CBC" w:rsidRDefault="00F34222" w:rsidP="00F34222">
      <w:pPr>
        <w:spacing w:before="100" w:beforeAutospacing="1" w:after="100" w:afterAutospacing="1"/>
        <w:jc w:val="both"/>
        <w:rPr>
          <w:rFonts w:ascii="Book Antiqua" w:eastAsia="Times New Roman" w:hAnsi="Book Antiqua"/>
          <w:szCs w:val="24"/>
          <w:lang w:val="es-PR"/>
        </w:rPr>
      </w:pPr>
      <w:r w:rsidRPr="001D3CBC">
        <w:rPr>
          <w:rFonts w:ascii="Book Antiqua" w:eastAsia="Times New Roman" w:hAnsi="Book Antiqua"/>
          <w:szCs w:val="24"/>
          <w:lang w:val="es-PR"/>
        </w:rPr>
        <w:lastRenderedPageBreak/>
        <w:t>La información recopilada refleja una realidad heterogénea en la prestación de servicios municipales relacionados con los asuntos de la mujer. Mientras algunos municipios cuentan con oficinas estructuradas, personal designado y programas especializados, otros carecen de una dependencia formal o atienden estos casos de manera incidental dentro de otras oficinas municipales.</w:t>
      </w:r>
    </w:p>
    <w:p w14:paraId="594F00F4" w14:textId="7A4FB682" w:rsidR="00F34222" w:rsidRPr="00F34222" w:rsidRDefault="00F34222" w:rsidP="00F34222">
      <w:pPr>
        <w:spacing w:before="100" w:beforeAutospacing="1" w:after="100" w:afterAutospacing="1"/>
        <w:jc w:val="both"/>
        <w:rPr>
          <w:rFonts w:ascii="Book Antiqua" w:eastAsia="Times New Roman" w:hAnsi="Book Antiqua"/>
          <w:szCs w:val="24"/>
          <w:lang w:val="es-PR"/>
        </w:rPr>
      </w:pPr>
      <w:r w:rsidRPr="001D3CBC">
        <w:rPr>
          <w:rFonts w:ascii="Book Antiqua" w:eastAsia="Times New Roman" w:hAnsi="Book Antiqua"/>
          <w:szCs w:val="24"/>
          <w:lang w:val="es-PR"/>
        </w:rPr>
        <w:t>Esta disparidad institucional refuerza la necesidad de establecer una política pública uniforme que garantice, en cada municipio, la designación de una estructura clara, identificable y funcional como primer punto de apoyo para víctimas de violencia de género, propósito que persigue el Proyecto de la Cámara 1015.</w:t>
      </w:r>
    </w:p>
    <w:p w14:paraId="4E995367" w14:textId="5F19A2B8"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77777777" w:rsidR="00476E5E" w:rsidRDefault="008E3F18" w:rsidP="00476E5E">
      <w:pPr>
        <w:jc w:val="both"/>
        <w:rPr>
          <w:rFonts w:ascii="Book Antiqua" w:hAnsi="Book Antiqua"/>
          <w:lang w:val="es-ES"/>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64E4266F" w14:textId="32093F06" w:rsidR="004000AE" w:rsidRDefault="004000AE" w:rsidP="00476E5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7E1284FC" w14:textId="77777777" w:rsidR="007E3FE5" w:rsidRPr="00476E5E" w:rsidRDefault="007E3FE5" w:rsidP="004000AE">
      <w:pPr>
        <w:jc w:val="both"/>
        <w:rPr>
          <w:rFonts w:ascii="Book Antiqua" w:hAnsi="Book Antiqua" w:cs="Arial"/>
          <w:lang w:val="es-ES"/>
        </w:rPr>
      </w:pPr>
    </w:p>
    <w:p w14:paraId="37605616" w14:textId="2DD3689C" w:rsidR="008A1DDA" w:rsidRPr="003004EC" w:rsidRDefault="003004EC" w:rsidP="004000AE">
      <w:pPr>
        <w:jc w:val="both"/>
        <w:rPr>
          <w:rFonts w:ascii="Book Antiqua" w:hAnsi="Book Antiqua"/>
          <w:lang w:val="es-ES"/>
        </w:rPr>
      </w:pPr>
      <w:r w:rsidRPr="003004EC">
        <w:rPr>
          <w:rFonts w:ascii="Book Antiqua" w:hAnsi="Book Antiqua"/>
          <w:lang w:val="es-ES"/>
        </w:rPr>
        <w:t xml:space="preserve">Reconocemos que los municipios, por su cercanía inmediata a la ciudadanía y su conocimiento directo de las realidades y dinámicas comunitarias, ocupan una posición estratégica privilegiada para identificar necesidades, detectar situaciones de riesgo y articular respuestas locales efectivas. Esta proximidad debe ser aprovechada para complementar de manera coordinada los esfuerzos del Estado y del tercer sector en la atención y prevención de la violencia de género. En ese contexto, </w:t>
      </w:r>
      <w:r w:rsidRPr="003004EC">
        <w:rPr>
          <w:rStyle w:val="Strong"/>
          <w:rFonts w:ascii="Book Antiqua" w:hAnsi="Book Antiqua"/>
          <w:lang w:val="es-ES"/>
        </w:rPr>
        <w:t>fortalecer y formalizar la presencia institucional de los asuntos de la mujer a nivel municipal no solo resulta pertinente, sino indispensable y urgente</w:t>
      </w:r>
      <w:r w:rsidRPr="003004EC">
        <w:rPr>
          <w:rFonts w:ascii="Book Antiqua" w:hAnsi="Book Antiqua"/>
          <w:lang w:val="es-ES"/>
        </w:rPr>
        <w:t>, como mecanismo para garantizar intervenciones oportunas, accesibles y sensibles a las realidades particulares de cada comunidad, en armonía con la política pública de protección de los derechos de las mujeres y de las víctimas de violencia de género.</w:t>
      </w:r>
    </w:p>
    <w:p w14:paraId="7266900F" w14:textId="77777777" w:rsidR="003004EC" w:rsidRPr="003004EC" w:rsidRDefault="003004EC" w:rsidP="004000AE">
      <w:pPr>
        <w:jc w:val="both"/>
        <w:rPr>
          <w:rFonts w:ascii="Book Antiqua" w:hAnsi="Book Antiqua" w:cs="Arial"/>
          <w:lang w:val="es-ES"/>
        </w:rPr>
      </w:pPr>
    </w:p>
    <w:p w14:paraId="693ABEB6" w14:textId="2D4ED900"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3004EC">
        <w:rPr>
          <w:rFonts w:ascii="Book Antiqua" w:hAnsi="Book Antiqua" w:cs="Arial"/>
          <w:lang w:val="es-ES"/>
        </w:rPr>
        <w:t xml:space="preserve">1015, </w:t>
      </w:r>
      <w:r w:rsidR="003004EC"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Informe.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0E60B" w14:textId="77777777" w:rsidR="000E5BC1" w:rsidRDefault="000E5BC1" w:rsidP="006705DD">
      <w:r>
        <w:separator/>
      </w:r>
    </w:p>
  </w:endnote>
  <w:endnote w:type="continuationSeparator" w:id="0">
    <w:p w14:paraId="5F067817" w14:textId="77777777" w:rsidR="000E5BC1" w:rsidRDefault="000E5BC1"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51FBE" w14:textId="77777777" w:rsidR="000E5BC1" w:rsidRDefault="000E5BC1" w:rsidP="006705DD">
      <w:r>
        <w:separator/>
      </w:r>
    </w:p>
  </w:footnote>
  <w:footnote w:type="continuationSeparator" w:id="0">
    <w:p w14:paraId="12362F14" w14:textId="77777777" w:rsidR="000E5BC1" w:rsidRDefault="000E5BC1"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702394B"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004EC">
      <w:rPr>
        <w:rStyle w:val="PageNumber"/>
        <w:rFonts w:ascii="Book Antiqua" w:hAnsi="Book Antiqua"/>
        <w:i/>
        <w:sz w:val="22"/>
        <w:szCs w:val="22"/>
        <w:lang w:val="es-PR"/>
      </w:rPr>
      <w:t>1015</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25"/>
  </w:num>
  <w:num w:numId="3" w16cid:durableId="150217024">
    <w:abstractNumId w:val="27"/>
  </w:num>
  <w:num w:numId="4" w16cid:durableId="1144077218">
    <w:abstractNumId w:val="16"/>
  </w:num>
  <w:num w:numId="5" w16cid:durableId="1391071492">
    <w:abstractNumId w:val="30"/>
  </w:num>
  <w:num w:numId="6" w16cid:durableId="1887521205">
    <w:abstractNumId w:val="29"/>
  </w:num>
  <w:num w:numId="7" w16cid:durableId="1720008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3"/>
  </w:num>
  <w:num w:numId="9" w16cid:durableId="978419079">
    <w:abstractNumId w:val="15"/>
  </w:num>
  <w:num w:numId="10" w16cid:durableId="1431662367">
    <w:abstractNumId w:val="10"/>
  </w:num>
  <w:num w:numId="11" w16cid:durableId="745687741">
    <w:abstractNumId w:val="14"/>
  </w:num>
  <w:num w:numId="12" w16cid:durableId="788547495">
    <w:abstractNumId w:val="33"/>
  </w:num>
  <w:num w:numId="13" w16cid:durableId="953445716">
    <w:abstractNumId w:val="32"/>
  </w:num>
  <w:num w:numId="14" w16cid:durableId="194583800">
    <w:abstractNumId w:val="11"/>
  </w:num>
  <w:num w:numId="15" w16cid:durableId="523634993">
    <w:abstractNumId w:val="6"/>
  </w:num>
  <w:num w:numId="16" w16cid:durableId="640503561">
    <w:abstractNumId w:val="17"/>
  </w:num>
  <w:num w:numId="17" w16cid:durableId="558250333">
    <w:abstractNumId w:val="13"/>
  </w:num>
  <w:num w:numId="18" w16cid:durableId="544635036">
    <w:abstractNumId w:val="37"/>
  </w:num>
  <w:num w:numId="19" w16cid:durableId="328294607">
    <w:abstractNumId w:val="35"/>
  </w:num>
  <w:num w:numId="20" w16cid:durableId="1746873194">
    <w:abstractNumId w:val="7"/>
  </w:num>
  <w:num w:numId="21" w16cid:durableId="796483149">
    <w:abstractNumId w:val="19"/>
  </w:num>
  <w:num w:numId="22" w16cid:durableId="2005666296">
    <w:abstractNumId w:val="4"/>
  </w:num>
  <w:num w:numId="23" w16cid:durableId="1935046073">
    <w:abstractNumId w:val="28"/>
  </w:num>
  <w:num w:numId="24" w16cid:durableId="1003436762">
    <w:abstractNumId w:val="3"/>
  </w:num>
  <w:num w:numId="25" w16cid:durableId="363680753">
    <w:abstractNumId w:val="8"/>
  </w:num>
  <w:num w:numId="26" w16cid:durableId="819734833">
    <w:abstractNumId w:val="26"/>
  </w:num>
  <w:num w:numId="27" w16cid:durableId="319966295">
    <w:abstractNumId w:val="0"/>
  </w:num>
  <w:num w:numId="28" w16cid:durableId="1320692743">
    <w:abstractNumId w:val="5"/>
  </w:num>
  <w:num w:numId="29" w16cid:durableId="1485123259">
    <w:abstractNumId w:val="18"/>
  </w:num>
  <w:num w:numId="30" w16cid:durableId="994458932">
    <w:abstractNumId w:val="34"/>
  </w:num>
  <w:num w:numId="31" w16cid:durableId="1152524602">
    <w:abstractNumId w:val="21"/>
  </w:num>
  <w:num w:numId="32" w16cid:durableId="2128505462">
    <w:abstractNumId w:val="2"/>
  </w:num>
  <w:num w:numId="33" w16cid:durableId="2058430843">
    <w:abstractNumId w:val="22"/>
  </w:num>
  <w:num w:numId="34" w16cid:durableId="1740865236">
    <w:abstractNumId w:val="31"/>
  </w:num>
  <w:num w:numId="35" w16cid:durableId="1029069065">
    <w:abstractNumId w:val="36"/>
  </w:num>
  <w:num w:numId="36" w16cid:durableId="297496150">
    <w:abstractNumId w:val="12"/>
  </w:num>
  <w:num w:numId="37" w16cid:durableId="2012371553">
    <w:abstractNumId w:val="9"/>
  </w:num>
  <w:num w:numId="38" w16cid:durableId="18679806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3506B"/>
    <w:rsid w:val="00040D4F"/>
    <w:rsid w:val="000412D4"/>
    <w:rsid w:val="0004232E"/>
    <w:rsid w:val="00046F97"/>
    <w:rsid w:val="000549AC"/>
    <w:rsid w:val="00055E65"/>
    <w:rsid w:val="0006127A"/>
    <w:rsid w:val="0006657A"/>
    <w:rsid w:val="00071193"/>
    <w:rsid w:val="000711C1"/>
    <w:rsid w:val="00075649"/>
    <w:rsid w:val="00075ACF"/>
    <w:rsid w:val="00076BE2"/>
    <w:rsid w:val="00084B35"/>
    <w:rsid w:val="000862D3"/>
    <w:rsid w:val="00093070"/>
    <w:rsid w:val="00093599"/>
    <w:rsid w:val="000A0DD0"/>
    <w:rsid w:val="000A1C03"/>
    <w:rsid w:val="000A3551"/>
    <w:rsid w:val="000A36B0"/>
    <w:rsid w:val="000A3926"/>
    <w:rsid w:val="000A3F06"/>
    <w:rsid w:val="000A55EE"/>
    <w:rsid w:val="000D4ACC"/>
    <w:rsid w:val="000E328C"/>
    <w:rsid w:val="000E5BC1"/>
    <w:rsid w:val="000F7B85"/>
    <w:rsid w:val="00103081"/>
    <w:rsid w:val="00103ADD"/>
    <w:rsid w:val="00104793"/>
    <w:rsid w:val="00113F55"/>
    <w:rsid w:val="00115CCE"/>
    <w:rsid w:val="00121062"/>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612F"/>
    <w:rsid w:val="001C1F0F"/>
    <w:rsid w:val="001C6904"/>
    <w:rsid w:val="001D0ABB"/>
    <w:rsid w:val="001D3CBC"/>
    <w:rsid w:val="001E2BBC"/>
    <w:rsid w:val="001E51A0"/>
    <w:rsid w:val="001E58FE"/>
    <w:rsid w:val="00214189"/>
    <w:rsid w:val="002169FB"/>
    <w:rsid w:val="00222553"/>
    <w:rsid w:val="0022554E"/>
    <w:rsid w:val="0022643F"/>
    <w:rsid w:val="0023264E"/>
    <w:rsid w:val="002360B5"/>
    <w:rsid w:val="002370D3"/>
    <w:rsid w:val="00242B71"/>
    <w:rsid w:val="00244C04"/>
    <w:rsid w:val="00245609"/>
    <w:rsid w:val="00252693"/>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4C16"/>
    <w:rsid w:val="00304E2D"/>
    <w:rsid w:val="00326892"/>
    <w:rsid w:val="00327EDE"/>
    <w:rsid w:val="00330D59"/>
    <w:rsid w:val="003403CB"/>
    <w:rsid w:val="003428AA"/>
    <w:rsid w:val="00352C61"/>
    <w:rsid w:val="00353DB9"/>
    <w:rsid w:val="00361144"/>
    <w:rsid w:val="00364DCF"/>
    <w:rsid w:val="003700E9"/>
    <w:rsid w:val="003822D7"/>
    <w:rsid w:val="00396560"/>
    <w:rsid w:val="00397AC7"/>
    <w:rsid w:val="003A69EF"/>
    <w:rsid w:val="003A6E4E"/>
    <w:rsid w:val="003B644B"/>
    <w:rsid w:val="003B766F"/>
    <w:rsid w:val="003C1FA6"/>
    <w:rsid w:val="003D07D2"/>
    <w:rsid w:val="003E4264"/>
    <w:rsid w:val="003F0372"/>
    <w:rsid w:val="003F2DE1"/>
    <w:rsid w:val="003F46BE"/>
    <w:rsid w:val="003F7352"/>
    <w:rsid w:val="003F7F49"/>
    <w:rsid w:val="004000AE"/>
    <w:rsid w:val="0040062C"/>
    <w:rsid w:val="00403A15"/>
    <w:rsid w:val="00413F68"/>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A40A5"/>
    <w:rsid w:val="004C0E27"/>
    <w:rsid w:val="004D44C1"/>
    <w:rsid w:val="004D66E8"/>
    <w:rsid w:val="004D7CDB"/>
    <w:rsid w:val="004F0D7E"/>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412"/>
    <w:rsid w:val="00592912"/>
    <w:rsid w:val="00593EDF"/>
    <w:rsid w:val="00594C0D"/>
    <w:rsid w:val="00597725"/>
    <w:rsid w:val="005C2A30"/>
    <w:rsid w:val="005C5D02"/>
    <w:rsid w:val="005C6005"/>
    <w:rsid w:val="005D4247"/>
    <w:rsid w:val="005E345A"/>
    <w:rsid w:val="005F2117"/>
    <w:rsid w:val="005F3B18"/>
    <w:rsid w:val="00602E0C"/>
    <w:rsid w:val="00610D55"/>
    <w:rsid w:val="00613523"/>
    <w:rsid w:val="00620546"/>
    <w:rsid w:val="00623B5D"/>
    <w:rsid w:val="00624B6C"/>
    <w:rsid w:val="00625848"/>
    <w:rsid w:val="00633B31"/>
    <w:rsid w:val="00640235"/>
    <w:rsid w:val="00642D73"/>
    <w:rsid w:val="00647E72"/>
    <w:rsid w:val="00650E7C"/>
    <w:rsid w:val="00651F6C"/>
    <w:rsid w:val="00663552"/>
    <w:rsid w:val="006679D2"/>
    <w:rsid w:val="006705DD"/>
    <w:rsid w:val="00677ADE"/>
    <w:rsid w:val="006A2E89"/>
    <w:rsid w:val="006A627D"/>
    <w:rsid w:val="006B0E23"/>
    <w:rsid w:val="006C6F08"/>
    <w:rsid w:val="006D2DAD"/>
    <w:rsid w:val="006E01C3"/>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83B"/>
    <w:rsid w:val="007D502B"/>
    <w:rsid w:val="007D7E16"/>
    <w:rsid w:val="007E3FE5"/>
    <w:rsid w:val="007F6BCF"/>
    <w:rsid w:val="0080494A"/>
    <w:rsid w:val="0083160D"/>
    <w:rsid w:val="00832BE1"/>
    <w:rsid w:val="00835666"/>
    <w:rsid w:val="00855DDC"/>
    <w:rsid w:val="008605D1"/>
    <w:rsid w:val="0086119E"/>
    <w:rsid w:val="00866623"/>
    <w:rsid w:val="00873014"/>
    <w:rsid w:val="00874229"/>
    <w:rsid w:val="0087700A"/>
    <w:rsid w:val="008945B2"/>
    <w:rsid w:val="008A1DDA"/>
    <w:rsid w:val="008A3BFF"/>
    <w:rsid w:val="008B131A"/>
    <w:rsid w:val="008B5837"/>
    <w:rsid w:val="008C4E1E"/>
    <w:rsid w:val="008D3AED"/>
    <w:rsid w:val="008E3F18"/>
    <w:rsid w:val="008E3FE1"/>
    <w:rsid w:val="008E4C98"/>
    <w:rsid w:val="008F3240"/>
    <w:rsid w:val="00916851"/>
    <w:rsid w:val="0091696B"/>
    <w:rsid w:val="009170EF"/>
    <w:rsid w:val="00920655"/>
    <w:rsid w:val="00922DA1"/>
    <w:rsid w:val="009375FE"/>
    <w:rsid w:val="00944B6E"/>
    <w:rsid w:val="00950543"/>
    <w:rsid w:val="00953576"/>
    <w:rsid w:val="0095762D"/>
    <w:rsid w:val="0098155A"/>
    <w:rsid w:val="00986544"/>
    <w:rsid w:val="00986838"/>
    <w:rsid w:val="009912EA"/>
    <w:rsid w:val="009915D8"/>
    <w:rsid w:val="00995340"/>
    <w:rsid w:val="009962C2"/>
    <w:rsid w:val="009A0D8D"/>
    <w:rsid w:val="009A24F9"/>
    <w:rsid w:val="009A375D"/>
    <w:rsid w:val="009B3675"/>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927E0"/>
    <w:rsid w:val="00AA4EE8"/>
    <w:rsid w:val="00AC0B45"/>
    <w:rsid w:val="00AC6688"/>
    <w:rsid w:val="00AD7C3F"/>
    <w:rsid w:val="00AE53C7"/>
    <w:rsid w:val="00AE7201"/>
    <w:rsid w:val="00AF630A"/>
    <w:rsid w:val="00B11907"/>
    <w:rsid w:val="00B25CAC"/>
    <w:rsid w:val="00B34FF4"/>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D740D"/>
    <w:rsid w:val="00BE62B2"/>
    <w:rsid w:val="00BF2933"/>
    <w:rsid w:val="00BF30CB"/>
    <w:rsid w:val="00BF3E46"/>
    <w:rsid w:val="00BF4C79"/>
    <w:rsid w:val="00BF76DF"/>
    <w:rsid w:val="00C0097E"/>
    <w:rsid w:val="00C0489D"/>
    <w:rsid w:val="00C04CC4"/>
    <w:rsid w:val="00C05074"/>
    <w:rsid w:val="00C06BB6"/>
    <w:rsid w:val="00C20727"/>
    <w:rsid w:val="00C23448"/>
    <w:rsid w:val="00C2466C"/>
    <w:rsid w:val="00C3342E"/>
    <w:rsid w:val="00C364C6"/>
    <w:rsid w:val="00C445E0"/>
    <w:rsid w:val="00C54F93"/>
    <w:rsid w:val="00C55349"/>
    <w:rsid w:val="00C646DB"/>
    <w:rsid w:val="00C70147"/>
    <w:rsid w:val="00C72ADD"/>
    <w:rsid w:val="00C72BDF"/>
    <w:rsid w:val="00C746E5"/>
    <w:rsid w:val="00C868AA"/>
    <w:rsid w:val="00C93A19"/>
    <w:rsid w:val="00C971D6"/>
    <w:rsid w:val="00CA25B9"/>
    <w:rsid w:val="00CA25DD"/>
    <w:rsid w:val="00CB506C"/>
    <w:rsid w:val="00CB59F2"/>
    <w:rsid w:val="00CB7443"/>
    <w:rsid w:val="00CC0AC2"/>
    <w:rsid w:val="00CC169F"/>
    <w:rsid w:val="00CD6F6C"/>
    <w:rsid w:val="00CD7998"/>
    <w:rsid w:val="00CD7C8F"/>
    <w:rsid w:val="00CE50B0"/>
    <w:rsid w:val="00CE6859"/>
    <w:rsid w:val="00CE7FD0"/>
    <w:rsid w:val="00CF3279"/>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D3A6C"/>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44081"/>
    <w:rsid w:val="00F46A5B"/>
    <w:rsid w:val="00F4737F"/>
    <w:rsid w:val="00F65848"/>
    <w:rsid w:val="00F664B4"/>
    <w:rsid w:val="00F745F6"/>
    <w:rsid w:val="00F907CB"/>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4384</Words>
  <Characters>25008</Characters>
  <Application>Microsoft Office Word</Application>
  <DocSecurity>4</DocSecurity>
  <Lines>415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2026-02-19T20:08:00Z</cp:lastPrinted>
  <dcterms:created xsi:type="dcterms:W3CDTF">2026-02-24T19:32:00Z</dcterms:created>
  <dcterms:modified xsi:type="dcterms:W3CDTF">2026-02-24T19:32:00Z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