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1F7059C8" w:rsidR="00FF6BD2" w:rsidRPr="00A42F69" w:rsidRDefault="005C02FF" w:rsidP="00067BFD">
      <w:pPr>
        <w:suppressLineNumbers/>
        <w:jc w:val="center"/>
        <w:rPr>
          <w:rFonts w:ascii="Book Antiqua" w:hAnsi="Book Antiqua"/>
          <w:sz w:val="28"/>
          <w:szCs w:val="28"/>
          <w:lang w:val="es-PR"/>
        </w:rPr>
      </w:pPr>
      <w:r w:rsidRPr="00A42F69">
        <w:rPr>
          <w:rFonts w:ascii="Book Antiqua" w:hAnsi="Book Antiqua"/>
          <w:sz w:val="28"/>
          <w:szCs w:val="28"/>
          <w:lang w:val="es-PR"/>
        </w:rPr>
        <w:t>GOBIERNO DE PUERTO RICO</w:t>
      </w:r>
    </w:p>
    <w:p w14:paraId="04F3F3E3" w14:textId="77777777" w:rsidR="00A22A39" w:rsidRPr="004C75C2" w:rsidRDefault="00A22A39" w:rsidP="00067BFD">
      <w:pPr>
        <w:suppressLineNumbers/>
        <w:jc w:val="center"/>
        <w:rPr>
          <w:rFonts w:ascii="Book Antiqua" w:hAnsi="Book Antiqua"/>
          <w:szCs w:val="24"/>
          <w:lang w:val="es-PR"/>
        </w:rPr>
      </w:pPr>
    </w:p>
    <w:p w14:paraId="1DDFEEE9" w14:textId="2A7FFC3A" w:rsidR="00A22A39" w:rsidRPr="004C75C2" w:rsidRDefault="00597676" w:rsidP="00067BFD">
      <w:pPr>
        <w:pStyle w:val="Title2"/>
        <w:suppressLineNumbers/>
        <w:rPr>
          <w:rFonts w:ascii="Book Antiqua" w:hAnsi="Book Antiqua"/>
          <w:szCs w:val="24"/>
          <w:lang w:val="es-PR"/>
        </w:rPr>
      </w:pPr>
      <w:r w:rsidRPr="004C75C2">
        <w:rPr>
          <w:rFonts w:ascii="Book Antiqua" w:hAnsi="Book Antiqua"/>
          <w:szCs w:val="24"/>
          <w:lang w:val="es-PR"/>
        </w:rPr>
        <w:t>20</w:t>
      </w:r>
      <w:r w:rsidR="00200DE3" w:rsidRPr="004C75C2">
        <w:rPr>
          <w:rFonts w:ascii="Book Antiqua" w:hAnsi="Book Antiqua"/>
          <w:szCs w:val="24"/>
          <w:lang w:val="es-PR"/>
        </w:rPr>
        <w:t>ma</w:t>
      </w:r>
      <w:r w:rsidR="005E57DD" w:rsidRPr="004C75C2">
        <w:rPr>
          <w:rFonts w:ascii="Book Antiqua" w:hAnsi="Book Antiqua"/>
          <w:szCs w:val="24"/>
          <w:lang w:val="es-PR"/>
        </w:rPr>
        <w:t>.</w:t>
      </w:r>
      <w:r w:rsidR="00A22A39" w:rsidRPr="004C75C2">
        <w:rPr>
          <w:rFonts w:ascii="Book Antiqua" w:hAnsi="Book Antiqua"/>
          <w:szCs w:val="24"/>
          <w:lang w:val="es-PR"/>
        </w:rPr>
        <w:tab/>
        <w:t>Asamblea</w:t>
      </w:r>
      <w:r w:rsidR="00A22A39" w:rsidRPr="004C75C2">
        <w:rPr>
          <w:rFonts w:ascii="Book Antiqua" w:hAnsi="Book Antiqua"/>
          <w:szCs w:val="24"/>
          <w:lang w:val="es-PR"/>
        </w:rPr>
        <w:tab/>
      </w:r>
      <w:r w:rsidR="00DE5CEC">
        <w:rPr>
          <w:rFonts w:ascii="Book Antiqua" w:hAnsi="Book Antiqua"/>
          <w:szCs w:val="24"/>
          <w:lang w:val="es-PR"/>
        </w:rPr>
        <w:t>3r</w:t>
      </w:r>
      <w:r w:rsidR="00526FB1" w:rsidRPr="004C75C2">
        <w:rPr>
          <w:rFonts w:ascii="Book Antiqua" w:hAnsi="Book Antiqua"/>
          <w:szCs w:val="24"/>
          <w:lang w:val="es-PR"/>
        </w:rPr>
        <w:t>a</w:t>
      </w:r>
      <w:r w:rsidR="005E57DD" w:rsidRPr="004C75C2">
        <w:rPr>
          <w:rFonts w:ascii="Book Antiqua" w:hAnsi="Book Antiqua"/>
          <w:szCs w:val="24"/>
          <w:lang w:val="es-PR"/>
        </w:rPr>
        <w:t>.</w:t>
      </w:r>
      <w:r w:rsidR="00A22A39" w:rsidRPr="004C75C2">
        <w:rPr>
          <w:rFonts w:ascii="Book Antiqua" w:hAnsi="Book Antiqua"/>
          <w:szCs w:val="24"/>
          <w:lang w:val="es-PR"/>
        </w:rPr>
        <w:tab/>
        <w:t>Sesión</w:t>
      </w:r>
    </w:p>
    <w:p w14:paraId="32DD10E6" w14:textId="77777777" w:rsidR="00A22A39" w:rsidRPr="004C75C2" w:rsidRDefault="00A22A39" w:rsidP="00067BFD">
      <w:pPr>
        <w:pStyle w:val="Title2"/>
        <w:suppressLineNumbers/>
        <w:rPr>
          <w:rFonts w:ascii="Book Antiqua" w:hAnsi="Book Antiqua"/>
          <w:szCs w:val="24"/>
          <w:lang w:val="es-PR"/>
        </w:rPr>
      </w:pPr>
      <w:r w:rsidRPr="004C75C2">
        <w:rPr>
          <w:rFonts w:ascii="Book Antiqua" w:hAnsi="Book Antiqua"/>
          <w:szCs w:val="24"/>
          <w:lang w:val="es-PR"/>
        </w:rPr>
        <w:tab/>
        <w:t>Legislativa</w:t>
      </w:r>
      <w:r w:rsidRPr="004C75C2">
        <w:rPr>
          <w:rFonts w:ascii="Book Antiqua" w:hAnsi="Book Antiqua"/>
          <w:szCs w:val="24"/>
          <w:lang w:val="es-PR"/>
        </w:rPr>
        <w:tab/>
      </w:r>
      <w:r w:rsidRPr="004C75C2">
        <w:rPr>
          <w:rFonts w:ascii="Book Antiqua" w:hAnsi="Book Antiqua"/>
          <w:szCs w:val="24"/>
          <w:lang w:val="es-PR"/>
        </w:rPr>
        <w:tab/>
        <w:t>Ordinaria</w:t>
      </w:r>
    </w:p>
    <w:p w14:paraId="65DE207E" w14:textId="77777777" w:rsidR="00A22A39" w:rsidRPr="004C75C2" w:rsidRDefault="00A22A39" w:rsidP="00067BFD">
      <w:pPr>
        <w:suppressLineNumbers/>
        <w:rPr>
          <w:szCs w:val="24"/>
          <w:lang w:val="es-PR"/>
        </w:rPr>
      </w:pPr>
    </w:p>
    <w:p w14:paraId="159172EB" w14:textId="77777777" w:rsidR="00A22A39" w:rsidRPr="004C75C2" w:rsidRDefault="00A22A39" w:rsidP="00067BFD">
      <w:pPr>
        <w:suppressLineNumbers/>
        <w:jc w:val="center"/>
        <w:rPr>
          <w:rFonts w:ascii="Book Antiqua" w:hAnsi="Book Antiqua"/>
          <w:b/>
          <w:sz w:val="36"/>
          <w:szCs w:val="36"/>
          <w:lang w:val="es-PR"/>
        </w:rPr>
      </w:pPr>
      <w:r w:rsidRPr="004C75C2">
        <w:rPr>
          <w:rFonts w:ascii="Book Antiqua" w:hAnsi="Book Antiqua"/>
          <w:b/>
          <w:sz w:val="36"/>
          <w:szCs w:val="36"/>
          <w:lang w:val="es-PR"/>
        </w:rPr>
        <w:t>CÁMARA DE REPRESENTANTES</w:t>
      </w:r>
    </w:p>
    <w:p w14:paraId="07F25F7E" w14:textId="77777777" w:rsidR="00A22A39" w:rsidRPr="004C75C2" w:rsidRDefault="00A22A39" w:rsidP="00067BFD">
      <w:pPr>
        <w:suppressLineNumbers/>
        <w:jc w:val="center"/>
        <w:rPr>
          <w:rFonts w:ascii="Book Antiqua" w:hAnsi="Book Antiqua"/>
          <w:b/>
          <w:szCs w:val="24"/>
          <w:lang w:val="es-PR"/>
        </w:rPr>
      </w:pPr>
    </w:p>
    <w:p w14:paraId="78460823" w14:textId="4ED5E44C" w:rsidR="00A22A39" w:rsidRPr="004C75C2" w:rsidRDefault="00A22A39" w:rsidP="00067BFD">
      <w:pPr>
        <w:suppressLineNumbers/>
        <w:jc w:val="center"/>
        <w:rPr>
          <w:rFonts w:ascii="Book Antiqua" w:hAnsi="Book Antiqua"/>
          <w:b/>
          <w:sz w:val="52"/>
          <w:szCs w:val="52"/>
          <w:lang w:val="es-PR"/>
        </w:rPr>
      </w:pPr>
      <w:r w:rsidRPr="004C75C2">
        <w:rPr>
          <w:rFonts w:ascii="Book Antiqua" w:hAnsi="Book Antiqua"/>
          <w:b/>
          <w:sz w:val="52"/>
          <w:szCs w:val="52"/>
          <w:lang w:val="es-PR"/>
        </w:rPr>
        <w:t>R. de la C.</w:t>
      </w:r>
      <w:r w:rsidR="00EB61FB" w:rsidRPr="004C75C2">
        <w:rPr>
          <w:rFonts w:ascii="Book Antiqua" w:hAnsi="Book Antiqua"/>
          <w:b/>
          <w:sz w:val="52"/>
          <w:szCs w:val="52"/>
          <w:lang w:val="es-PR"/>
        </w:rPr>
        <w:t xml:space="preserve"> </w:t>
      </w:r>
      <w:r w:rsidR="0008707E">
        <w:rPr>
          <w:rFonts w:ascii="Book Antiqua" w:hAnsi="Book Antiqua"/>
          <w:b/>
          <w:sz w:val="52"/>
          <w:szCs w:val="52"/>
          <w:lang w:val="es-PR"/>
        </w:rPr>
        <w:t>537</w:t>
      </w:r>
    </w:p>
    <w:p w14:paraId="599E554E" w14:textId="77777777" w:rsidR="005E57DD" w:rsidRPr="00A42F69" w:rsidRDefault="005E57DD" w:rsidP="00067BFD">
      <w:pPr>
        <w:suppressLineNumbers/>
        <w:jc w:val="center"/>
        <w:rPr>
          <w:rFonts w:ascii="Book Antiqua" w:hAnsi="Book Antiqua"/>
          <w:szCs w:val="24"/>
          <w:lang w:val="es-PR"/>
        </w:rPr>
      </w:pPr>
    </w:p>
    <w:p w14:paraId="31B31CBA" w14:textId="46AA071D" w:rsidR="00A22A39" w:rsidRPr="004C75C2" w:rsidRDefault="00526FB1" w:rsidP="00067BFD">
      <w:pPr>
        <w:suppressLineNumbers/>
        <w:jc w:val="center"/>
        <w:rPr>
          <w:rFonts w:ascii="Book Antiqua" w:hAnsi="Book Antiqua"/>
          <w:szCs w:val="24"/>
          <w:lang w:val="es-PR"/>
        </w:rPr>
      </w:pPr>
      <w:r w:rsidRPr="004C75C2">
        <w:rPr>
          <w:rFonts w:ascii="Book Antiqua" w:hAnsi="Book Antiqua"/>
          <w:szCs w:val="24"/>
          <w:lang w:val="es-PR"/>
        </w:rPr>
        <w:t>1</w:t>
      </w:r>
      <w:r w:rsidR="004C75C2" w:rsidRPr="004C75C2">
        <w:rPr>
          <w:rFonts w:ascii="Book Antiqua" w:hAnsi="Book Antiqua"/>
          <w:szCs w:val="24"/>
          <w:lang w:val="es-PR"/>
        </w:rPr>
        <w:t>2</w:t>
      </w:r>
      <w:r w:rsidR="001569B9" w:rsidRPr="004C75C2">
        <w:rPr>
          <w:rFonts w:ascii="Book Antiqua" w:hAnsi="Book Antiqua"/>
          <w:szCs w:val="24"/>
          <w:lang w:val="es-PR"/>
        </w:rPr>
        <w:t xml:space="preserve"> DE </w:t>
      </w:r>
      <w:r w:rsidRPr="004C75C2">
        <w:rPr>
          <w:rFonts w:ascii="Book Antiqua" w:hAnsi="Book Antiqua"/>
          <w:szCs w:val="24"/>
          <w:lang w:val="es-PR"/>
        </w:rPr>
        <w:t>ENERO</w:t>
      </w:r>
      <w:r w:rsidR="00A22A39" w:rsidRPr="004C75C2">
        <w:rPr>
          <w:rFonts w:ascii="Book Antiqua" w:hAnsi="Book Antiqua"/>
          <w:szCs w:val="24"/>
          <w:lang w:val="es-PR"/>
        </w:rPr>
        <w:t xml:space="preserve"> DE 202</w:t>
      </w:r>
      <w:r w:rsidRPr="004C75C2">
        <w:rPr>
          <w:rFonts w:ascii="Book Antiqua" w:hAnsi="Book Antiqua"/>
          <w:szCs w:val="24"/>
          <w:lang w:val="es-PR"/>
        </w:rPr>
        <w:t>6</w:t>
      </w:r>
    </w:p>
    <w:p w14:paraId="46E1541F" w14:textId="77777777" w:rsidR="005E57DD" w:rsidRPr="004C75C2" w:rsidRDefault="005E57DD" w:rsidP="00067BFD">
      <w:pPr>
        <w:suppressLineNumbers/>
        <w:jc w:val="center"/>
        <w:rPr>
          <w:rFonts w:ascii="Book Antiqua" w:hAnsi="Book Antiqua"/>
          <w:szCs w:val="24"/>
          <w:lang w:val="es-PR"/>
        </w:rPr>
      </w:pPr>
    </w:p>
    <w:p w14:paraId="3F61E8B5" w14:textId="0328334F" w:rsidR="00A22A39" w:rsidRPr="004C75C2" w:rsidRDefault="00A22A39" w:rsidP="00925328">
      <w:pPr>
        <w:suppressLineNumbers/>
        <w:jc w:val="center"/>
        <w:rPr>
          <w:rFonts w:ascii="Book Antiqua" w:hAnsi="Book Antiqua"/>
          <w:szCs w:val="24"/>
          <w:lang w:val="es-PR"/>
        </w:rPr>
      </w:pPr>
      <w:r w:rsidRPr="004C75C2">
        <w:rPr>
          <w:rFonts w:ascii="Book Antiqua" w:hAnsi="Book Antiqua"/>
          <w:szCs w:val="24"/>
          <w:lang w:val="es-PR"/>
        </w:rPr>
        <w:t xml:space="preserve">Presentada por </w:t>
      </w:r>
      <w:r w:rsidR="001569B9" w:rsidRPr="004C75C2">
        <w:rPr>
          <w:rFonts w:ascii="Book Antiqua" w:hAnsi="Book Antiqua"/>
          <w:szCs w:val="24"/>
          <w:lang w:val="es-PR"/>
        </w:rPr>
        <w:t>la</w:t>
      </w:r>
      <w:r w:rsidR="00597676" w:rsidRPr="004C75C2">
        <w:rPr>
          <w:rFonts w:ascii="Book Antiqua" w:hAnsi="Book Antiqua"/>
          <w:szCs w:val="24"/>
          <w:lang w:val="es-PR"/>
        </w:rPr>
        <w:t xml:space="preserve"> </w:t>
      </w:r>
      <w:r w:rsidR="00925328" w:rsidRPr="004C75C2">
        <w:rPr>
          <w:rFonts w:ascii="Book Antiqua" w:hAnsi="Book Antiqua"/>
          <w:szCs w:val="24"/>
          <w:lang w:val="es-PR"/>
        </w:rPr>
        <w:t>representante</w:t>
      </w:r>
      <w:r w:rsidRPr="004C75C2">
        <w:rPr>
          <w:rFonts w:ascii="Book Antiqua" w:hAnsi="Book Antiqua"/>
          <w:szCs w:val="24"/>
          <w:lang w:val="es-PR"/>
        </w:rPr>
        <w:t xml:space="preserve"> </w:t>
      </w:r>
      <w:r w:rsidR="001569B9" w:rsidRPr="004C75C2">
        <w:rPr>
          <w:rFonts w:ascii="Book Antiqua" w:hAnsi="Book Antiqua"/>
          <w:i/>
          <w:szCs w:val="24"/>
          <w:lang w:val="es-PR"/>
        </w:rPr>
        <w:t>González Aguayo</w:t>
      </w:r>
    </w:p>
    <w:p w14:paraId="3529A5A8" w14:textId="77777777" w:rsidR="005E57DD" w:rsidRPr="004C75C2" w:rsidRDefault="005E57DD" w:rsidP="00925328">
      <w:pPr>
        <w:suppressLineNumbers/>
        <w:jc w:val="center"/>
        <w:rPr>
          <w:rFonts w:ascii="Book Antiqua" w:hAnsi="Book Antiqua"/>
          <w:szCs w:val="24"/>
          <w:lang w:val="es-PR"/>
        </w:rPr>
      </w:pPr>
    </w:p>
    <w:p w14:paraId="324BC2D1" w14:textId="69137BF2" w:rsidR="00C702C4" w:rsidRPr="004C75C2" w:rsidRDefault="00C702C4" w:rsidP="00925328">
      <w:pPr>
        <w:suppressLineNumbers/>
        <w:jc w:val="center"/>
        <w:rPr>
          <w:rFonts w:ascii="Book Antiqua" w:hAnsi="Book Antiqua"/>
          <w:szCs w:val="24"/>
          <w:lang w:val="es-PR"/>
        </w:rPr>
      </w:pPr>
      <w:r w:rsidRPr="004C75C2">
        <w:rPr>
          <w:rFonts w:ascii="Book Antiqua" w:hAnsi="Book Antiqua"/>
          <w:szCs w:val="24"/>
          <w:lang w:val="es-PR"/>
        </w:rPr>
        <w:t>Referid</w:t>
      </w:r>
      <w:r w:rsidR="00A42F69">
        <w:rPr>
          <w:rFonts w:ascii="Book Antiqua" w:hAnsi="Book Antiqua"/>
          <w:szCs w:val="24"/>
          <w:lang w:val="es-PR"/>
        </w:rPr>
        <w:t>a</w:t>
      </w:r>
      <w:r w:rsidRPr="004C75C2">
        <w:rPr>
          <w:rFonts w:ascii="Book Antiqua" w:hAnsi="Book Antiqua"/>
          <w:szCs w:val="24"/>
          <w:lang w:val="es-PR"/>
        </w:rPr>
        <w:t xml:space="preserve"> a la Comisión </w:t>
      </w:r>
      <w:r w:rsidR="00713FE1" w:rsidRPr="004C75C2">
        <w:rPr>
          <w:rFonts w:ascii="Book Antiqua" w:hAnsi="Book Antiqua"/>
          <w:szCs w:val="24"/>
          <w:lang w:val="es-PR"/>
        </w:rPr>
        <w:t xml:space="preserve">de </w:t>
      </w:r>
      <w:r w:rsidR="00A42F69">
        <w:rPr>
          <w:rFonts w:ascii="Book Antiqua" w:hAnsi="Book Antiqua"/>
          <w:szCs w:val="24"/>
          <w:lang w:val="es-PR"/>
        </w:rPr>
        <w:t>Asuntos Internos</w:t>
      </w:r>
    </w:p>
    <w:p w14:paraId="0A816482" w14:textId="77777777" w:rsidR="00A22A39" w:rsidRPr="004C75C2" w:rsidRDefault="00A22A39" w:rsidP="00925328">
      <w:pPr>
        <w:suppressLineNumbers/>
        <w:jc w:val="both"/>
        <w:rPr>
          <w:rFonts w:ascii="Book Antiqua" w:hAnsi="Book Antiqua"/>
          <w:szCs w:val="24"/>
          <w:lang w:val="es-PR"/>
        </w:rPr>
      </w:pPr>
    </w:p>
    <w:p w14:paraId="20F98793" w14:textId="77777777" w:rsidR="00A22A39" w:rsidRPr="004C75C2" w:rsidRDefault="00A22A39" w:rsidP="00925328">
      <w:pPr>
        <w:suppressLineNumbers/>
        <w:jc w:val="center"/>
        <w:rPr>
          <w:rFonts w:ascii="Book Antiqua" w:hAnsi="Book Antiqua"/>
          <w:b/>
          <w:szCs w:val="24"/>
          <w:lang w:val="es-PR"/>
        </w:rPr>
      </w:pPr>
      <w:r w:rsidRPr="004C75C2">
        <w:rPr>
          <w:rFonts w:ascii="Book Antiqua" w:hAnsi="Book Antiqua"/>
          <w:b/>
          <w:szCs w:val="24"/>
          <w:lang w:val="es-PR"/>
        </w:rPr>
        <w:t>RESOLUCIÓN</w:t>
      </w:r>
    </w:p>
    <w:p w14:paraId="1FD2DCA9" w14:textId="77777777" w:rsidR="00A22A39" w:rsidRPr="004C75C2" w:rsidRDefault="00A22A39" w:rsidP="00925328">
      <w:pPr>
        <w:suppressLineNumbers/>
        <w:jc w:val="both"/>
        <w:rPr>
          <w:rFonts w:ascii="Book Antiqua" w:hAnsi="Book Antiqua"/>
          <w:szCs w:val="24"/>
          <w:lang w:val="es-PR"/>
        </w:rPr>
      </w:pPr>
    </w:p>
    <w:p w14:paraId="7E967E39" w14:textId="46574B51" w:rsidR="00713FE1" w:rsidRPr="004C75C2" w:rsidRDefault="00713FE1" w:rsidP="00A42F69">
      <w:pPr>
        <w:suppressLineNumbers/>
        <w:ind w:left="720" w:hanging="720"/>
        <w:jc w:val="both"/>
        <w:rPr>
          <w:rFonts w:ascii="Book Antiqua" w:hAnsi="Book Antiqua"/>
          <w:szCs w:val="24"/>
          <w:lang w:val="es-PR"/>
        </w:rPr>
      </w:pPr>
      <w:bookmarkStart w:id="0" w:name="_Hlk197921719"/>
      <w:r w:rsidRPr="004C75C2">
        <w:rPr>
          <w:rFonts w:ascii="Book Antiqua" w:hAnsi="Book Antiqua"/>
          <w:szCs w:val="24"/>
          <w:lang w:val="es-PR"/>
        </w:rPr>
        <w:t xml:space="preserve">Para ordenar a la Comisión de </w:t>
      </w:r>
      <w:r w:rsidR="002B519E" w:rsidRPr="004C75C2">
        <w:rPr>
          <w:rFonts w:ascii="Book Antiqua" w:hAnsi="Book Antiqua"/>
          <w:szCs w:val="24"/>
          <w:lang w:val="es-PR"/>
        </w:rPr>
        <w:t xml:space="preserve">Vivienda y Desarrollo Urbano </w:t>
      </w:r>
      <w:r w:rsidRPr="004C75C2">
        <w:rPr>
          <w:rFonts w:ascii="Book Antiqua" w:hAnsi="Book Antiqua"/>
          <w:szCs w:val="24"/>
          <w:lang w:val="es-PR"/>
        </w:rPr>
        <w:t xml:space="preserve">de la Cámara de Representantes de Puerto Rico </w:t>
      </w:r>
      <w:r w:rsidRPr="003B0375">
        <w:rPr>
          <w:rFonts w:ascii="Book Antiqua" w:hAnsi="Book Antiqua"/>
          <w:strike/>
          <w:szCs w:val="24"/>
          <w:lang w:val="es-PR"/>
        </w:rPr>
        <w:t>a</w:t>
      </w:r>
      <w:r w:rsidRPr="004C75C2">
        <w:rPr>
          <w:rFonts w:ascii="Book Antiqua" w:hAnsi="Book Antiqua"/>
          <w:szCs w:val="24"/>
          <w:lang w:val="es-PR"/>
        </w:rPr>
        <w:t xml:space="preserve"> realizar una investigación exhaustiva sobre </w:t>
      </w:r>
      <w:r w:rsidR="005154F0" w:rsidRPr="003C1AB9">
        <w:rPr>
          <w:rFonts w:ascii="Book Antiqua" w:hAnsi="Book Antiqua"/>
          <w:strike/>
          <w:szCs w:val="24"/>
          <w:lang w:val="es-PR"/>
        </w:rPr>
        <w:t>sobre</w:t>
      </w:r>
      <w:r w:rsidR="005154F0" w:rsidRPr="004C75C2">
        <w:rPr>
          <w:rFonts w:ascii="Book Antiqua" w:hAnsi="Book Antiqua"/>
          <w:szCs w:val="24"/>
          <w:lang w:val="es-PR"/>
        </w:rPr>
        <w:t xml:space="preserve"> los lanzamientos, desahucios, terminaciones de arrendamiento, remociones y/o radicaciones de casos de desahucio en vivienda pública, vivienda subsidiada</w:t>
      </w:r>
      <w:r w:rsidR="003C1AB9">
        <w:rPr>
          <w:rFonts w:ascii="Book Antiqua" w:hAnsi="Book Antiqua"/>
          <w:i/>
          <w:iCs/>
          <w:szCs w:val="24"/>
          <w:u w:val="single"/>
          <w:lang w:val="es-PR"/>
        </w:rPr>
        <w:t>, proyectos financiados bajo el Programa de Créditos Contributivos para Viviendas de Ingresos Bajos (LIHTC, por sus siglas en inglés)</w:t>
      </w:r>
      <w:r w:rsidR="005154F0" w:rsidRPr="004C75C2">
        <w:rPr>
          <w:rFonts w:ascii="Book Antiqua" w:hAnsi="Book Antiqua"/>
          <w:szCs w:val="24"/>
          <w:lang w:val="es-PR"/>
        </w:rPr>
        <w:t xml:space="preserve"> y égidas en Puerto Rico; con énfasis particular en las personas adultas mayores, sin excluir a otras poblaciones afectadas; evaluar los criterios, procedimientos y salvaguardas aplicables; examinar los mecanismos de prevención del desplazamiento y la provisión de servicios obligatorios; analizar la imposición de periodos de inelegibilidad para reingreso; y para otros fines relacionados.</w:t>
      </w:r>
      <w:r w:rsidRPr="003C1AB9">
        <w:rPr>
          <w:rFonts w:ascii="Book Antiqua" w:hAnsi="Book Antiqua"/>
          <w:strike/>
          <w:szCs w:val="24"/>
          <w:lang w:val="es-PR"/>
        </w:rPr>
        <w:t>.</w:t>
      </w:r>
    </w:p>
    <w:p w14:paraId="69E5C64B" w14:textId="3C9A53A0" w:rsidR="00A22A39" w:rsidRPr="004C75C2" w:rsidRDefault="00A22A39" w:rsidP="006914F5">
      <w:pPr>
        <w:suppressLineNumbers/>
        <w:ind w:left="720"/>
        <w:jc w:val="both"/>
        <w:rPr>
          <w:rFonts w:ascii="Book Antiqua" w:hAnsi="Book Antiqua"/>
          <w:szCs w:val="24"/>
          <w:lang w:val="es-PR"/>
        </w:rPr>
      </w:pPr>
    </w:p>
    <w:bookmarkEnd w:id="0"/>
    <w:p w14:paraId="2EF51EB6" w14:textId="77777777" w:rsidR="00A22A39" w:rsidRPr="004C75C2" w:rsidRDefault="00A22A39" w:rsidP="00925328">
      <w:pPr>
        <w:suppressLineNumbers/>
        <w:jc w:val="center"/>
        <w:rPr>
          <w:rFonts w:ascii="Book Antiqua" w:hAnsi="Book Antiqua"/>
          <w:szCs w:val="24"/>
          <w:lang w:val="es-PR"/>
        </w:rPr>
      </w:pPr>
      <w:r w:rsidRPr="004C75C2">
        <w:rPr>
          <w:rFonts w:ascii="Book Antiqua" w:hAnsi="Book Antiqua"/>
          <w:szCs w:val="24"/>
          <w:lang w:val="es-PR"/>
        </w:rPr>
        <w:t>EXPOSICIÓN DE MOTIVOS</w:t>
      </w:r>
    </w:p>
    <w:p w14:paraId="6C014FBD" w14:textId="77777777" w:rsidR="004028B6" w:rsidRPr="004C75C2" w:rsidRDefault="004028B6" w:rsidP="00925328">
      <w:pPr>
        <w:suppressLineNumbers/>
        <w:jc w:val="center"/>
        <w:rPr>
          <w:rFonts w:ascii="Book Antiqua" w:hAnsi="Book Antiqua"/>
          <w:szCs w:val="24"/>
          <w:lang w:val="es-PR"/>
        </w:rPr>
      </w:pPr>
    </w:p>
    <w:p w14:paraId="6861DEDF" w14:textId="1CAD7919" w:rsidR="005154F0" w:rsidRPr="00DA20B4" w:rsidRDefault="000955D7" w:rsidP="005154F0">
      <w:pPr>
        <w:suppressLineNumbers/>
        <w:jc w:val="both"/>
        <w:rPr>
          <w:rFonts w:ascii="Book Antiqua" w:hAnsi="Book Antiqua"/>
          <w:lang w:val="es-PR"/>
        </w:rPr>
      </w:pPr>
      <w:r w:rsidRPr="004C75C2">
        <w:rPr>
          <w:rFonts w:ascii="Book Antiqua" w:hAnsi="Book Antiqua"/>
          <w:szCs w:val="24"/>
          <w:lang w:val="es-PR"/>
        </w:rPr>
        <w:tab/>
      </w:r>
      <w:r w:rsidR="005154F0" w:rsidRPr="004C75C2">
        <w:rPr>
          <w:rFonts w:ascii="Book Antiqua" w:hAnsi="Book Antiqua"/>
          <w:lang w:val="es-PR"/>
        </w:rPr>
        <w:t>La vivienda digna, segura y estable constituye un eje esencial de la política pública del Estado. En Puerto Rico, la vivienda pública, la vivienda subsidiada y las égidas no representan meros contratos de arrendamiento, sino instrumentos diseñados para garantizar estabilidad residencial y prevenir el desplazamiento de personas de escasos recursos.</w:t>
      </w:r>
      <w:r w:rsidR="00DA20B4">
        <w:rPr>
          <w:rFonts w:ascii="Book Antiqua" w:hAnsi="Book Antiqua"/>
          <w:lang w:val="es-PR"/>
        </w:rPr>
        <w:t xml:space="preserve"> </w:t>
      </w:r>
      <w:r w:rsidR="00DA20B4" w:rsidRPr="00DA20B4">
        <w:rPr>
          <w:rFonts w:ascii="Book Antiqua" w:hAnsi="Book Antiqua"/>
          <w:i/>
          <w:iCs/>
          <w:u w:val="single"/>
          <w:lang w:val="es-PR"/>
        </w:rPr>
        <w:t>Esta premisa incluye de igual forma a los proyectos desarrollados mediante el Programa de Créditos Contributivos para Viviendas de Ingresos Bajos (LIHTC), los cuales reciben subsidios e incentivos gubernamentales esenciales.</w:t>
      </w:r>
    </w:p>
    <w:p w14:paraId="5152B566" w14:textId="77777777" w:rsidR="005154F0" w:rsidRPr="004C75C2" w:rsidRDefault="005154F0" w:rsidP="005154F0">
      <w:pPr>
        <w:suppressLineNumbers/>
        <w:jc w:val="both"/>
        <w:rPr>
          <w:rFonts w:ascii="Book Antiqua" w:hAnsi="Book Antiqua"/>
          <w:lang w:val="es-PR"/>
        </w:rPr>
      </w:pPr>
    </w:p>
    <w:p w14:paraId="0DB00CDF" w14:textId="77777777" w:rsidR="005154F0" w:rsidRPr="004C75C2" w:rsidRDefault="005154F0" w:rsidP="00DA20B4">
      <w:pPr>
        <w:suppressLineNumbers/>
        <w:ind w:firstLine="720"/>
        <w:jc w:val="both"/>
        <w:rPr>
          <w:rFonts w:ascii="Book Antiqua" w:hAnsi="Book Antiqua"/>
          <w:szCs w:val="24"/>
          <w:lang w:val="es-PR"/>
        </w:rPr>
      </w:pPr>
      <w:r w:rsidRPr="004C75C2">
        <w:rPr>
          <w:rFonts w:ascii="Book Antiqua" w:hAnsi="Book Antiqua"/>
          <w:szCs w:val="24"/>
          <w:lang w:val="es-PR"/>
        </w:rPr>
        <w:t xml:space="preserve">Las entidades que administran estos proyectos —ya sean agencias gubernamentales, corporaciones públicas o entidades privadas— ejercen una función </w:t>
      </w:r>
      <w:r w:rsidRPr="004C75C2">
        <w:rPr>
          <w:rFonts w:ascii="Book Antiqua" w:hAnsi="Book Antiqua"/>
          <w:szCs w:val="24"/>
          <w:lang w:val="es-PR"/>
        </w:rPr>
        <w:lastRenderedPageBreak/>
        <w:t>delegada de política pública, y no una gestión puramente administrativa. Sus decisiones, particularmente aquellas relacionadas con la terminación de contratos de arrendamiento o la radicación de casos de desahucio, tienen un impacto directo sobre derechos fundamentales y sobre la ejecución misma de la política pública de vivienda.</w:t>
      </w:r>
    </w:p>
    <w:p w14:paraId="20035229" w14:textId="77777777" w:rsidR="005154F0" w:rsidRPr="004C75C2" w:rsidRDefault="005154F0" w:rsidP="005154F0">
      <w:pPr>
        <w:suppressLineNumbers/>
        <w:jc w:val="both"/>
        <w:rPr>
          <w:rFonts w:ascii="Book Antiqua" w:hAnsi="Book Antiqua"/>
          <w:szCs w:val="24"/>
          <w:lang w:val="es-PR"/>
        </w:rPr>
      </w:pPr>
    </w:p>
    <w:p w14:paraId="35EA8427" w14:textId="77777777" w:rsidR="005154F0" w:rsidRPr="004C75C2" w:rsidRDefault="005154F0" w:rsidP="002D5BED">
      <w:pPr>
        <w:suppressLineNumbers/>
        <w:ind w:firstLine="720"/>
        <w:jc w:val="both"/>
        <w:rPr>
          <w:rFonts w:ascii="Book Antiqua" w:hAnsi="Book Antiqua"/>
          <w:szCs w:val="24"/>
          <w:lang w:val="es-PR"/>
        </w:rPr>
      </w:pPr>
      <w:r w:rsidRPr="004C75C2">
        <w:rPr>
          <w:rFonts w:ascii="Book Antiqua" w:hAnsi="Book Antiqua"/>
          <w:szCs w:val="24"/>
          <w:lang w:val="es-PR"/>
        </w:rPr>
        <w:t>La pérdida de vivienda afecta de manera desproporcionada a las personas adultas mayores, quienes enfrentan ingresos fijos, condiciones de salud y mayores barreras para reubicarse. No obstante, estas prácticas también impactan a otras poblaciones residentes en vivienda pública y subsidiada, incluyendo familias con menores de edad, personas con discapacidad y mujeres jefas de familia. Por ello, esta investigación prioriza a las personas adultas mayores, sin limitar su alcance a una sola población.</w:t>
      </w:r>
    </w:p>
    <w:p w14:paraId="0100AA00" w14:textId="77777777" w:rsidR="005154F0" w:rsidRPr="004C75C2" w:rsidRDefault="005154F0" w:rsidP="005154F0">
      <w:pPr>
        <w:suppressLineNumbers/>
        <w:jc w:val="both"/>
        <w:rPr>
          <w:rFonts w:ascii="Book Antiqua" w:hAnsi="Book Antiqua"/>
          <w:szCs w:val="24"/>
          <w:lang w:val="es-PR"/>
        </w:rPr>
      </w:pPr>
    </w:p>
    <w:p w14:paraId="00DCAE67" w14:textId="756FF7A6" w:rsidR="005154F0" w:rsidRPr="004C75C2" w:rsidRDefault="005154F0" w:rsidP="002D5BED">
      <w:pPr>
        <w:suppressLineNumbers/>
        <w:ind w:firstLine="720"/>
        <w:jc w:val="both"/>
        <w:rPr>
          <w:rFonts w:ascii="Book Antiqua" w:hAnsi="Book Antiqua"/>
          <w:szCs w:val="24"/>
          <w:lang w:val="es-PR"/>
        </w:rPr>
      </w:pPr>
      <w:r w:rsidRPr="004C75C2">
        <w:rPr>
          <w:rFonts w:ascii="Book Antiqua" w:hAnsi="Book Antiqua"/>
          <w:szCs w:val="24"/>
          <w:lang w:val="es-PR"/>
        </w:rPr>
        <w:t xml:space="preserve">Diversos señalamientos públicos han evidenciado la magnitud de las radicaciones de desahucio, deficiencias en los procesos de notificación, </w:t>
      </w:r>
      <w:r w:rsidR="002D5BED" w:rsidRPr="002D5BED">
        <w:rPr>
          <w:rFonts w:ascii="Book Antiqua" w:hAnsi="Book Antiqua"/>
          <w:i/>
          <w:iCs/>
          <w:szCs w:val="24"/>
          <w:u w:val="single"/>
          <w:lang w:val="es-PR"/>
        </w:rPr>
        <w:t>fallas en la provisión de acomodos razonables</w:t>
      </w:r>
      <w:r w:rsidR="002D5BED" w:rsidRPr="002D5BED">
        <w:rPr>
          <w:rFonts w:ascii="Book Antiqua" w:hAnsi="Book Antiqua"/>
          <w:i/>
          <w:iCs/>
          <w:szCs w:val="24"/>
          <w:u w:val="single"/>
          <w:lang w:val="es-PR"/>
        </w:rPr>
        <w:t>,</w:t>
      </w:r>
      <w:r w:rsidR="002D5BED">
        <w:rPr>
          <w:rFonts w:ascii="Book Antiqua" w:hAnsi="Book Antiqua"/>
          <w:szCs w:val="24"/>
          <w:lang w:val="es-PR"/>
        </w:rPr>
        <w:t xml:space="preserve"> </w:t>
      </w:r>
      <w:r w:rsidRPr="004C75C2">
        <w:rPr>
          <w:rFonts w:ascii="Book Antiqua" w:hAnsi="Book Antiqua"/>
          <w:szCs w:val="24"/>
          <w:lang w:val="es-PR"/>
        </w:rPr>
        <w:t>ausencia o insuficiencia de servicios obligatorios de orientación y prevención, y una fragmentación en la respuesta del Estado. Además, la mera radicación de un caso de desahucio —aunque no culmine en un lanzamiento ejecutado— puede afectar el historial de vivienda de una persona y limitar su acceso futuro a alternativas habitacionales, lo cual podría contradecir el propósito protector de la vivienda pública o subsidiada.</w:t>
      </w:r>
    </w:p>
    <w:p w14:paraId="501DF714" w14:textId="77777777" w:rsidR="005154F0" w:rsidRPr="004C75C2" w:rsidRDefault="005154F0" w:rsidP="005154F0">
      <w:pPr>
        <w:suppressLineNumbers/>
        <w:jc w:val="both"/>
        <w:rPr>
          <w:rFonts w:ascii="Book Antiqua" w:hAnsi="Book Antiqua"/>
          <w:szCs w:val="24"/>
          <w:lang w:val="es-PR"/>
        </w:rPr>
      </w:pPr>
    </w:p>
    <w:p w14:paraId="2D1B5DEA" w14:textId="51BD556B" w:rsidR="005154F0" w:rsidRPr="004C75C2" w:rsidRDefault="005154F0" w:rsidP="002D5BED">
      <w:pPr>
        <w:suppressLineNumbers/>
        <w:ind w:firstLine="720"/>
        <w:jc w:val="both"/>
        <w:rPr>
          <w:rFonts w:ascii="Book Antiqua" w:hAnsi="Book Antiqua"/>
          <w:szCs w:val="24"/>
          <w:lang w:val="es-PR"/>
        </w:rPr>
      </w:pPr>
      <w:r w:rsidRPr="004C75C2">
        <w:rPr>
          <w:rFonts w:ascii="Book Antiqua" w:hAnsi="Book Antiqua"/>
          <w:szCs w:val="24"/>
          <w:lang w:val="es-PR"/>
        </w:rPr>
        <w:t>Ante este panorama, corresponde a la Cámara de Representantes de Puerto Rico examinar si las entidades administradoras están cumpliendo con su función de política pública; si los procesos de terminación de contratos y desahucio se alinean con los principios de prevención, proporcionalidad y debido proceso; y si el Estado está actuando de manera efectiva para evitar desplazamientos prevenibles y el aumento del sinhogarismo.</w:t>
      </w:r>
    </w:p>
    <w:p w14:paraId="2316F9EB" w14:textId="0DEEB234" w:rsidR="005E57DD" w:rsidRPr="004C75C2" w:rsidRDefault="000955D7" w:rsidP="005154F0">
      <w:pPr>
        <w:suppressLineNumbers/>
        <w:jc w:val="both"/>
        <w:rPr>
          <w:rFonts w:ascii="Book Antiqua" w:hAnsi="Book Antiqua"/>
          <w:i/>
          <w:szCs w:val="24"/>
          <w:lang w:val="es-PR"/>
        </w:rPr>
      </w:pPr>
      <w:r w:rsidRPr="004C75C2">
        <w:rPr>
          <w:rFonts w:ascii="Book Antiqua" w:hAnsi="Book Antiqua"/>
          <w:szCs w:val="24"/>
          <w:lang w:val="es-PR"/>
        </w:rPr>
        <w:t xml:space="preserve"> </w:t>
      </w:r>
    </w:p>
    <w:p w14:paraId="4EFC7BC4" w14:textId="06FCFDED" w:rsidR="00A22A39" w:rsidRPr="004C75C2" w:rsidRDefault="00A22A39" w:rsidP="00925328">
      <w:pPr>
        <w:suppressLineNumbers/>
        <w:spacing w:line="480" w:lineRule="auto"/>
        <w:rPr>
          <w:rFonts w:ascii="Book Antiqua" w:hAnsi="Book Antiqua"/>
          <w:szCs w:val="24"/>
          <w:lang w:val="es-PR"/>
        </w:rPr>
      </w:pPr>
      <w:r w:rsidRPr="004C75C2">
        <w:rPr>
          <w:rFonts w:ascii="Book Antiqua" w:hAnsi="Book Antiqua"/>
          <w:i/>
          <w:szCs w:val="24"/>
          <w:lang w:val="es-PR"/>
        </w:rPr>
        <w:t>RESUÉLVESE POR LA CÁMARA DE REPRESENTANTES DE PUERTO RICO:</w:t>
      </w:r>
    </w:p>
    <w:p w14:paraId="60E9C7C8" w14:textId="64F56AB9" w:rsidR="005154F0" w:rsidRPr="006A5706" w:rsidRDefault="005154F0" w:rsidP="005154F0">
      <w:pPr>
        <w:spacing w:line="480" w:lineRule="auto"/>
        <w:ind w:firstLine="720"/>
        <w:jc w:val="both"/>
        <w:rPr>
          <w:rFonts w:ascii="Book Antiqua" w:hAnsi="Book Antiqua"/>
          <w:strike/>
          <w:szCs w:val="24"/>
          <w:lang w:val="es-PR"/>
        </w:rPr>
      </w:pPr>
      <w:r w:rsidRPr="004C75C2">
        <w:rPr>
          <w:rFonts w:ascii="Book Antiqua" w:hAnsi="Book Antiqua"/>
          <w:szCs w:val="24"/>
          <w:lang w:val="es-PR"/>
        </w:rPr>
        <w:t>Sección 1.-Se ordena a la Comisión de Vivienda y Desarrollo Urbano de la Cámara de Representantes de Puerto Rico realizar una investigación exhaustiva sobre los lanzamientos, desahucios, terminaciones de arrendamiento, remociones y/o radicaciones de casos de desahucio en vivienda pública, vivienda subsidiada</w:t>
      </w:r>
      <w:r w:rsidR="006A5706" w:rsidRPr="006A5706">
        <w:rPr>
          <w:rFonts w:ascii="Book Antiqua" w:hAnsi="Book Antiqua"/>
          <w:i/>
          <w:iCs/>
          <w:szCs w:val="24"/>
          <w:u w:val="single"/>
          <w:lang w:val="es-PR"/>
        </w:rPr>
        <w:t>, proyectos financiados bajo el Programa de Créditos Contributivos para Viviendas de Ingresos Bajos (LIHTC, por sus siglas en inglés)</w:t>
      </w:r>
      <w:r w:rsidRPr="004C75C2">
        <w:rPr>
          <w:rFonts w:ascii="Book Antiqua" w:hAnsi="Book Antiqua"/>
          <w:szCs w:val="24"/>
          <w:lang w:val="es-PR"/>
        </w:rPr>
        <w:t xml:space="preserve"> y égidas</w:t>
      </w:r>
      <w:r w:rsidRPr="006A5706">
        <w:rPr>
          <w:rFonts w:ascii="Book Antiqua" w:hAnsi="Book Antiqua"/>
          <w:strike/>
          <w:szCs w:val="24"/>
          <w:lang w:val="es-PR"/>
        </w:rPr>
        <w:t>, con énfasis en los casos que afectan a personas adultas mayores, sin excluir a otras poblaciones residentes, incluyendo —sin limitarse—:</w:t>
      </w:r>
    </w:p>
    <w:p w14:paraId="04182792" w14:textId="1C388F9A" w:rsidR="006A5706" w:rsidRPr="006A5706" w:rsidRDefault="005154F0" w:rsidP="006A5706">
      <w:pPr>
        <w:spacing w:line="480" w:lineRule="auto"/>
        <w:ind w:firstLine="720"/>
        <w:jc w:val="both"/>
        <w:rPr>
          <w:rFonts w:ascii="Book Antiqua" w:hAnsi="Book Antiqua"/>
          <w:i/>
          <w:iCs/>
          <w:szCs w:val="24"/>
          <w:u w:val="single"/>
          <w:lang w:val="es-PR"/>
        </w:rPr>
      </w:pPr>
      <w:r w:rsidRPr="006A5706">
        <w:rPr>
          <w:rFonts w:ascii="Book Antiqua" w:hAnsi="Book Antiqua"/>
          <w:strike/>
          <w:szCs w:val="24"/>
          <w:lang w:val="es-PR"/>
        </w:rPr>
        <w:lastRenderedPageBreak/>
        <w:t>a) La cantidad y naturaleza de notificaciones, radicaciones, sentencias y lanzamientos, desglosadas por año, proyecto, programa y entidad administradora; b) Los criterios y prácticas utilizadas para determinar incumplimientos y proceder con la terminación de contratos, evaluando su consistencia con la política pública de vivienda; c) La existencia y efectividad de mecanismos obligatorios de prevención del desplazamiento, tales como orientación temprana, planes de pago, mediación, acomodos razonables y referidos a servicios; d) La imposición de periodos de inelegibilidad para reingreso, su base legal y su impacto en la estabilidad residencial; y e) El impacto de estas prácticas sobre el sinhogarismo y la protección de poblaciones vulnerables.</w:t>
      </w:r>
      <w:r w:rsidR="006A5706" w:rsidRPr="006A5706">
        <w:rPr>
          <w:rFonts w:ascii="Book Antiqua" w:hAnsi="Book Antiqua"/>
          <w:szCs w:val="24"/>
          <w:lang w:val="es-PR"/>
        </w:rPr>
        <w:t xml:space="preserve"> </w:t>
      </w:r>
      <w:r w:rsidR="006A5706">
        <w:rPr>
          <w:rFonts w:ascii="Book Antiqua" w:hAnsi="Book Antiqua"/>
          <w:i/>
          <w:iCs/>
          <w:szCs w:val="24"/>
          <w:u w:val="single"/>
          <w:lang w:val="es-PR"/>
        </w:rPr>
        <w:t>en Puerto Rico</w:t>
      </w:r>
      <w:r w:rsidR="006A5706" w:rsidRPr="006A5706">
        <w:rPr>
          <w:rFonts w:ascii="Book Antiqua" w:hAnsi="Book Antiqua"/>
          <w:i/>
          <w:iCs/>
          <w:szCs w:val="24"/>
          <w:u w:val="single"/>
          <w:lang w:val="es-PR"/>
        </w:rPr>
        <w:t xml:space="preserve">; con énfasis particular en las personas adultas mayores, sin excluir a otras poblaciones afectadas; evaluar los criterios, procedimientos y salvaguardas aplicables; examinar los mecanismos de prevención del desplazamiento y la provisión de servicios obligatorios; </w:t>
      </w:r>
      <w:r w:rsidR="006A5706">
        <w:rPr>
          <w:rFonts w:ascii="Book Antiqua" w:hAnsi="Book Antiqua"/>
          <w:i/>
          <w:iCs/>
          <w:szCs w:val="24"/>
          <w:u w:val="single"/>
          <w:lang w:val="es-PR"/>
        </w:rPr>
        <w:t xml:space="preserve">y </w:t>
      </w:r>
      <w:r w:rsidR="006A5706" w:rsidRPr="006A5706">
        <w:rPr>
          <w:rFonts w:ascii="Book Antiqua" w:hAnsi="Book Antiqua"/>
          <w:i/>
          <w:iCs/>
          <w:szCs w:val="24"/>
          <w:u w:val="single"/>
          <w:lang w:val="es-PR"/>
        </w:rPr>
        <w:t>analizar la imposición de periodos de inelegibilidad para reingreso</w:t>
      </w:r>
      <w:r w:rsidR="006A5706">
        <w:rPr>
          <w:rFonts w:ascii="Book Antiqua" w:hAnsi="Book Antiqua"/>
          <w:i/>
          <w:iCs/>
          <w:szCs w:val="24"/>
          <w:u w:val="single"/>
          <w:lang w:val="es-PR"/>
        </w:rPr>
        <w:t>.</w:t>
      </w:r>
    </w:p>
    <w:p w14:paraId="0057A006" w14:textId="0F1EFC82" w:rsidR="005154F0" w:rsidRDefault="005154F0" w:rsidP="005154F0">
      <w:pPr>
        <w:spacing w:line="480" w:lineRule="auto"/>
        <w:ind w:firstLine="720"/>
        <w:jc w:val="both"/>
        <w:rPr>
          <w:rFonts w:ascii="Book Antiqua" w:hAnsi="Book Antiqua"/>
          <w:szCs w:val="24"/>
          <w:lang w:val="es-PR"/>
        </w:rPr>
      </w:pPr>
      <w:r w:rsidRPr="004C75C2">
        <w:rPr>
          <w:rFonts w:ascii="Book Antiqua" w:hAnsi="Book Antiqua"/>
          <w:szCs w:val="24"/>
          <w:lang w:val="es-PR"/>
        </w:rPr>
        <w:t>Sección 2.-Como parte de esta investigación, la Comisión podrá requerir información, documentos y comparecencias del Departamento de la Vivienda de Puerto Rico, la Administración de Vivienda Pública (AVP), los administradores de vivienda subsidiada y de égidas, la Administración de Servicios de Salud Mental y Contra la Adicción (ASSMCA), la Procuraduría de las Personas de Edad Avanzada, la Rama Judicial de Puerto Rico, así como de organizaciones de servicios legales y comunitarios.</w:t>
      </w:r>
    </w:p>
    <w:p w14:paraId="32F2CA8F" w14:textId="10FA877A" w:rsidR="006A5706" w:rsidRPr="006A5706" w:rsidRDefault="006A5706" w:rsidP="006A5706">
      <w:pPr>
        <w:spacing w:line="480" w:lineRule="auto"/>
        <w:ind w:firstLine="720"/>
        <w:jc w:val="both"/>
        <w:rPr>
          <w:rFonts w:ascii="Book Antiqua" w:hAnsi="Book Antiqua"/>
          <w:i/>
          <w:iCs/>
          <w:szCs w:val="24"/>
          <w:u w:val="single"/>
          <w:lang w:val="es-PR"/>
        </w:rPr>
      </w:pPr>
      <w:r>
        <w:rPr>
          <w:rFonts w:ascii="Book Antiqua" w:hAnsi="Book Antiqua"/>
          <w:i/>
          <w:iCs/>
          <w:szCs w:val="24"/>
          <w:u w:val="single"/>
          <w:lang w:val="es-PR"/>
        </w:rPr>
        <w:t xml:space="preserve">Sección 3.-La Comisión brindará un </w:t>
      </w:r>
      <w:r w:rsidRPr="006A5706">
        <w:rPr>
          <w:rFonts w:ascii="Book Antiqua" w:hAnsi="Book Antiqua"/>
          <w:i/>
          <w:iCs/>
          <w:szCs w:val="24"/>
          <w:u w:val="single"/>
          <w:lang w:val="es-PR"/>
        </w:rPr>
        <w:t xml:space="preserve">énfasis </w:t>
      </w:r>
      <w:r>
        <w:rPr>
          <w:rFonts w:ascii="Book Antiqua" w:hAnsi="Book Antiqua"/>
          <w:i/>
          <w:iCs/>
          <w:szCs w:val="24"/>
          <w:u w:val="single"/>
          <w:lang w:val="es-PR"/>
        </w:rPr>
        <w:t>a</w:t>
      </w:r>
      <w:r w:rsidRPr="006A5706">
        <w:rPr>
          <w:rFonts w:ascii="Book Antiqua" w:hAnsi="Book Antiqua"/>
          <w:i/>
          <w:iCs/>
          <w:szCs w:val="24"/>
          <w:u w:val="single"/>
          <w:lang w:val="es-PR"/>
        </w:rPr>
        <w:t xml:space="preserve"> los casos que afectan a personas adultas mayores, sin excluir a otras poblaciones residentes, incluyendo —sin limitarse—:</w:t>
      </w:r>
    </w:p>
    <w:p w14:paraId="7C8EC377" w14:textId="7143B832" w:rsidR="006A5706" w:rsidRDefault="006A5706" w:rsidP="006A5706">
      <w:pPr>
        <w:pStyle w:val="ListParagraph"/>
        <w:numPr>
          <w:ilvl w:val="0"/>
          <w:numId w:val="4"/>
        </w:numPr>
        <w:spacing w:line="480" w:lineRule="auto"/>
        <w:jc w:val="both"/>
        <w:rPr>
          <w:rFonts w:ascii="Book Antiqua" w:hAnsi="Book Antiqua"/>
          <w:i/>
          <w:iCs/>
          <w:szCs w:val="24"/>
          <w:u w:val="single"/>
          <w:lang w:val="es-PR"/>
        </w:rPr>
      </w:pPr>
      <w:r w:rsidRPr="006A5706">
        <w:rPr>
          <w:rFonts w:ascii="Book Antiqua" w:hAnsi="Book Antiqua"/>
          <w:i/>
          <w:iCs/>
          <w:szCs w:val="24"/>
          <w:u w:val="single"/>
          <w:lang w:val="es-PR"/>
        </w:rPr>
        <w:lastRenderedPageBreak/>
        <w:t xml:space="preserve">La cantidad y naturaleza de notificaciones, radicaciones, sentencias y lanzamientos, desglosadas por año, proyecto, programa y entidad administradora; </w:t>
      </w:r>
    </w:p>
    <w:p w14:paraId="039B602F" w14:textId="77777777" w:rsidR="006A5706" w:rsidRDefault="006A5706" w:rsidP="006A5706">
      <w:pPr>
        <w:pStyle w:val="ListParagraph"/>
        <w:numPr>
          <w:ilvl w:val="0"/>
          <w:numId w:val="4"/>
        </w:numPr>
        <w:spacing w:line="480" w:lineRule="auto"/>
        <w:jc w:val="both"/>
        <w:rPr>
          <w:rFonts w:ascii="Book Antiqua" w:hAnsi="Book Antiqua"/>
          <w:i/>
          <w:iCs/>
          <w:szCs w:val="24"/>
          <w:u w:val="single"/>
          <w:lang w:val="es-PR"/>
        </w:rPr>
      </w:pPr>
      <w:r w:rsidRPr="006A5706">
        <w:rPr>
          <w:rFonts w:ascii="Book Antiqua" w:hAnsi="Book Antiqua"/>
          <w:i/>
          <w:iCs/>
          <w:szCs w:val="24"/>
          <w:u w:val="single"/>
          <w:lang w:val="es-PR"/>
        </w:rPr>
        <w:t xml:space="preserve">Los criterios y prácticas utilizadas para determinar incumplimientos y proceder con la terminación de contratos, evaluando su consistencia con la política pública de vivienda; </w:t>
      </w:r>
    </w:p>
    <w:p w14:paraId="725AD8AA" w14:textId="77777777" w:rsidR="006A5706" w:rsidRDefault="006A5706" w:rsidP="006A5706">
      <w:pPr>
        <w:pStyle w:val="ListParagraph"/>
        <w:numPr>
          <w:ilvl w:val="0"/>
          <w:numId w:val="4"/>
        </w:numPr>
        <w:spacing w:line="480" w:lineRule="auto"/>
        <w:jc w:val="both"/>
        <w:rPr>
          <w:rFonts w:ascii="Book Antiqua" w:hAnsi="Book Antiqua"/>
          <w:i/>
          <w:iCs/>
          <w:szCs w:val="24"/>
          <w:u w:val="single"/>
          <w:lang w:val="es-PR"/>
        </w:rPr>
      </w:pPr>
      <w:r w:rsidRPr="006A5706">
        <w:rPr>
          <w:rFonts w:ascii="Book Antiqua" w:hAnsi="Book Antiqua"/>
          <w:i/>
          <w:iCs/>
          <w:szCs w:val="24"/>
          <w:u w:val="single"/>
          <w:lang w:val="es-PR"/>
        </w:rPr>
        <w:t xml:space="preserve">La existencia y efectividad de mecanismos obligatorios de prevención del desplazamiento, tales como orientación temprana, planes de pago, mediación, acomodos razonables y referidos a servicios; </w:t>
      </w:r>
    </w:p>
    <w:p w14:paraId="40D286F3" w14:textId="77777777" w:rsidR="006A5706" w:rsidRDefault="006A5706" w:rsidP="006A5706">
      <w:pPr>
        <w:pStyle w:val="ListParagraph"/>
        <w:numPr>
          <w:ilvl w:val="0"/>
          <w:numId w:val="4"/>
        </w:numPr>
        <w:spacing w:line="480" w:lineRule="auto"/>
        <w:jc w:val="both"/>
        <w:rPr>
          <w:rFonts w:ascii="Book Antiqua" w:hAnsi="Book Antiqua"/>
          <w:i/>
          <w:iCs/>
          <w:szCs w:val="24"/>
          <w:u w:val="single"/>
          <w:lang w:val="es-PR"/>
        </w:rPr>
      </w:pPr>
      <w:r w:rsidRPr="006A5706">
        <w:rPr>
          <w:rFonts w:ascii="Book Antiqua" w:hAnsi="Book Antiqua"/>
          <w:i/>
          <w:iCs/>
          <w:szCs w:val="24"/>
          <w:u w:val="single"/>
          <w:lang w:val="es-PR"/>
        </w:rPr>
        <w:t xml:space="preserve">La imposición de periodos de inelegibilidad para reingreso, su base legal y su impacto en la estabilidad residencial; y </w:t>
      </w:r>
    </w:p>
    <w:p w14:paraId="529CAB47" w14:textId="5D5B5BD6" w:rsidR="006A5706" w:rsidRPr="006A5706" w:rsidRDefault="006A5706" w:rsidP="006A5706">
      <w:pPr>
        <w:pStyle w:val="ListParagraph"/>
        <w:numPr>
          <w:ilvl w:val="0"/>
          <w:numId w:val="4"/>
        </w:numPr>
        <w:spacing w:line="480" w:lineRule="auto"/>
        <w:jc w:val="both"/>
        <w:rPr>
          <w:rFonts w:ascii="Book Antiqua" w:hAnsi="Book Antiqua"/>
          <w:i/>
          <w:iCs/>
          <w:szCs w:val="24"/>
          <w:u w:val="single"/>
          <w:lang w:val="es-PR"/>
        </w:rPr>
      </w:pPr>
      <w:r w:rsidRPr="006A5706">
        <w:rPr>
          <w:rFonts w:ascii="Book Antiqua" w:hAnsi="Book Antiqua"/>
          <w:i/>
          <w:iCs/>
          <w:szCs w:val="24"/>
          <w:u w:val="single"/>
          <w:lang w:val="es-PR"/>
        </w:rPr>
        <w:t>El impacto de estas prácticas sobre el sinhogarismo y la protección de poblaciones vulnerables.</w:t>
      </w:r>
    </w:p>
    <w:p w14:paraId="33593ADF" w14:textId="78D27DD9" w:rsidR="00A22A39" w:rsidRPr="004C75C2" w:rsidRDefault="00A22A39" w:rsidP="005E57DD">
      <w:pPr>
        <w:spacing w:line="480" w:lineRule="auto"/>
        <w:ind w:firstLine="720"/>
        <w:jc w:val="both"/>
        <w:rPr>
          <w:rFonts w:ascii="Book Antiqua" w:hAnsi="Book Antiqua"/>
          <w:szCs w:val="24"/>
          <w:lang w:val="es-PR"/>
        </w:rPr>
      </w:pPr>
      <w:r w:rsidRPr="004C75C2">
        <w:rPr>
          <w:rFonts w:ascii="Book Antiqua" w:hAnsi="Book Antiqua"/>
          <w:szCs w:val="24"/>
          <w:lang w:val="es-PR"/>
        </w:rPr>
        <w:t xml:space="preserve">Sección </w:t>
      </w:r>
      <w:r w:rsidR="005154F0" w:rsidRPr="006A5706">
        <w:rPr>
          <w:rFonts w:ascii="Book Antiqua" w:hAnsi="Book Antiqua"/>
          <w:strike/>
          <w:szCs w:val="24"/>
          <w:lang w:val="es-PR"/>
        </w:rPr>
        <w:t>3</w:t>
      </w:r>
      <w:r w:rsidRPr="006A5706">
        <w:rPr>
          <w:rFonts w:ascii="Book Antiqua" w:hAnsi="Book Antiqua"/>
          <w:strike/>
          <w:szCs w:val="24"/>
          <w:lang w:val="es-PR"/>
        </w:rPr>
        <w:t>.</w:t>
      </w:r>
      <w:r w:rsidR="006A5706" w:rsidRPr="006A5706">
        <w:rPr>
          <w:rFonts w:ascii="Book Antiqua" w:hAnsi="Book Antiqua"/>
          <w:i/>
          <w:iCs/>
          <w:szCs w:val="24"/>
          <w:u w:val="single"/>
          <w:lang w:val="es-PR"/>
        </w:rPr>
        <w:t>4.</w:t>
      </w:r>
      <w:r w:rsidRPr="004C75C2">
        <w:rPr>
          <w:rFonts w:ascii="Book Antiqua" w:hAnsi="Book Antiqua"/>
          <w:szCs w:val="24"/>
          <w:lang w:val="es-PR"/>
        </w:rPr>
        <w:t>-La Comisión</w:t>
      </w:r>
      <w:r w:rsidR="009C2609" w:rsidRPr="004C75C2">
        <w:rPr>
          <w:rFonts w:ascii="Book Antiqua" w:hAnsi="Book Antiqua"/>
          <w:szCs w:val="24"/>
          <w:lang w:val="es-PR"/>
        </w:rPr>
        <w:t>, además,</w:t>
      </w:r>
      <w:r w:rsidRPr="004C75C2">
        <w:rPr>
          <w:rFonts w:ascii="Book Antiqua" w:hAnsi="Book Antiqua"/>
          <w:szCs w:val="24"/>
          <w:lang w:val="es-PR"/>
        </w:rPr>
        <w:t xml:space="preserve"> podrá </w:t>
      </w:r>
      <w:r w:rsidR="00526FB1" w:rsidRPr="004C75C2">
        <w:rPr>
          <w:rFonts w:ascii="Book Antiqua" w:hAnsi="Book Antiqua"/>
          <w:szCs w:val="24"/>
          <w:lang w:val="es-PR"/>
        </w:rPr>
        <w:t xml:space="preserve">celebrar vistas públicas, </w:t>
      </w:r>
      <w:r w:rsidRPr="004C75C2">
        <w:rPr>
          <w:rFonts w:ascii="Book Antiqua" w:hAnsi="Book Antiqua"/>
          <w:szCs w:val="24"/>
          <w:lang w:val="es-PR"/>
        </w:rPr>
        <w:t xml:space="preserve">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r w:rsidR="00526FB1" w:rsidRPr="004C75C2">
        <w:rPr>
          <w:rFonts w:ascii="Book Antiqua" w:hAnsi="Book Antiqua"/>
          <w:szCs w:val="24"/>
          <w:lang w:val="es-PR"/>
        </w:rPr>
        <w:t xml:space="preserve">  </w:t>
      </w:r>
    </w:p>
    <w:p w14:paraId="4F6C5464" w14:textId="6EA09655" w:rsidR="00980409" w:rsidRPr="004C75C2" w:rsidRDefault="00A22A39" w:rsidP="00980409">
      <w:pPr>
        <w:spacing w:line="480" w:lineRule="auto"/>
        <w:ind w:firstLine="708"/>
        <w:jc w:val="both"/>
        <w:rPr>
          <w:rFonts w:ascii="Book Antiqua" w:hAnsi="Book Antiqua"/>
          <w:szCs w:val="24"/>
          <w:lang w:val="es-PR"/>
        </w:rPr>
      </w:pPr>
      <w:r w:rsidRPr="004C75C2">
        <w:rPr>
          <w:rFonts w:ascii="Book Antiqua" w:hAnsi="Book Antiqua"/>
          <w:szCs w:val="24"/>
          <w:lang w:val="es-PR"/>
        </w:rPr>
        <w:t xml:space="preserve">Sección </w:t>
      </w:r>
      <w:r w:rsidR="005154F0" w:rsidRPr="006A5706">
        <w:rPr>
          <w:rFonts w:ascii="Book Antiqua" w:hAnsi="Book Antiqua"/>
          <w:strike/>
          <w:szCs w:val="24"/>
          <w:lang w:val="es-PR"/>
        </w:rPr>
        <w:t>4</w:t>
      </w:r>
      <w:r w:rsidRPr="006A5706">
        <w:rPr>
          <w:rFonts w:ascii="Book Antiqua" w:hAnsi="Book Antiqua"/>
          <w:strike/>
          <w:szCs w:val="24"/>
          <w:lang w:val="es-PR"/>
        </w:rPr>
        <w:t>.</w:t>
      </w:r>
      <w:r w:rsidR="006A5706">
        <w:rPr>
          <w:rFonts w:ascii="Book Antiqua" w:hAnsi="Book Antiqua"/>
          <w:i/>
          <w:iCs/>
          <w:szCs w:val="24"/>
          <w:u w:val="single"/>
          <w:lang w:val="es-PR"/>
        </w:rPr>
        <w:t>5.</w:t>
      </w:r>
      <w:r w:rsidRPr="004C75C2">
        <w:rPr>
          <w:rFonts w:ascii="Book Antiqua" w:hAnsi="Book Antiqua"/>
          <w:szCs w:val="24"/>
          <w:lang w:val="es-PR"/>
        </w:rPr>
        <w:t>-</w:t>
      </w:r>
      <w:r w:rsidR="004F72CB" w:rsidRPr="004C75C2">
        <w:rPr>
          <w:rFonts w:ascii="Book Antiqua" w:hAnsi="Book Antiqua"/>
          <w:szCs w:val="24"/>
          <w:lang w:val="es-PR"/>
        </w:rPr>
        <w:t xml:space="preserve"> L</w:t>
      </w:r>
      <w:r w:rsidR="00AB5774" w:rsidRPr="004C75C2">
        <w:rPr>
          <w:rFonts w:ascii="Book Antiqua" w:hAnsi="Book Antiqua"/>
          <w:szCs w:val="24"/>
          <w:lang w:val="es-PR"/>
        </w:rPr>
        <w:t xml:space="preserve">a Comisión </w:t>
      </w:r>
      <w:r w:rsidR="006706AD" w:rsidRPr="004C75C2">
        <w:rPr>
          <w:rFonts w:ascii="Book Antiqua" w:hAnsi="Book Antiqua"/>
          <w:szCs w:val="24"/>
          <w:lang w:val="es-PR"/>
        </w:rPr>
        <w:t>rendirá a</w:t>
      </w:r>
      <w:r w:rsidR="00AB5774" w:rsidRPr="004C75C2">
        <w:rPr>
          <w:rFonts w:ascii="Book Antiqua" w:hAnsi="Book Antiqua"/>
          <w:szCs w:val="24"/>
          <w:lang w:val="es-PR"/>
        </w:rPr>
        <w:t xml:space="preserve"> la Cámara de Representantes de Puerto Rico los informes </w:t>
      </w:r>
      <w:r w:rsidR="00904D75" w:rsidRPr="00B46622">
        <w:rPr>
          <w:rFonts w:ascii="Book Antiqua" w:hAnsi="Book Antiqua"/>
          <w:strike/>
          <w:szCs w:val="24"/>
          <w:lang w:val="es-PR"/>
        </w:rPr>
        <w:t>interinos</w:t>
      </w:r>
      <w:r w:rsidR="00904D75" w:rsidRPr="004C75C2">
        <w:rPr>
          <w:rFonts w:ascii="Book Antiqua" w:hAnsi="Book Antiqua"/>
          <w:szCs w:val="24"/>
          <w:lang w:val="es-PR"/>
        </w:rPr>
        <w:t xml:space="preserve"> </w:t>
      </w:r>
      <w:r w:rsidR="00B46622">
        <w:rPr>
          <w:rFonts w:ascii="Book Antiqua" w:hAnsi="Book Antiqua"/>
          <w:i/>
          <w:iCs/>
          <w:szCs w:val="24"/>
          <w:u w:val="single"/>
          <w:lang w:val="es-PR"/>
        </w:rPr>
        <w:t>parciales</w:t>
      </w:r>
      <w:r w:rsidR="00B46622">
        <w:rPr>
          <w:rFonts w:ascii="Book Antiqua" w:hAnsi="Book Antiqua"/>
          <w:szCs w:val="24"/>
          <w:lang w:val="es-PR"/>
        </w:rPr>
        <w:t xml:space="preserve"> </w:t>
      </w:r>
      <w:r w:rsidR="00AB5774" w:rsidRPr="004C75C2">
        <w:rPr>
          <w:rFonts w:ascii="Book Antiqua" w:hAnsi="Book Antiqua"/>
          <w:szCs w:val="24"/>
          <w:lang w:val="es-PR"/>
        </w:rPr>
        <w:t xml:space="preserve">que estime necesarios o convenientes en los que incluyan </w:t>
      </w:r>
      <w:r w:rsidR="00AB5774" w:rsidRPr="00B46622">
        <w:rPr>
          <w:rFonts w:ascii="Book Antiqua" w:hAnsi="Book Antiqua"/>
          <w:strike/>
          <w:szCs w:val="24"/>
          <w:lang w:val="es-PR"/>
        </w:rPr>
        <w:t>los</w:t>
      </w:r>
      <w:r w:rsidR="00AB5774" w:rsidRPr="004C75C2">
        <w:rPr>
          <w:rFonts w:ascii="Book Antiqua" w:hAnsi="Book Antiqua"/>
          <w:szCs w:val="24"/>
          <w:lang w:val="es-PR"/>
        </w:rPr>
        <w:t xml:space="preserve"> </w:t>
      </w:r>
      <w:r w:rsidR="00B46622">
        <w:rPr>
          <w:rFonts w:ascii="Book Antiqua" w:hAnsi="Book Antiqua"/>
          <w:i/>
          <w:iCs/>
          <w:szCs w:val="24"/>
          <w:u w:val="single"/>
          <w:lang w:val="es-PR"/>
        </w:rPr>
        <w:t>sus</w:t>
      </w:r>
      <w:r w:rsidR="00B46622">
        <w:rPr>
          <w:rFonts w:ascii="Book Antiqua" w:hAnsi="Book Antiqua"/>
          <w:szCs w:val="24"/>
          <w:lang w:val="es-PR"/>
        </w:rPr>
        <w:t xml:space="preserve"> </w:t>
      </w:r>
      <w:r w:rsidR="00AB5774" w:rsidRPr="004C75C2">
        <w:rPr>
          <w:rFonts w:ascii="Book Antiqua" w:hAnsi="Book Antiqua"/>
          <w:szCs w:val="24"/>
          <w:lang w:val="es-PR"/>
        </w:rPr>
        <w:t>hallazgos</w:t>
      </w:r>
      <w:r w:rsidR="00AB5774" w:rsidRPr="00B46622">
        <w:rPr>
          <w:rFonts w:ascii="Book Antiqua" w:hAnsi="Book Antiqua"/>
          <w:szCs w:val="24"/>
          <w:lang w:val="es-PR"/>
        </w:rPr>
        <w:t>, conclusiones</w:t>
      </w:r>
      <w:r w:rsidR="00AB5774" w:rsidRPr="004C75C2">
        <w:rPr>
          <w:rFonts w:ascii="Book Antiqua" w:hAnsi="Book Antiqua"/>
          <w:szCs w:val="24"/>
          <w:lang w:val="es-PR"/>
        </w:rPr>
        <w:t xml:space="preserve"> y recomendaciones</w:t>
      </w:r>
      <w:r w:rsidR="00B46622">
        <w:rPr>
          <w:rFonts w:ascii="Book Antiqua" w:hAnsi="Book Antiqua"/>
          <w:i/>
          <w:iCs/>
          <w:szCs w:val="24"/>
          <w:u w:val="single"/>
          <w:lang w:val="es-PR"/>
        </w:rPr>
        <w:t>; asimismo</w:t>
      </w:r>
      <w:r w:rsidR="00904D75" w:rsidRPr="004C75C2">
        <w:rPr>
          <w:rFonts w:ascii="Book Antiqua" w:hAnsi="Book Antiqua"/>
          <w:szCs w:val="24"/>
          <w:lang w:val="es-PR"/>
        </w:rPr>
        <w:t xml:space="preserve">, </w:t>
      </w:r>
      <w:r w:rsidR="00904D75" w:rsidRPr="00B46622">
        <w:rPr>
          <w:rFonts w:ascii="Book Antiqua" w:hAnsi="Book Antiqua"/>
          <w:strike/>
          <w:szCs w:val="24"/>
          <w:lang w:val="es-PR"/>
        </w:rPr>
        <w:t>el primero</w:t>
      </w:r>
      <w:r w:rsidR="007B3711" w:rsidRPr="00B46622">
        <w:rPr>
          <w:rFonts w:ascii="Book Antiqua" w:hAnsi="Book Antiqua"/>
          <w:strike/>
          <w:szCs w:val="24"/>
          <w:lang w:val="es-PR"/>
        </w:rPr>
        <w:t xml:space="preserve"> dentro de ciento ochenta (180) días desde la aprobación de esta Resolución</w:t>
      </w:r>
      <w:r w:rsidR="00AB5774" w:rsidRPr="00B46622">
        <w:rPr>
          <w:rFonts w:ascii="Book Antiqua" w:hAnsi="Book Antiqua"/>
          <w:strike/>
          <w:szCs w:val="24"/>
          <w:lang w:val="es-PR"/>
        </w:rPr>
        <w:t>. Además,</w:t>
      </w:r>
      <w:r w:rsidR="00AB5774" w:rsidRPr="004C75C2">
        <w:rPr>
          <w:rFonts w:ascii="Book Antiqua" w:hAnsi="Book Antiqua"/>
          <w:szCs w:val="24"/>
          <w:lang w:val="es-PR"/>
        </w:rPr>
        <w:t xml:space="preserve"> rendirá un informe final dentro del término de la Vigésima Asamblea Legislativa.</w:t>
      </w:r>
    </w:p>
    <w:p w14:paraId="160B4CE2" w14:textId="166A2534" w:rsidR="007B3711" w:rsidRPr="005154F0" w:rsidRDefault="007B3711" w:rsidP="00980409">
      <w:pPr>
        <w:spacing w:line="480" w:lineRule="auto"/>
        <w:ind w:firstLine="708"/>
        <w:jc w:val="both"/>
        <w:rPr>
          <w:rFonts w:ascii="Book Antiqua" w:hAnsi="Book Antiqua"/>
          <w:szCs w:val="24"/>
          <w:lang w:val="es-PR"/>
        </w:rPr>
      </w:pPr>
      <w:r w:rsidRPr="004C75C2">
        <w:rPr>
          <w:rFonts w:ascii="Book Antiqua" w:hAnsi="Book Antiqua"/>
          <w:szCs w:val="24"/>
          <w:lang w:val="es-PR"/>
        </w:rPr>
        <w:lastRenderedPageBreak/>
        <w:t xml:space="preserve">Sección </w:t>
      </w:r>
      <w:r w:rsidR="005154F0" w:rsidRPr="006A5706">
        <w:rPr>
          <w:rFonts w:ascii="Book Antiqua" w:hAnsi="Book Antiqua"/>
          <w:strike/>
          <w:szCs w:val="24"/>
          <w:lang w:val="es-PR"/>
        </w:rPr>
        <w:t>5</w:t>
      </w:r>
      <w:r w:rsidRPr="006A5706">
        <w:rPr>
          <w:rFonts w:ascii="Book Antiqua" w:hAnsi="Book Antiqua"/>
          <w:strike/>
          <w:szCs w:val="24"/>
          <w:lang w:val="es-PR"/>
        </w:rPr>
        <w:t>.</w:t>
      </w:r>
      <w:r w:rsidR="006A5706">
        <w:rPr>
          <w:rFonts w:ascii="Book Antiqua" w:hAnsi="Book Antiqua"/>
          <w:i/>
          <w:iCs/>
          <w:szCs w:val="24"/>
          <w:u w:val="single"/>
          <w:lang w:val="es-PR"/>
        </w:rPr>
        <w:t>6.</w:t>
      </w:r>
      <w:r w:rsidRPr="004C75C2">
        <w:rPr>
          <w:rFonts w:ascii="Book Antiqua" w:hAnsi="Book Antiqua"/>
          <w:szCs w:val="24"/>
          <w:lang w:val="es-PR"/>
        </w:rPr>
        <w:t xml:space="preserve">-Esta Resolución tendrá vigencia </w:t>
      </w:r>
      <w:r w:rsidRPr="00B46622">
        <w:rPr>
          <w:rFonts w:ascii="Book Antiqua" w:hAnsi="Book Antiqua"/>
          <w:strike/>
          <w:szCs w:val="24"/>
          <w:lang w:val="es-PR"/>
        </w:rPr>
        <w:t>al momento</w:t>
      </w:r>
      <w:r w:rsidRPr="004C75C2">
        <w:rPr>
          <w:rFonts w:ascii="Book Antiqua" w:hAnsi="Book Antiqua"/>
          <w:szCs w:val="24"/>
          <w:lang w:val="es-PR"/>
        </w:rPr>
        <w:t xml:space="preserve"> </w:t>
      </w:r>
      <w:r w:rsidR="00B46622">
        <w:rPr>
          <w:rFonts w:ascii="Book Antiqua" w:hAnsi="Book Antiqua"/>
          <w:i/>
          <w:iCs/>
          <w:szCs w:val="24"/>
          <w:u w:val="single"/>
          <w:lang w:val="es-PR"/>
        </w:rPr>
        <w:t>inmediatamente después</w:t>
      </w:r>
      <w:r w:rsidR="00B46622">
        <w:rPr>
          <w:rFonts w:ascii="Book Antiqua" w:hAnsi="Book Antiqua"/>
          <w:szCs w:val="24"/>
          <w:lang w:val="es-PR"/>
        </w:rPr>
        <w:t xml:space="preserve"> </w:t>
      </w:r>
      <w:r w:rsidRPr="004C75C2">
        <w:rPr>
          <w:rFonts w:ascii="Book Antiqua" w:hAnsi="Book Antiqua"/>
          <w:szCs w:val="24"/>
          <w:lang w:val="es-PR"/>
        </w:rPr>
        <w:t>de su aprobación.</w:t>
      </w:r>
    </w:p>
    <w:sectPr w:rsidR="007B3711" w:rsidRPr="005154F0" w:rsidSect="00DE2439">
      <w:headerReference w:type="default" r:id="rId8"/>
      <w:headerReference w:type="first" r:id="rId9"/>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73EC4" w14:textId="77777777" w:rsidR="003328DE" w:rsidRDefault="003328DE">
      <w:r>
        <w:separator/>
      </w:r>
    </w:p>
  </w:endnote>
  <w:endnote w:type="continuationSeparator" w:id="0">
    <w:p w14:paraId="07EE772E" w14:textId="77777777" w:rsidR="003328DE" w:rsidRDefault="00332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3B3E0" w14:textId="77777777" w:rsidR="003328DE" w:rsidRDefault="003328DE">
      <w:r>
        <w:separator/>
      </w:r>
    </w:p>
  </w:footnote>
  <w:footnote w:type="continuationSeparator" w:id="0">
    <w:p w14:paraId="0A32D6D4" w14:textId="77777777" w:rsidR="003328DE" w:rsidRDefault="00332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EF2C39">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97567" w14:textId="72F4C4D0" w:rsidR="003F2926" w:rsidRDefault="003F2926" w:rsidP="003F2926">
    <w:pPr>
      <w:pStyle w:val="Header"/>
      <w:jc w:val="center"/>
      <w:rPr>
        <w:rFonts w:ascii="Book Antiqua" w:hAnsi="Book Antiqua"/>
      </w:rPr>
    </w:pPr>
    <w:r>
      <w:rPr>
        <w:rFonts w:ascii="Book Antiqua" w:hAnsi="Book Antiqua"/>
      </w:rPr>
      <w:t>ENTIRILLADO ELECTRÓNICO</w:t>
    </w:r>
  </w:p>
  <w:p w14:paraId="3ACA72D8" w14:textId="77777777" w:rsidR="003F2926" w:rsidRPr="003F2926" w:rsidRDefault="003F2926" w:rsidP="003F2926">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3FEB"/>
    <w:multiLevelType w:val="multilevel"/>
    <w:tmpl w:val="C19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F0551"/>
    <w:multiLevelType w:val="multilevel"/>
    <w:tmpl w:val="49BC3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87D5D"/>
    <w:multiLevelType w:val="hybridMultilevel"/>
    <w:tmpl w:val="5428EF4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BE96C0F"/>
    <w:multiLevelType w:val="multilevel"/>
    <w:tmpl w:val="A6D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347874">
    <w:abstractNumId w:val="3"/>
  </w:num>
  <w:num w:numId="2" w16cid:durableId="1126656159">
    <w:abstractNumId w:val="0"/>
  </w:num>
  <w:num w:numId="3" w16cid:durableId="1270620574">
    <w:abstractNumId w:val="1"/>
  </w:num>
  <w:num w:numId="4" w16cid:durableId="1322387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FC0"/>
    <w:rsid w:val="00020BBB"/>
    <w:rsid w:val="00037B12"/>
    <w:rsid w:val="00056024"/>
    <w:rsid w:val="00067BFD"/>
    <w:rsid w:val="0008707E"/>
    <w:rsid w:val="000955D7"/>
    <w:rsid w:val="00095AE1"/>
    <w:rsid w:val="000A6B6C"/>
    <w:rsid w:val="000B0DBB"/>
    <w:rsid w:val="000C00F5"/>
    <w:rsid w:val="00111E71"/>
    <w:rsid w:val="001242CF"/>
    <w:rsid w:val="00127C6A"/>
    <w:rsid w:val="00131474"/>
    <w:rsid w:val="001363FE"/>
    <w:rsid w:val="001569B9"/>
    <w:rsid w:val="0017132B"/>
    <w:rsid w:val="001B2F8C"/>
    <w:rsid w:val="001F4CA3"/>
    <w:rsid w:val="001F612A"/>
    <w:rsid w:val="00200DE3"/>
    <w:rsid w:val="00211396"/>
    <w:rsid w:val="00226AE6"/>
    <w:rsid w:val="00245B34"/>
    <w:rsid w:val="002539E5"/>
    <w:rsid w:val="00263355"/>
    <w:rsid w:val="00273792"/>
    <w:rsid w:val="0028302A"/>
    <w:rsid w:val="00283129"/>
    <w:rsid w:val="002B519E"/>
    <w:rsid w:val="002D4AC8"/>
    <w:rsid w:val="002D5BED"/>
    <w:rsid w:val="00320D78"/>
    <w:rsid w:val="003328DE"/>
    <w:rsid w:val="00352669"/>
    <w:rsid w:val="00380FE5"/>
    <w:rsid w:val="00387107"/>
    <w:rsid w:val="003924DD"/>
    <w:rsid w:val="00394FCB"/>
    <w:rsid w:val="003963F4"/>
    <w:rsid w:val="003B0375"/>
    <w:rsid w:val="003B5254"/>
    <w:rsid w:val="003B75A6"/>
    <w:rsid w:val="003C1AB9"/>
    <w:rsid w:val="003F2926"/>
    <w:rsid w:val="004028B6"/>
    <w:rsid w:val="004061CA"/>
    <w:rsid w:val="00415689"/>
    <w:rsid w:val="00420919"/>
    <w:rsid w:val="004213B0"/>
    <w:rsid w:val="00433A69"/>
    <w:rsid w:val="00435507"/>
    <w:rsid w:val="004440CB"/>
    <w:rsid w:val="004713D2"/>
    <w:rsid w:val="00471BFE"/>
    <w:rsid w:val="00484206"/>
    <w:rsid w:val="004A3DC7"/>
    <w:rsid w:val="004C75C2"/>
    <w:rsid w:val="004F72CB"/>
    <w:rsid w:val="005154F0"/>
    <w:rsid w:val="00521639"/>
    <w:rsid w:val="00526FB1"/>
    <w:rsid w:val="00532BB7"/>
    <w:rsid w:val="005332E4"/>
    <w:rsid w:val="005350F5"/>
    <w:rsid w:val="0053550C"/>
    <w:rsid w:val="00555018"/>
    <w:rsid w:val="0055720F"/>
    <w:rsid w:val="005723DC"/>
    <w:rsid w:val="005817F1"/>
    <w:rsid w:val="005836AF"/>
    <w:rsid w:val="0059499C"/>
    <w:rsid w:val="00597676"/>
    <w:rsid w:val="005C02FF"/>
    <w:rsid w:val="005D085D"/>
    <w:rsid w:val="005E57DD"/>
    <w:rsid w:val="005F430D"/>
    <w:rsid w:val="006018D0"/>
    <w:rsid w:val="006210DC"/>
    <w:rsid w:val="0064349D"/>
    <w:rsid w:val="00651BA2"/>
    <w:rsid w:val="00653EED"/>
    <w:rsid w:val="00661411"/>
    <w:rsid w:val="006706AD"/>
    <w:rsid w:val="00670717"/>
    <w:rsid w:val="00685549"/>
    <w:rsid w:val="006914F5"/>
    <w:rsid w:val="00697D47"/>
    <w:rsid w:val="006A5706"/>
    <w:rsid w:val="006B64ED"/>
    <w:rsid w:val="006B7365"/>
    <w:rsid w:val="006C2D81"/>
    <w:rsid w:val="006C7DF8"/>
    <w:rsid w:val="006E6679"/>
    <w:rsid w:val="006E6C7E"/>
    <w:rsid w:val="00713FE1"/>
    <w:rsid w:val="00750E5D"/>
    <w:rsid w:val="00750FC8"/>
    <w:rsid w:val="007533D0"/>
    <w:rsid w:val="00753748"/>
    <w:rsid w:val="00755069"/>
    <w:rsid w:val="007632F1"/>
    <w:rsid w:val="00776DCC"/>
    <w:rsid w:val="007B0660"/>
    <w:rsid w:val="007B3711"/>
    <w:rsid w:val="007C7D84"/>
    <w:rsid w:val="007D38C6"/>
    <w:rsid w:val="007D7DB0"/>
    <w:rsid w:val="007E3868"/>
    <w:rsid w:val="007F1F27"/>
    <w:rsid w:val="007F7087"/>
    <w:rsid w:val="00820C41"/>
    <w:rsid w:val="00850256"/>
    <w:rsid w:val="0089237B"/>
    <w:rsid w:val="0090343E"/>
    <w:rsid w:val="00904D75"/>
    <w:rsid w:val="00925328"/>
    <w:rsid w:val="00932FFF"/>
    <w:rsid w:val="0093686F"/>
    <w:rsid w:val="0094073E"/>
    <w:rsid w:val="00942FD4"/>
    <w:rsid w:val="00947C42"/>
    <w:rsid w:val="00951997"/>
    <w:rsid w:val="0096671C"/>
    <w:rsid w:val="00980409"/>
    <w:rsid w:val="00990352"/>
    <w:rsid w:val="009C1BF1"/>
    <w:rsid w:val="009C2609"/>
    <w:rsid w:val="00A03405"/>
    <w:rsid w:val="00A1528A"/>
    <w:rsid w:val="00A22A39"/>
    <w:rsid w:val="00A33918"/>
    <w:rsid w:val="00A42F69"/>
    <w:rsid w:val="00A7629F"/>
    <w:rsid w:val="00A87425"/>
    <w:rsid w:val="00AA0D72"/>
    <w:rsid w:val="00AB5774"/>
    <w:rsid w:val="00AE25D9"/>
    <w:rsid w:val="00AE502E"/>
    <w:rsid w:val="00AF0CEE"/>
    <w:rsid w:val="00B449B4"/>
    <w:rsid w:val="00B46622"/>
    <w:rsid w:val="00B667AD"/>
    <w:rsid w:val="00B728B0"/>
    <w:rsid w:val="00B84C38"/>
    <w:rsid w:val="00B86C00"/>
    <w:rsid w:val="00B947F6"/>
    <w:rsid w:val="00BD144E"/>
    <w:rsid w:val="00BF16AA"/>
    <w:rsid w:val="00C17E8F"/>
    <w:rsid w:val="00C354B8"/>
    <w:rsid w:val="00C52517"/>
    <w:rsid w:val="00C52527"/>
    <w:rsid w:val="00C60921"/>
    <w:rsid w:val="00C62936"/>
    <w:rsid w:val="00C653F2"/>
    <w:rsid w:val="00C679E6"/>
    <w:rsid w:val="00C702C4"/>
    <w:rsid w:val="00C908F9"/>
    <w:rsid w:val="00CA0917"/>
    <w:rsid w:val="00CA1099"/>
    <w:rsid w:val="00CB3864"/>
    <w:rsid w:val="00D25224"/>
    <w:rsid w:val="00D417C2"/>
    <w:rsid w:val="00D41F2A"/>
    <w:rsid w:val="00D60936"/>
    <w:rsid w:val="00D709EB"/>
    <w:rsid w:val="00D74714"/>
    <w:rsid w:val="00D82F3F"/>
    <w:rsid w:val="00D832EF"/>
    <w:rsid w:val="00D86996"/>
    <w:rsid w:val="00D921C6"/>
    <w:rsid w:val="00D958C2"/>
    <w:rsid w:val="00DA20B4"/>
    <w:rsid w:val="00DD09F8"/>
    <w:rsid w:val="00DE17DC"/>
    <w:rsid w:val="00DE2439"/>
    <w:rsid w:val="00DE5CEC"/>
    <w:rsid w:val="00E029F7"/>
    <w:rsid w:val="00E04AB5"/>
    <w:rsid w:val="00E25759"/>
    <w:rsid w:val="00E33F7B"/>
    <w:rsid w:val="00E35D9E"/>
    <w:rsid w:val="00E50EEA"/>
    <w:rsid w:val="00E52F58"/>
    <w:rsid w:val="00E94C7C"/>
    <w:rsid w:val="00E94EF7"/>
    <w:rsid w:val="00EA3FA1"/>
    <w:rsid w:val="00EB61FB"/>
    <w:rsid w:val="00EC26AA"/>
    <w:rsid w:val="00ED26B5"/>
    <w:rsid w:val="00ED6821"/>
    <w:rsid w:val="00ED7A53"/>
    <w:rsid w:val="00EE4273"/>
    <w:rsid w:val="00EF2C39"/>
    <w:rsid w:val="00F02004"/>
    <w:rsid w:val="00F042CB"/>
    <w:rsid w:val="00F349FF"/>
    <w:rsid w:val="00F43E13"/>
    <w:rsid w:val="00F50E76"/>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471BFE"/>
    <w:pPr>
      <w:spacing w:before="100" w:beforeAutospacing="1" w:after="100" w:afterAutospacing="1"/>
    </w:pPr>
    <w:rPr>
      <w:szCs w:val="24"/>
      <w:lang w:val="es-US" w:eastAsia="es-US"/>
    </w:rPr>
  </w:style>
  <w:style w:type="character" w:styleId="Strong">
    <w:name w:val="Strong"/>
    <w:basedOn w:val="DefaultParagraphFont"/>
    <w:uiPriority w:val="22"/>
    <w:qFormat/>
    <w:rsid w:val="00471BFE"/>
    <w:rPr>
      <w:b/>
      <w:bCs/>
    </w:rPr>
  </w:style>
  <w:style w:type="paragraph" w:styleId="ListParagraph">
    <w:name w:val="List Paragraph"/>
    <w:basedOn w:val="Normal"/>
    <w:uiPriority w:val="34"/>
    <w:qFormat/>
    <w:rsid w:val="006A5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1225489306">
      <w:bodyDiv w:val="1"/>
      <w:marLeft w:val="0"/>
      <w:marRight w:val="0"/>
      <w:marTop w:val="0"/>
      <w:marBottom w:val="0"/>
      <w:divBdr>
        <w:top w:val="none" w:sz="0" w:space="0" w:color="auto"/>
        <w:left w:val="none" w:sz="0" w:space="0" w:color="auto"/>
        <w:bottom w:val="none" w:sz="0" w:space="0" w:color="auto"/>
        <w:right w:val="none" w:sz="0" w:space="0" w:color="auto"/>
      </w:divBdr>
      <w:divsChild>
        <w:div w:id="139033952">
          <w:marLeft w:val="0"/>
          <w:marRight w:val="0"/>
          <w:marTop w:val="0"/>
          <w:marBottom w:val="0"/>
          <w:divBdr>
            <w:top w:val="none" w:sz="0" w:space="0" w:color="auto"/>
            <w:left w:val="none" w:sz="0" w:space="0" w:color="auto"/>
            <w:bottom w:val="none" w:sz="0" w:space="0" w:color="auto"/>
            <w:right w:val="none" w:sz="0" w:space="0" w:color="auto"/>
          </w:divBdr>
          <w:divsChild>
            <w:div w:id="1893879627">
              <w:marLeft w:val="0"/>
              <w:marRight w:val="0"/>
              <w:marTop w:val="0"/>
              <w:marBottom w:val="0"/>
              <w:divBdr>
                <w:top w:val="none" w:sz="0" w:space="0" w:color="auto"/>
                <w:left w:val="none" w:sz="0" w:space="0" w:color="auto"/>
                <w:bottom w:val="none" w:sz="0" w:space="0" w:color="auto"/>
                <w:right w:val="none" w:sz="0" w:space="0" w:color="auto"/>
              </w:divBdr>
              <w:divsChild>
                <w:div w:id="21431822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2484230">
          <w:marLeft w:val="0"/>
          <w:marRight w:val="0"/>
          <w:marTop w:val="0"/>
          <w:marBottom w:val="0"/>
          <w:divBdr>
            <w:top w:val="none" w:sz="0" w:space="0" w:color="auto"/>
            <w:left w:val="none" w:sz="0" w:space="0" w:color="auto"/>
            <w:bottom w:val="none" w:sz="0" w:space="0" w:color="auto"/>
            <w:right w:val="none" w:sz="0" w:space="0" w:color="auto"/>
          </w:divBdr>
          <w:divsChild>
            <w:div w:id="2049140600">
              <w:marLeft w:val="0"/>
              <w:marRight w:val="0"/>
              <w:marTop w:val="0"/>
              <w:marBottom w:val="0"/>
              <w:divBdr>
                <w:top w:val="none" w:sz="0" w:space="0" w:color="auto"/>
                <w:left w:val="none" w:sz="0" w:space="0" w:color="auto"/>
                <w:bottom w:val="none" w:sz="0" w:space="0" w:color="auto"/>
                <w:right w:val="none" w:sz="0" w:space="0" w:color="auto"/>
              </w:divBdr>
              <w:divsChild>
                <w:div w:id="167598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05370215">
          <w:marLeft w:val="0"/>
          <w:marRight w:val="0"/>
          <w:marTop w:val="0"/>
          <w:marBottom w:val="0"/>
          <w:divBdr>
            <w:top w:val="none" w:sz="0" w:space="0" w:color="auto"/>
            <w:left w:val="none" w:sz="0" w:space="0" w:color="auto"/>
            <w:bottom w:val="none" w:sz="0" w:space="0" w:color="auto"/>
            <w:right w:val="none" w:sz="0" w:space="0" w:color="auto"/>
          </w:divBdr>
          <w:divsChild>
            <w:div w:id="1203398558">
              <w:marLeft w:val="0"/>
              <w:marRight w:val="0"/>
              <w:marTop w:val="0"/>
              <w:marBottom w:val="0"/>
              <w:divBdr>
                <w:top w:val="none" w:sz="0" w:space="0" w:color="auto"/>
                <w:left w:val="none" w:sz="0" w:space="0" w:color="auto"/>
                <w:bottom w:val="none" w:sz="0" w:space="0" w:color="auto"/>
                <w:right w:val="none" w:sz="0" w:space="0" w:color="auto"/>
              </w:divBdr>
              <w:divsChild>
                <w:div w:id="99373727">
                  <w:marLeft w:val="-420"/>
                  <w:marRight w:val="0"/>
                  <w:marTop w:val="0"/>
                  <w:marBottom w:val="0"/>
                  <w:divBdr>
                    <w:top w:val="none" w:sz="0" w:space="0" w:color="auto"/>
                    <w:left w:val="none" w:sz="0" w:space="0" w:color="auto"/>
                    <w:bottom w:val="none" w:sz="0" w:space="0" w:color="auto"/>
                    <w:right w:val="none" w:sz="0" w:space="0" w:color="auto"/>
                  </w:divBdr>
                  <w:divsChild>
                    <w:div w:id="2047754538">
                      <w:marLeft w:val="0"/>
                      <w:marRight w:val="0"/>
                      <w:marTop w:val="0"/>
                      <w:marBottom w:val="0"/>
                      <w:divBdr>
                        <w:top w:val="none" w:sz="0" w:space="0" w:color="auto"/>
                        <w:left w:val="none" w:sz="0" w:space="0" w:color="auto"/>
                        <w:bottom w:val="none" w:sz="0" w:space="0" w:color="auto"/>
                        <w:right w:val="none" w:sz="0" w:space="0" w:color="auto"/>
                      </w:divBdr>
                      <w:divsChild>
                        <w:div w:id="1482310090">
                          <w:marLeft w:val="0"/>
                          <w:marRight w:val="0"/>
                          <w:marTop w:val="0"/>
                          <w:marBottom w:val="0"/>
                          <w:divBdr>
                            <w:top w:val="none" w:sz="0" w:space="0" w:color="auto"/>
                            <w:left w:val="none" w:sz="0" w:space="0" w:color="auto"/>
                            <w:bottom w:val="none" w:sz="0" w:space="0" w:color="auto"/>
                            <w:right w:val="none" w:sz="0" w:space="0" w:color="auto"/>
                          </w:divBdr>
                          <w:divsChild>
                            <w:div w:id="1031876215">
                              <w:marLeft w:val="0"/>
                              <w:marRight w:val="0"/>
                              <w:marTop w:val="0"/>
                              <w:marBottom w:val="0"/>
                              <w:divBdr>
                                <w:top w:val="none" w:sz="0" w:space="0" w:color="auto"/>
                                <w:left w:val="none" w:sz="0" w:space="0" w:color="auto"/>
                                <w:bottom w:val="none" w:sz="0" w:space="0" w:color="auto"/>
                                <w:right w:val="none" w:sz="0" w:space="0" w:color="auto"/>
                              </w:divBdr>
                            </w:div>
                            <w:div w:id="236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6051">
                  <w:marLeft w:val="-420"/>
                  <w:marRight w:val="0"/>
                  <w:marTop w:val="0"/>
                  <w:marBottom w:val="0"/>
                  <w:divBdr>
                    <w:top w:val="none" w:sz="0" w:space="0" w:color="auto"/>
                    <w:left w:val="none" w:sz="0" w:space="0" w:color="auto"/>
                    <w:bottom w:val="none" w:sz="0" w:space="0" w:color="auto"/>
                    <w:right w:val="none" w:sz="0" w:space="0" w:color="auto"/>
                  </w:divBdr>
                  <w:divsChild>
                    <w:div w:id="364908992">
                      <w:marLeft w:val="0"/>
                      <w:marRight w:val="0"/>
                      <w:marTop w:val="0"/>
                      <w:marBottom w:val="0"/>
                      <w:divBdr>
                        <w:top w:val="none" w:sz="0" w:space="0" w:color="auto"/>
                        <w:left w:val="none" w:sz="0" w:space="0" w:color="auto"/>
                        <w:bottom w:val="none" w:sz="0" w:space="0" w:color="auto"/>
                        <w:right w:val="none" w:sz="0" w:space="0" w:color="auto"/>
                      </w:divBdr>
                      <w:divsChild>
                        <w:div w:id="802583457">
                          <w:marLeft w:val="0"/>
                          <w:marRight w:val="0"/>
                          <w:marTop w:val="0"/>
                          <w:marBottom w:val="0"/>
                          <w:divBdr>
                            <w:top w:val="none" w:sz="0" w:space="0" w:color="auto"/>
                            <w:left w:val="none" w:sz="0" w:space="0" w:color="auto"/>
                            <w:bottom w:val="none" w:sz="0" w:space="0" w:color="auto"/>
                            <w:right w:val="none" w:sz="0" w:space="0" w:color="auto"/>
                          </w:divBdr>
                          <w:divsChild>
                            <w:div w:id="1129711528">
                              <w:marLeft w:val="0"/>
                              <w:marRight w:val="0"/>
                              <w:marTop w:val="0"/>
                              <w:marBottom w:val="0"/>
                              <w:divBdr>
                                <w:top w:val="none" w:sz="0" w:space="0" w:color="auto"/>
                                <w:left w:val="none" w:sz="0" w:space="0" w:color="auto"/>
                                <w:bottom w:val="none" w:sz="0" w:space="0" w:color="auto"/>
                                <w:right w:val="none" w:sz="0" w:space="0" w:color="auto"/>
                              </w:divBdr>
                            </w:div>
                            <w:div w:id="14038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07803">
                  <w:marLeft w:val="-420"/>
                  <w:marRight w:val="0"/>
                  <w:marTop w:val="0"/>
                  <w:marBottom w:val="0"/>
                  <w:divBdr>
                    <w:top w:val="none" w:sz="0" w:space="0" w:color="auto"/>
                    <w:left w:val="none" w:sz="0" w:space="0" w:color="auto"/>
                    <w:bottom w:val="none" w:sz="0" w:space="0" w:color="auto"/>
                    <w:right w:val="none" w:sz="0" w:space="0" w:color="auto"/>
                  </w:divBdr>
                  <w:divsChild>
                    <w:div w:id="785657387">
                      <w:marLeft w:val="0"/>
                      <w:marRight w:val="0"/>
                      <w:marTop w:val="0"/>
                      <w:marBottom w:val="0"/>
                      <w:divBdr>
                        <w:top w:val="none" w:sz="0" w:space="0" w:color="auto"/>
                        <w:left w:val="none" w:sz="0" w:space="0" w:color="auto"/>
                        <w:bottom w:val="none" w:sz="0" w:space="0" w:color="auto"/>
                        <w:right w:val="none" w:sz="0" w:space="0" w:color="auto"/>
                      </w:divBdr>
                      <w:divsChild>
                        <w:div w:id="2014137160">
                          <w:marLeft w:val="0"/>
                          <w:marRight w:val="0"/>
                          <w:marTop w:val="0"/>
                          <w:marBottom w:val="0"/>
                          <w:divBdr>
                            <w:top w:val="none" w:sz="0" w:space="0" w:color="auto"/>
                            <w:left w:val="none" w:sz="0" w:space="0" w:color="auto"/>
                            <w:bottom w:val="none" w:sz="0" w:space="0" w:color="auto"/>
                            <w:right w:val="none" w:sz="0" w:space="0" w:color="auto"/>
                          </w:divBdr>
                          <w:divsChild>
                            <w:div w:id="1165170548">
                              <w:marLeft w:val="0"/>
                              <w:marRight w:val="0"/>
                              <w:marTop w:val="0"/>
                              <w:marBottom w:val="0"/>
                              <w:divBdr>
                                <w:top w:val="none" w:sz="0" w:space="0" w:color="auto"/>
                                <w:left w:val="none" w:sz="0" w:space="0" w:color="auto"/>
                                <w:bottom w:val="none" w:sz="0" w:space="0" w:color="auto"/>
                                <w:right w:val="none" w:sz="0" w:space="0" w:color="auto"/>
                              </w:divBdr>
                            </w:div>
                            <w:div w:id="15206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5827">
                  <w:marLeft w:val="-420"/>
                  <w:marRight w:val="0"/>
                  <w:marTop w:val="0"/>
                  <w:marBottom w:val="0"/>
                  <w:divBdr>
                    <w:top w:val="none" w:sz="0" w:space="0" w:color="auto"/>
                    <w:left w:val="none" w:sz="0" w:space="0" w:color="auto"/>
                    <w:bottom w:val="none" w:sz="0" w:space="0" w:color="auto"/>
                    <w:right w:val="none" w:sz="0" w:space="0" w:color="auto"/>
                  </w:divBdr>
                  <w:divsChild>
                    <w:div w:id="1844782176">
                      <w:marLeft w:val="0"/>
                      <w:marRight w:val="0"/>
                      <w:marTop w:val="0"/>
                      <w:marBottom w:val="0"/>
                      <w:divBdr>
                        <w:top w:val="none" w:sz="0" w:space="0" w:color="auto"/>
                        <w:left w:val="none" w:sz="0" w:space="0" w:color="auto"/>
                        <w:bottom w:val="none" w:sz="0" w:space="0" w:color="auto"/>
                        <w:right w:val="none" w:sz="0" w:space="0" w:color="auto"/>
                      </w:divBdr>
                      <w:divsChild>
                        <w:div w:id="820969478">
                          <w:marLeft w:val="0"/>
                          <w:marRight w:val="0"/>
                          <w:marTop w:val="0"/>
                          <w:marBottom w:val="0"/>
                          <w:divBdr>
                            <w:top w:val="none" w:sz="0" w:space="0" w:color="auto"/>
                            <w:left w:val="none" w:sz="0" w:space="0" w:color="auto"/>
                            <w:bottom w:val="none" w:sz="0" w:space="0" w:color="auto"/>
                            <w:right w:val="none" w:sz="0" w:space="0" w:color="auto"/>
                          </w:divBdr>
                          <w:divsChild>
                            <w:div w:id="2077052299">
                              <w:marLeft w:val="0"/>
                              <w:marRight w:val="0"/>
                              <w:marTop w:val="0"/>
                              <w:marBottom w:val="0"/>
                              <w:divBdr>
                                <w:top w:val="none" w:sz="0" w:space="0" w:color="auto"/>
                                <w:left w:val="none" w:sz="0" w:space="0" w:color="auto"/>
                                <w:bottom w:val="none" w:sz="0" w:space="0" w:color="auto"/>
                                <w:right w:val="none" w:sz="0" w:space="0" w:color="auto"/>
                              </w:divBdr>
                            </w:div>
                            <w:div w:id="1551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29956">
                  <w:marLeft w:val="-420"/>
                  <w:marRight w:val="0"/>
                  <w:marTop w:val="0"/>
                  <w:marBottom w:val="0"/>
                  <w:divBdr>
                    <w:top w:val="none" w:sz="0" w:space="0" w:color="auto"/>
                    <w:left w:val="none" w:sz="0" w:space="0" w:color="auto"/>
                    <w:bottom w:val="none" w:sz="0" w:space="0" w:color="auto"/>
                    <w:right w:val="none" w:sz="0" w:space="0" w:color="auto"/>
                  </w:divBdr>
                  <w:divsChild>
                    <w:div w:id="1501310318">
                      <w:marLeft w:val="0"/>
                      <w:marRight w:val="0"/>
                      <w:marTop w:val="0"/>
                      <w:marBottom w:val="0"/>
                      <w:divBdr>
                        <w:top w:val="none" w:sz="0" w:space="0" w:color="auto"/>
                        <w:left w:val="none" w:sz="0" w:space="0" w:color="auto"/>
                        <w:bottom w:val="none" w:sz="0" w:space="0" w:color="auto"/>
                        <w:right w:val="none" w:sz="0" w:space="0" w:color="auto"/>
                      </w:divBdr>
                      <w:divsChild>
                        <w:div w:id="2070497351">
                          <w:marLeft w:val="0"/>
                          <w:marRight w:val="0"/>
                          <w:marTop w:val="0"/>
                          <w:marBottom w:val="0"/>
                          <w:divBdr>
                            <w:top w:val="none" w:sz="0" w:space="0" w:color="auto"/>
                            <w:left w:val="none" w:sz="0" w:space="0" w:color="auto"/>
                            <w:bottom w:val="none" w:sz="0" w:space="0" w:color="auto"/>
                            <w:right w:val="none" w:sz="0" w:space="0" w:color="auto"/>
                          </w:divBdr>
                          <w:divsChild>
                            <w:div w:id="1613707109">
                              <w:marLeft w:val="0"/>
                              <w:marRight w:val="0"/>
                              <w:marTop w:val="0"/>
                              <w:marBottom w:val="0"/>
                              <w:divBdr>
                                <w:top w:val="none" w:sz="0" w:space="0" w:color="auto"/>
                                <w:left w:val="none" w:sz="0" w:space="0" w:color="auto"/>
                                <w:bottom w:val="none" w:sz="0" w:space="0" w:color="auto"/>
                                <w:right w:val="none" w:sz="0" w:space="0" w:color="auto"/>
                              </w:divBdr>
                            </w:div>
                            <w:div w:id="6713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78262">
          <w:marLeft w:val="0"/>
          <w:marRight w:val="0"/>
          <w:marTop w:val="0"/>
          <w:marBottom w:val="0"/>
          <w:divBdr>
            <w:top w:val="none" w:sz="0" w:space="0" w:color="auto"/>
            <w:left w:val="none" w:sz="0" w:space="0" w:color="auto"/>
            <w:bottom w:val="none" w:sz="0" w:space="0" w:color="auto"/>
            <w:right w:val="none" w:sz="0" w:space="0" w:color="auto"/>
          </w:divBdr>
          <w:divsChild>
            <w:div w:id="1055542925">
              <w:marLeft w:val="0"/>
              <w:marRight w:val="0"/>
              <w:marTop w:val="0"/>
              <w:marBottom w:val="0"/>
              <w:divBdr>
                <w:top w:val="none" w:sz="0" w:space="0" w:color="auto"/>
                <w:left w:val="none" w:sz="0" w:space="0" w:color="auto"/>
                <w:bottom w:val="none" w:sz="0" w:space="0" w:color="auto"/>
                <w:right w:val="none" w:sz="0" w:space="0" w:color="auto"/>
              </w:divBdr>
              <w:divsChild>
                <w:div w:id="3573957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652190">
          <w:marLeft w:val="0"/>
          <w:marRight w:val="0"/>
          <w:marTop w:val="0"/>
          <w:marBottom w:val="0"/>
          <w:divBdr>
            <w:top w:val="none" w:sz="0" w:space="0" w:color="auto"/>
            <w:left w:val="none" w:sz="0" w:space="0" w:color="auto"/>
            <w:bottom w:val="none" w:sz="0" w:space="0" w:color="auto"/>
            <w:right w:val="none" w:sz="0" w:space="0" w:color="auto"/>
          </w:divBdr>
          <w:divsChild>
            <w:div w:id="377125170">
              <w:marLeft w:val="0"/>
              <w:marRight w:val="0"/>
              <w:marTop w:val="0"/>
              <w:marBottom w:val="0"/>
              <w:divBdr>
                <w:top w:val="none" w:sz="0" w:space="0" w:color="auto"/>
                <w:left w:val="none" w:sz="0" w:space="0" w:color="auto"/>
                <w:bottom w:val="none" w:sz="0" w:space="0" w:color="auto"/>
                <w:right w:val="none" w:sz="0" w:space="0" w:color="auto"/>
              </w:divBdr>
              <w:divsChild>
                <w:div w:id="1981958748">
                  <w:marLeft w:val="-420"/>
                  <w:marRight w:val="0"/>
                  <w:marTop w:val="0"/>
                  <w:marBottom w:val="0"/>
                  <w:divBdr>
                    <w:top w:val="none" w:sz="0" w:space="0" w:color="auto"/>
                    <w:left w:val="none" w:sz="0" w:space="0" w:color="auto"/>
                    <w:bottom w:val="none" w:sz="0" w:space="0" w:color="auto"/>
                    <w:right w:val="none" w:sz="0" w:space="0" w:color="auto"/>
                  </w:divBdr>
                  <w:divsChild>
                    <w:div w:id="1476292862">
                      <w:marLeft w:val="0"/>
                      <w:marRight w:val="0"/>
                      <w:marTop w:val="0"/>
                      <w:marBottom w:val="0"/>
                      <w:divBdr>
                        <w:top w:val="none" w:sz="0" w:space="0" w:color="auto"/>
                        <w:left w:val="none" w:sz="0" w:space="0" w:color="auto"/>
                        <w:bottom w:val="none" w:sz="0" w:space="0" w:color="auto"/>
                        <w:right w:val="none" w:sz="0" w:space="0" w:color="auto"/>
                      </w:divBdr>
                      <w:divsChild>
                        <w:div w:id="1809127771">
                          <w:marLeft w:val="0"/>
                          <w:marRight w:val="0"/>
                          <w:marTop w:val="0"/>
                          <w:marBottom w:val="0"/>
                          <w:divBdr>
                            <w:top w:val="none" w:sz="0" w:space="0" w:color="auto"/>
                            <w:left w:val="none" w:sz="0" w:space="0" w:color="auto"/>
                            <w:bottom w:val="none" w:sz="0" w:space="0" w:color="auto"/>
                            <w:right w:val="none" w:sz="0" w:space="0" w:color="auto"/>
                          </w:divBdr>
                          <w:divsChild>
                            <w:div w:id="2081900049">
                              <w:marLeft w:val="0"/>
                              <w:marRight w:val="0"/>
                              <w:marTop w:val="0"/>
                              <w:marBottom w:val="0"/>
                              <w:divBdr>
                                <w:top w:val="none" w:sz="0" w:space="0" w:color="auto"/>
                                <w:left w:val="none" w:sz="0" w:space="0" w:color="auto"/>
                                <w:bottom w:val="none" w:sz="0" w:space="0" w:color="auto"/>
                                <w:right w:val="none" w:sz="0" w:space="0" w:color="auto"/>
                              </w:divBdr>
                            </w:div>
                            <w:div w:id="566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1550">
                  <w:marLeft w:val="-420"/>
                  <w:marRight w:val="0"/>
                  <w:marTop w:val="0"/>
                  <w:marBottom w:val="0"/>
                  <w:divBdr>
                    <w:top w:val="none" w:sz="0" w:space="0" w:color="auto"/>
                    <w:left w:val="none" w:sz="0" w:space="0" w:color="auto"/>
                    <w:bottom w:val="none" w:sz="0" w:space="0" w:color="auto"/>
                    <w:right w:val="none" w:sz="0" w:space="0" w:color="auto"/>
                  </w:divBdr>
                  <w:divsChild>
                    <w:div w:id="1674601852">
                      <w:marLeft w:val="0"/>
                      <w:marRight w:val="0"/>
                      <w:marTop w:val="0"/>
                      <w:marBottom w:val="0"/>
                      <w:divBdr>
                        <w:top w:val="none" w:sz="0" w:space="0" w:color="auto"/>
                        <w:left w:val="none" w:sz="0" w:space="0" w:color="auto"/>
                        <w:bottom w:val="none" w:sz="0" w:space="0" w:color="auto"/>
                        <w:right w:val="none" w:sz="0" w:space="0" w:color="auto"/>
                      </w:divBdr>
                      <w:divsChild>
                        <w:div w:id="302808742">
                          <w:marLeft w:val="0"/>
                          <w:marRight w:val="0"/>
                          <w:marTop w:val="0"/>
                          <w:marBottom w:val="0"/>
                          <w:divBdr>
                            <w:top w:val="none" w:sz="0" w:space="0" w:color="auto"/>
                            <w:left w:val="none" w:sz="0" w:space="0" w:color="auto"/>
                            <w:bottom w:val="none" w:sz="0" w:space="0" w:color="auto"/>
                            <w:right w:val="none" w:sz="0" w:space="0" w:color="auto"/>
                          </w:divBdr>
                          <w:divsChild>
                            <w:div w:id="1050227767">
                              <w:marLeft w:val="0"/>
                              <w:marRight w:val="0"/>
                              <w:marTop w:val="0"/>
                              <w:marBottom w:val="0"/>
                              <w:divBdr>
                                <w:top w:val="none" w:sz="0" w:space="0" w:color="auto"/>
                                <w:left w:val="none" w:sz="0" w:space="0" w:color="auto"/>
                                <w:bottom w:val="none" w:sz="0" w:space="0" w:color="auto"/>
                                <w:right w:val="none" w:sz="0" w:space="0" w:color="auto"/>
                              </w:divBdr>
                            </w:div>
                            <w:div w:id="881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0861">
                  <w:marLeft w:val="-420"/>
                  <w:marRight w:val="0"/>
                  <w:marTop w:val="0"/>
                  <w:marBottom w:val="0"/>
                  <w:divBdr>
                    <w:top w:val="none" w:sz="0" w:space="0" w:color="auto"/>
                    <w:left w:val="none" w:sz="0" w:space="0" w:color="auto"/>
                    <w:bottom w:val="none" w:sz="0" w:space="0" w:color="auto"/>
                    <w:right w:val="none" w:sz="0" w:space="0" w:color="auto"/>
                  </w:divBdr>
                  <w:divsChild>
                    <w:div w:id="835607478">
                      <w:marLeft w:val="0"/>
                      <w:marRight w:val="0"/>
                      <w:marTop w:val="0"/>
                      <w:marBottom w:val="0"/>
                      <w:divBdr>
                        <w:top w:val="none" w:sz="0" w:space="0" w:color="auto"/>
                        <w:left w:val="none" w:sz="0" w:space="0" w:color="auto"/>
                        <w:bottom w:val="none" w:sz="0" w:space="0" w:color="auto"/>
                        <w:right w:val="none" w:sz="0" w:space="0" w:color="auto"/>
                      </w:divBdr>
                      <w:divsChild>
                        <w:div w:id="1937446111">
                          <w:marLeft w:val="0"/>
                          <w:marRight w:val="0"/>
                          <w:marTop w:val="0"/>
                          <w:marBottom w:val="0"/>
                          <w:divBdr>
                            <w:top w:val="none" w:sz="0" w:space="0" w:color="auto"/>
                            <w:left w:val="none" w:sz="0" w:space="0" w:color="auto"/>
                            <w:bottom w:val="none" w:sz="0" w:space="0" w:color="auto"/>
                            <w:right w:val="none" w:sz="0" w:space="0" w:color="auto"/>
                          </w:divBdr>
                          <w:divsChild>
                            <w:div w:id="2075546754">
                              <w:marLeft w:val="0"/>
                              <w:marRight w:val="0"/>
                              <w:marTop w:val="0"/>
                              <w:marBottom w:val="0"/>
                              <w:divBdr>
                                <w:top w:val="none" w:sz="0" w:space="0" w:color="auto"/>
                                <w:left w:val="none" w:sz="0" w:space="0" w:color="auto"/>
                                <w:bottom w:val="none" w:sz="0" w:space="0" w:color="auto"/>
                                <w:right w:val="none" w:sz="0" w:space="0" w:color="auto"/>
                              </w:divBdr>
                            </w:div>
                            <w:div w:id="2472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7583">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 w:id="18507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1152</Words>
  <Characters>6571</Characters>
  <Application>Microsoft Office Word</Application>
  <DocSecurity>0</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Miguel A. Candelario Piñeiro</cp:lastModifiedBy>
  <cp:revision>24</cp:revision>
  <cp:lastPrinted>2025-01-29T12:24:00Z</cp:lastPrinted>
  <dcterms:created xsi:type="dcterms:W3CDTF">2026-01-12T15:10:00Z</dcterms:created>
  <dcterms:modified xsi:type="dcterms:W3CDTF">2026-06-03T18:52:00Z</dcterms:modified>
</cp:coreProperties>
</file>