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7797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7797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7797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7797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4790F77F" w:rsidR="002670C1" w:rsidRPr="0047797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77976">
        <w:rPr>
          <w:rFonts w:ascii="Book Antiqua" w:hAnsi="Book Antiqua"/>
          <w:szCs w:val="24"/>
          <w:lang w:val="es-ES_tradnl"/>
        </w:rPr>
        <w:t>20m</w:t>
      </w:r>
      <w:r w:rsidR="002670C1" w:rsidRPr="00477976">
        <w:rPr>
          <w:rFonts w:ascii="Book Antiqua" w:hAnsi="Book Antiqua"/>
          <w:szCs w:val="24"/>
          <w:lang w:val="es-ES_tradnl"/>
        </w:rPr>
        <w:t>a. Asamblea</w:t>
      </w:r>
      <w:r w:rsidR="002670C1" w:rsidRPr="0047797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7797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77976">
        <w:rPr>
          <w:rFonts w:ascii="Book Antiqua" w:hAnsi="Book Antiqua"/>
          <w:szCs w:val="24"/>
          <w:lang w:val="es-ES_tradnl"/>
        </w:rPr>
        <w:t xml:space="preserve">  </w:t>
      </w:r>
      <w:r w:rsidR="00831B65" w:rsidRPr="00477976">
        <w:rPr>
          <w:rFonts w:ascii="Book Antiqua" w:hAnsi="Book Antiqua"/>
          <w:szCs w:val="24"/>
          <w:lang w:val="es-ES_tradnl"/>
        </w:rPr>
        <w:t>3r</w:t>
      </w:r>
      <w:r w:rsidR="002670C1" w:rsidRPr="0047797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7797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77976">
        <w:rPr>
          <w:rFonts w:ascii="Book Antiqua" w:hAnsi="Book Antiqua"/>
          <w:szCs w:val="24"/>
          <w:lang w:val="es-ES_tradnl"/>
        </w:rPr>
        <w:tab/>
        <w:t>Legislativa</w:t>
      </w:r>
      <w:r w:rsidRPr="0047797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77976">
        <w:rPr>
          <w:rFonts w:ascii="Book Antiqua" w:hAnsi="Book Antiqua"/>
          <w:szCs w:val="24"/>
          <w:lang w:val="es-ES_tradnl"/>
        </w:rPr>
        <w:t xml:space="preserve">       </w:t>
      </w:r>
      <w:r w:rsidRPr="00477976">
        <w:rPr>
          <w:rFonts w:ascii="Book Antiqua" w:hAnsi="Book Antiqua"/>
          <w:szCs w:val="24"/>
          <w:lang w:val="es-ES_tradnl"/>
        </w:rPr>
        <w:t xml:space="preserve"> </w:t>
      </w:r>
      <w:r w:rsidR="00632DBA" w:rsidRPr="00477976">
        <w:rPr>
          <w:rFonts w:ascii="Book Antiqua" w:hAnsi="Book Antiqua"/>
          <w:szCs w:val="24"/>
          <w:lang w:val="es-ES_tradnl"/>
        </w:rPr>
        <w:t xml:space="preserve"> </w:t>
      </w:r>
      <w:r w:rsidRPr="0047797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7797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7797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7797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7797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7797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1ABF0FF" w:rsidR="002670C1" w:rsidRPr="0047797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77976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335B76" w:rsidRPr="00477976">
        <w:rPr>
          <w:rFonts w:ascii="Book Antiqua" w:hAnsi="Book Antiqua" w:cs="Tahoma"/>
          <w:b/>
          <w:sz w:val="52"/>
          <w:szCs w:val="52"/>
          <w:lang w:val="es-ES_tradnl"/>
        </w:rPr>
        <w:t xml:space="preserve"> 538</w:t>
      </w:r>
      <w:r w:rsidRPr="00477976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47797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7797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7797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7797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7797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BD89881" w:rsidR="002670C1" w:rsidRPr="00477976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77976">
        <w:rPr>
          <w:rFonts w:ascii="Book Antiqua" w:hAnsi="Book Antiqua" w:cs="Tahoma"/>
          <w:lang w:val="es-ES_tradnl"/>
        </w:rPr>
        <w:t xml:space="preserve"> </w:t>
      </w:r>
      <w:r w:rsidR="00335B76" w:rsidRPr="00477976">
        <w:rPr>
          <w:rFonts w:ascii="Book Antiqua" w:hAnsi="Book Antiqua" w:cs="Tahoma"/>
          <w:lang w:val="es-ES_tradnl"/>
        </w:rPr>
        <w:t>2</w:t>
      </w:r>
      <w:r w:rsidR="00181B4F">
        <w:rPr>
          <w:rFonts w:ascii="Book Antiqua" w:hAnsi="Book Antiqua" w:cs="Tahoma"/>
          <w:lang w:val="es-ES_tradnl"/>
        </w:rPr>
        <w:t>4</w:t>
      </w:r>
      <w:r w:rsidRPr="00477976">
        <w:rPr>
          <w:rFonts w:ascii="Book Antiqua" w:hAnsi="Book Antiqua" w:cs="Tahoma"/>
          <w:lang w:val="es-ES_tradnl"/>
        </w:rPr>
        <w:t xml:space="preserve"> de </w:t>
      </w:r>
      <w:r w:rsidR="00831B65" w:rsidRPr="00477976">
        <w:rPr>
          <w:rFonts w:ascii="Book Antiqua" w:hAnsi="Book Antiqua" w:cs="Tahoma"/>
          <w:lang w:val="es-ES_tradnl"/>
        </w:rPr>
        <w:t>marzo</w:t>
      </w:r>
      <w:r w:rsidRPr="00477976">
        <w:rPr>
          <w:rFonts w:ascii="Book Antiqua" w:hAnsi="Book Antiqua" w:cs="Tahoma"/>
          <w:lang w:val="es-ES_tradnl"/>
        </w:rPr>
        <w:t xml:space="preserve"> de </w:t>
      </w:r>
      <w:r w:rsidR="003C7BBF" w:rsidRPr="00477976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47797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7797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7797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7797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7797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1CA6528" w:rsidR="00682883" w:rsidRPr="00477976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77976">
        <w:rPr>
          <w:rFonts w:ascii="Book Antiqua" w:hAnsi="Book Antiqua" w:cs="Tahoma"/>
          <w:lang w:val="es-ES_tradnl"/>
        </w:rPr>
        <w:tab/>
      </w:r>
      <w:r w:rsidR="008A4022" w:rsidRPr="0047797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77976">
        <w:rPr>
          <w:rFonts w:ascii="Book Antiqua" w:hAnsi="Book Antiqua" w:cs="Tahoma"/>
          <w:lang w:val="es-ES_tradnl"/>
        </w:rPr>
        <w:t>sideración de la R. de la C.</w:t>
      </w:r>
      <w:r w:rsidR="00335B76" w:rsidRPr="00477976">
        <w:rPr>
          <w:rFonts w:ascii="Book Antiqua" w:hAnsi="Book Antiqua" w:cs="Tahoma"/>
          <w:lang w:val="es-ES_tradnl"/>
        </w:rPr>
        <w:t xml:space="preserve"> 538</w:t>
      </w:r>
      <w:r w:rsidR="00FA5F29" w:rsidRPr="00477976">
        <w:rPr>
          <w:rFonts w:ascii="Book Antiqua" w:hAnsi="Book Antiqua" w:cs="Tahoma"/>
          <w:lang w:val="es-ES_tradnl"/>
        </w:rPr>
        <w:t xml:space="preserve">, </w:t>
      </w:r>
      <w:r w:rsidR="00682883" w:rsidRPr="00477976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477976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DD0BAF8" w:rsidR="008D4A0A" w:rsidRPr="00477976" w:rsidRDefault="00BC1CB2" w:rsidP="00335B76">
      <w:pPr>
        <w:ind w:left="567" w:hanging="567"/>
        <w:jc w:val="both"/>
        <w:rPr>
          <w:rFonts w:ascii="Book Antiqua" w:hAnsi="Book Antiqua"/>
          <w:lang w:val="es-ES_tradnl"/>
        </w:rPr>
      </w:pPr>
      <w:r w:rsidRPr="00477976">
        <w:rPr>
          <w:rFonts w:ascii="Book Antiqua" w:hAnsi="Book Antiqua" w:cs="Tahoma"/>
          <w:lang w:val="es-ES_tradnl"/>
        </w:rPr>
        <w:t xml:space="preserve"> </w:t>
      </w:r>
      <w:r w:rsidR="00E86FF9" w:rsidRPr="00477976">
        <w:rPr>
          <w:rFonts w:ascii="Book Antiqua" w:hAnsi="Book Antiqua" w:cs="Tahoma"/>
          <w:lang w:val="es-ES_tradnl"/>
        </w:rPr>
        <w:t>“</w:t>
      </w:r>
      <w:r w:rsidR="00E86FF9" w:rsidRPr="00477976">
        <w:rPr>
          <w:rFonts w:ascii="Book Antiqua" w:hAnsi="Book Antiqua"/>
          <w:lang w:val="es-ES_tradnl"/>
        </w:rPr>
        <w:t>Para</w:t>
      </w:r>
      <w:r w:rsidR="00E86FF9" w:rsidRPr="00477976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477976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477976">
        <w:rPr>
          <w:rFonts w:ascii="Book Antiqua" w:hAnsi="Book Antiqua"/>
          <w:lang w:val="es-ES_tradnl"/>
        </w:rPr>
        <w:t xml:space="preserve">a la Comisión </w:t>
      </w:r>
      <w:r w:rsidR="00C321E8" w:rsidRPr="00477976">
        <w:rPr>
          <w:rFonts w:ascii="Book Antiqua" w:hAnsi="Book Antiqua"/>
          <w:lang w:val="es-ES_tradnl"/>
        </w:rPr>
        <w:t>de</w:t>
      </w:r>
      <w:r w:rsidR="00DF3E6F" w:rsidRPr="00477976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335B76" w:rsidRPr="00477976">
        <w:rPr>
          <w:rFonts w:ascii="Book Antiqua" w:hAnsi="Book Antiqua"/>
          <w:lang w:val="es-ES_tradnl"/>
        </w:rPr>
        <w:t xml:space="preserve">lo Jurídico de la Cámara de Representantes de Puerto Rico </w:t>
      </w:r>
      <w:r w:rsidR="00335B76" w:rsidRPr="00477976">
        <w:rPr>
          <w:rFonts w:ascii="Book Antiqua" w:hAnsi="Book Antiqua"/>
          <w:strike/>
          <w:lang w:val="es-ES_tradnl"/>
        </w:rPr>
        <w:t>a</w:t>
      </w:r>
      <w:r w:rsidR="00335B76" w:rsidRPr="00477976">
        <w:rPr>
          <w:rFonts w:ascii="Book Antiqua" w:hAnsi="Book Antiqua"/>
          <w:lang w:val="es-ES_tradnl"/>
        </w:rPr>
        <w:t xml:space="preserve"> realizar una investigación exhaustiva sobre el marco legal, reglamentario y administrativo aplicable a las personas menores de edad y a las personas jóvenes, incluyendo los criterios de edad que rigen el acceso a servicios, el reconocimiento de capacidades legales, el ejercicio de derechos y el cumplimiento de responsabilidades en Puerto Rico; evaluar la coherencia, consistencia y aplicación práctica de dicho marco normativo; y para otros fines relacionados.</w:t>
      </w:r>
      <w:r w:rsidR="00FA5F29" w:rsidRPr="00477976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477976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47797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7797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47797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6578290" w14:textId="39FC0952" w:rsidR="00477976" w:rsidRPr="00477976" w:rsidRDefault="00CC4336" w:rsidP="00477976">
      <w:pPr>
        <w:jc w:val="both"/>
        <w:rPr>
          <w:rFonts w:ascii="Book Antiqua" w:hAnsi="Book Antiqua"/>
          <w:lang w:val="es-ES_tradnl"/>
        </w:rPr>
      </w:pPr>
      <w:r w:rsidRPr="00477976">
        <w:rPr>
          <w:rFonts w:ascii="Book Antiqua" w:eastAsiaTheme="minorHAnsi" w:hAnsi="Book Antiqua"/>
          <w:lang w:val="es-ES_tradnl"/>
        </w:rPr>
        <w:t xml:space="preserve">     </w:t>
      </w:r>
      <w:r w:rsidR="00DE02EB" w:rsidRPr="00477976">
        <w:rPr>
          <w:rFonts w:ascii="Book Antiqua" w:hAnsi="Book Antiqua"/>
          <w:lang w:val="es-ES_tradnl"/>
        </w:rPr>
        <w:t>La</w:t>
      </w:r>
      <w:r w:rsidR="00194744" w:rsidRPr="00477976">
        <w:rPr>
          <w:rFonts w:ascii="Book Antiqua" w:hAnsi="Book Antiqua"/>
          <w:lang w:val="es-ES_tradnl"/>
        </w:rPr>
        <w:t xml:space="preserve"> Resolución de la Cámara Núm.</w:t>
      </w:r>
      <w:r w:rsidR="000F1167" w:rsidRPr="00477976">
        <w:rPr>
          <w:rFonts w:ascii="Book Antiqua" w:hAnsi="Book Antiqua"/>
          <w:lang w:val="es-ES_tradnl"/>
        </w:rPr>
        <w:t xml:space="preserve"> </w:t>
      </w:r>
      <w:r w:rsidR="00335B76" w:rsidRPr="00477976">
        <w:rPr>
          <w:rFonts w:ascii="Book Antiqua" w:hAnsi="Book Antiqua"/>
          <w:lang w:val="es-ES_tradnl"/>
        </w:rPr>
        <w:t xml:space="preserve">538 </w:t>
      </w:r>
      <w:r w:rsidR="00DF3E6F" w:rsidRPr="00477976">
        <w:rPr>
          <w:rFonts w:ascii="Book Antiqua" w:hAnsi="Book Antiqua"/>
          <w:lang w:val="es-ES_tradnl"/>
        </w:rPr>
        <w:t>tiene el propósito de realizar una</w:t>
      </w:r>
      <w:r w:rsidR="00477976" w:rsidRPr="00477976">
        <w:rPr>
          <w:rFonts w:ascii="Book Antiqua" w:hAnsi="Book Antiqua"/>
          <w:lang w:val="es-ES_tradnl"/>
        </w:rPr>
        <w:t xml:space="preserve"> investigación exhaustiva sobre </w:t>
      </w:r>
      <w:r w:rsidR="00477976" w:rsidRPr="00477976">
        <w:rPr>
          <w:rFonts w:ascii="Book Antiqua" w:eastAsiaTheme="minorHAnsi" w:hAnsi="Book Antiqua"/>
          <w:lang w:val="es-ES_tradnl"/>
        </w:rPr>
        <w:t xml:space="preserve">el marco legal, reglamentario y administrativo aplicable a las personas menores de edad y a las personas jóvenes en Puerto Rico. En particular, la medida persigue examinar los distintos criterios de edad utilizados en nuestro ordenamiento para regular el acceso a servicios, el reconocimiento de capacidades legales, el ejercicio de derechos y el cumplimiento de responsabilidades, así como evaluar la coherencia, consistencia y aplicación práctica de dicho entramado normativo. </w:t>
      </w:r>
    </w:p>
    <w:p w14:paraId="063898DF" w14:textId="14FE4F15" w:rsidR="00477976" w:rsidRPr="00477976" w:rsidRDefault="00477976" w:rsidP="0047797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77976">
        <w:rPr>
          <w:rFonts w:ascii="Book Antiqua" w:eastAsiaTheme="minorHAnsi" w:hAnsi="Book Antiqua"/>
          <w:lang w:val="es-ES_tradnl"/>
        </w:rPr>
        <w:lastRenderedPageBreak/>
        <w:t xml:space="preserve">     Surge de la exposición de motivos que el ordenamiento jurídico de Puerto Rico contiene múltiples disposiciones legales, reglamentarias y administrativas que utilizan criterios de edad diversos según la materia regulada, la legislación especial aplicable y las prácticas administrativas de las agencias concernidas. La medida señala que ese marco normativo incide directamente sobre las personas menores de edad y sobre las personas jóvenes que transitan hacia la adultez legal, por lo que resulta necesario examinar de manera integral la racionalidad, coherencia y aplicación de dichos criterios en distintas áreas de política pública. </w:t>
      </w:r>
    </w:p>
    <w:p w14:paraId="444D4C39" w14:textId="7B2C8642" w:rsidR="00477976" w:rsidRPr="00477976" w:rsidRDefault="00477976" w:rsidP="0047797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77976">
        <w:rPr>
          <w:rFonts w:ascii="Book Antiqua" w:eastAsiaTheme="minorHAnsi" w:hAnsi="Book Antiqua"/>
          <w:lang w:val="es-ES_tradnl"/>
        </w:rPr>
        <w:t xml:space="preserve">     Asimismo, la medida destaca que en áreas tales como salud, educación, empleo, vivienda, justicia, bienestar social, contratación y servicios financieros se emplean umbrales de edad específicos que no siempre responden a un estándar uniforme ni armonizado. Como consecuencia, una misma persona puede ser considerada elegible, capaz o responsable para unos fines y no para otros, dependiendo del estatuto, reglamento o práctica administrativa aplicable. Ese señalamiento justifica la conveniencia de contar con una evaluación abarcadora que permita identificar posibles inconsistencias, vacíos o divergencias en la política pública vigente. </w:t>
      </w:r>
    </w:p>
    <w:p w14:paraId="05E78832" w14:textId="709438EE" w:rsidR="00DF3E6F" w:rsidRPr="00477976" w:rsidRDefault="00477976" w:rsidP="0047797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77976">
        <w:rPr>
          <w:rFonts w:ascii="Book Antiqua" w:eastAsiaTheme="minorHAnsi" w:hAnsi="Book Antiqua"/>
          <w:lang w:val="es-ES_tradnl"/>
        </w:rPr>
        <w:t xml:space="preserve">     La Comisión entiende que la medida persigue un propósito legítimo de análisis legislativo y de evaluación del ordenamiento vigente en cuanto al trato jurídico de la niñez, la adolescencia y la juventud. </w:t>
      </w:r>
    </w:p>
    <w:p w14:paraId="7645A4CC" w14:textId="77777777" w:rsidR="006150BB" w:rsidRPr="00477976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7797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15F55D39" w:rsidR="008B1E7C" w:rsidRPr="00477976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77976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477976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477976">
        <w:rPr>
          <w:rFonts w:ascii="Book Antiqua" w:hAnsi="Book Antiqua"/>
          <w:sz w:val="24"/>
          <w:szCs w:val="24"/>
          <w:lang w:val="es-ES_tradnl"/>
        </w:rPr>
        <w:t>e l</w:t>
      </w:r>
      <w:r w:rsidR="00E70813">
        <w:rPr>
          <w:rFonts w:ascii="Book Antiqua" w:hAnsi="Book Antiqua"/>
          <w:sz w:val="24"/>
          <w:szCs w:val="24"/>
          <w:lang w:val="es-ES_tradnl"/>
        </w:rPr>
        <w:t>a Resolución de la Cámara 538</w:t>
      </w:r>
      <w:r w:rsidR="008B1E7C" w:rsidRPr="00477976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77777777" w:rsidR="006150BB" w:rsidRPr="00477976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77976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477976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477976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77976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477976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477976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477976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477976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477976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7797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77976">
        <w:rPr>
          <w:rFonts w:ascii="Book Antiqua" w:hAnsi="Book Antiqua" w:cs="Tahoma"/>
          <w:lang w:val="es-ES_tradnl"/>
        </w:rPr>
        <w:br/>
        <w:t>Presidente</w:t>
      </w:r>
      <w:r w:rsidRPr="00477976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7797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E0A99" w14:textId="77777777" w:rsidR="00622B95" w:rsidRDefault="00622B95" w:rsidP="00614C2C">
      <w:r>
        <w:separator/>
      </w:r>
    </w:p>
  </w:endnote>
  <w:endnote w:type="continuationSeparator" w:id="0">
    <w:p w14:paraId="1AF82C01" w14:textId="77777777" w:rsidR="00622B95" w:rsidRDefault="00622B9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08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5F73" w14:textId="77777777" w:rsidR="00622B95" w:rsidRDefault="00622B95" w:rsidP="00614C2C">
      <w:r>
        <w:separator/>
      </w:r>
    </w:p>
  </w:footnote>
  <w:footnote w:type="continuationSeparator" w:id="0">
    <w:p w14:paraId="665E1EB3" w14:textId="77777777" w:rsidR="00622B95" w:rsidRDefault="00622B9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832096">
    <w:abstractNumId w:val="6"/>
  </w:num>
  <w:num w:numId="2" w16cid:durableId="563370257">
    <w:abstractNumId w:val="12"/>
  </w:num>
  <w:num w:numId="3" w16cid:durableId="1803771865">
    <w:abstractNumId w:val="3"/>
  </w:num>
  <w:num w:numId="4" w16cid:durableId="1623265546">
    <w:abstractNumId w:val="1"/>
  </w:num>
  <w:num w:numId="5" w16cid:durableId="433132466">
    <w:abstractNumId w:val="7"/>
  </w:num>
  <w:num w:numId="6" w16cid:durableId="371807655">
    <w:abstractNumId w:val="4"/>
  </w:num>
  <w:num w:numId="7" w16cid:durableId="1744527968">
    <w:abstractNumId w:val="5"/>
  </w:num>
  <w:num w:numId="8" w16cid:durableId="82188938">
    <w:abstractNumId w:val="8"/>
  </w:num>
  <w:num w:numId="9" w16cid:durableId="1588923016">
    <w:abstractNumId w:val="9"/>
  </w:num>
  <w:num w:numId="10" w16cid:durableId="301228864">
    <w:abstractNumId w:val="0"/>
  </w:num>
  <w:num w:numId="11" w16cid:durableId="1167134285">
    <w:abstractNumId w:val="2"/>
  </w:num>
  <w:num w:numId="12" w16cid:durableId="779254103">
    <w:abstractNumId w:val="11"/>
  </w:num>
  <w:num w:numId="13" w16cid:durableId="5723550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0F43"/>
    <w:rsid w:val="000F1167"/>
    <w:rsid w:val="00133986"/>
    <w:rsid w:val="0014288C"/>
    <w:rsid w:val="00173884"/>
    <w:rsid w:val="001763F4"/>
    <w:rsid w:val="00181B4F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35B76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7BBF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77976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5EF7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2B95"/>
    <w:rsid w:val="00624D05"/>
    <w:rsid w:val="00632DBA"/>
    <w:rsid w:val="00644454"/>
    <w:rsid w:val="006456B8"/>
    <w:rsid w:val="006469A2"/>
    <w:rsid w:val="00680F2A"/>
    <w:rsid w:val="00682883"/>
    <w:rsid w:val="006B0997"/>
    <w:rsid w:val="006E6CE9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31B65"/>
    <w:rsid w:val="00846B7C"/>
    <w:rsid w:val="00851127"/>
    <w:rsid w:val="008A0F7D"/>
    <w:rsid w:val="008A1F08"/>
    <w:rsid w:val="008A4022"/>
    <w:rsid w:val="008B1E7C"/>
    <w:rsid w:val="008B6BF6"/>
    <w:rsid w:val="008C111B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1286C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081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416F8DE-C21B-4505-B1CF-B8A5E57C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</cp:revision>
  <cp:lastPrinted>2025-02-17T12:55:00Z</cp:lastPrinted>
  <dcterms:created xsi:type="dcterms:W3CDTF">2026-03-24T15:51:00Z</dcterms:created>
  <dcterms:modified xsi:type="dcterms:W3CDTF">2026-03-24T17:12:00Z</dcterms:modified>
</cp:coreProperties>
</file>