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B381C2" w14:textId="77777777" w:rsidR="008958CC" w:rsidRPr="003A208B" w:rsidRDefault="008958CC" w:rsidP="008958CC">
      <w:pPr>
        <w:jc w:val="center"/>
        <w:rPr>
          <w:rFonts w:ascii="Book Antiqua" w:hAnsi="Book Antiqua"/>
          <w:bCs/>
          <w:color w:val="000000" w:themeColor="text1"/>
          <w:sz w:val="28"/>
          <w:szCs w:val="28"/>
          <w:lang w:val="es-PR"/>
        </w:rPr>
      </w:pPr>
      <w:r w:rsidRPr="003A208B">
        <w:rPr>
          <w:rFonts w:ascii="Book Antiqua" w:hAnsi="Book Antiqua"/>
          <w:bCs/>
          <w:color w:val="000000" w:themeColor="text1"/>
          <w:sz w:val="28"/>
          <w:szCs w:val="28"/>
          <w:lang w:val="es-PR"/>
        </w:rPr>
        <w:t>GOBIERNO DE PUERTO RICO</w:t>
      </w:r>
    </w:p>
    <w:p w14:paraId="2D85AAF9" w14:textId="77777777" w:rsidR="008958CC" w:rsidRPr="003A208B" w:rsidRDefault="008958CC" w:rsidP="008958CC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7BFCCE79" w14:textId="14C36E80" w:rsidR="008958CC" w:rsidRPr="003A208B" w:rsidRDefault="008958CC" w:rsidP="008958CC">
      <w:pPr>
        <w:pStyle w:val="Title2"/>
        <w:rPr>
          <w:rFonts w:ascii="Book Antiqua" w:hAnsi="Book Antiqua"/>
          <w:color w:val="000000" w:themeColor="text1"/>
          <w:lang w:val="es-PR"/>
        </w:rPr>
      </w:pPr>
      <w:r w:rsidRPr="003A208B">
        <w:rPr>
          <w:rFonts w:ascii="Book Antiqua" w:hAnsi="Book Antiqua"/>
          <w:color w:val="000000" w:themeColor="text1"/>
          <w:lang w:val="es-PR"/>
        </w:rPr>
        <w:t xml:space="preserve">20 </w:t>
      </w:r>
      <w:r w:rsidRPr="003A208B">
        <w:rPr>
          <w:rFonts w:ascii="Book Antiqua" w:hAnsi="Book Antiqua"/>
          <w:color w:val="000000" w:themeColor="text1"/>
          <w:vertAlign w:val="superscript"/>
          <w:lang w:val="es-PR"/>
        </w:rPr>
        <w:t>ma.</w:t>
      </w:r>
      <w:r w:rsidRPr="003A208B">
        <w:rPr>
          <w:rFonts w:ascii="Book Antiqua" w:hAnsi="Book Antiqua"/>
          <w:color w:val="000000" w:themeColor="text1"/>
          <w:lang w:val="es-PR"/>
        </w:rPr>
        <w:tab/>
        <w:t>Asamblea</w:t>
      </w:r>
      <w:r w:rsidRPr="003A208B">
        <w:rPr>
          <w:rFonts w:ascii="Book Antiqua" w:hAnsi="Book Antiqua"/>
          <w:color w:val="000000" w:themeColor="text1"/>
          <w:lang w:val="es-PR"/>
        </w:rPr>
        <w:tab/>
      </w:r>
      <w:r w:rsidR="008C2FD0">
        <w:rPr>
          <w:rFonts w:ascii="Book Antiqua" w:hAnsi="Book Antiqua"/>
          <w:color w:val="000000" w:themeColor="text1"/>
          <w:lang w:val="es-PR"/>
        </w:rPr>
        <w:t>3</w:t>
      </w:r>
      <w:r w:rsidR="008C2FD0">
        <w:rPr>
          <w:rFonts w:ascii="Book Antiqua" w:hAnsi="Book Antiqua"/>
          <w:color w:val="000000" w:themeColor="text1"/>
          <w:vertAlign w:val="superscript"/>
          <w:lang w:val="es-PR"/>
        </w:rPr>
        <w:t>r</w:t>
      </w:r>
      <w:r w:rsidRPr="003A208B">
        <w:rPr>
          <w:rFonts w:ascii="Book Antiqua" w:hAnsi="Book Antiqua"/>
          <w:color w:val="000000" w:themeColor="text1"/>
          <w:vertAlign w:val="superscript"/>
          <w:lang w:val="es-PR"/>
        </w:rPr>
        <w:t>a.</w:t>
      </w:r>
      <w:r w:rsidRPr="003A208B">
        <w:rPr>
          <w:rFonts w:ascii="Book Antiqua" w:hAnsi="Book Antiqua"/>
          <w:color w:val="000000" w:themeColor="text1"/>
          <w:vertAlign w:val="superscript"/>
          <w:lang w:val="es-PR"/>
        </w:rPr>
        <w:tab/>
      </w:r>
      <w:r w:rsidRPr="003A208B">
        <w:rPr>
          <w:rFonts w:ascii="Book Antiqua" w:hAnsi="Book Antiqua"/>
          <w:color w:val="000000" w:themeColor="text1"/>
          <w:lang w:val="es-PR"/>
        </w:rPr>
        <w:t>Sesión</w:t>
      </w:r>
    </w:p>
    <w:p w14:paraId="2C89E4C1" w14:textId="77777777" w:rsidR="008958CC" w:rsidRPr="003A208B" w:rsidRDefault="008958CC" w:rsidP="008958CC">
      <w:pPr>
        <w:pStyle w:val="Title2"/>
        <w:rPr>
          <w:rFonts w:ascii="Book Antiqua" w:hAnsi="Book Antiqua"/>
          <w:color w:val="000000" w:themeColor="text1"/>
          <w:lang w:val="es-PR"/>
        </w:rPr>
      </w:pPr>
      <w:r w:rsidRPr="003A208B">
        <w:rPr>
          <w:rFonts w:ascii="Book Antiqua" w:hAnsi="Book Antiqua"/>
          <w:color w:val="000000" w:themeColor="text1"/>
          <w:lang w:val="es-PR"/>
        </w:rPr>
        <w:tab/>
        <w:t>Legislativa</w:t>
      </w:r>
      <w:r w:rsidRPr="003A208B">
        <w:rPr>
          <w:rFonts w:ascii="Book Antiqua" w:hAnsi="Book Antiqua"/>
          <w:color w:val="000000" w:themeColor="text1"/>
          <w:lang w:val="es-PR"/>
        </w:rPr>
        <w:tab/>
      </w:r>
      <w:r w:rsidRPr="003A208B">
        <w:rPr>
          <w:rFonts w:ascii="Book Antiqua" w:hAnsi="Book Antiqua"/>
          <w:color w:val="000000" w:themeColor="text1"/>
          <w:lang w:val="es-PR"/>
        </w:rPr>
        <w:tab/>
        <w:t>Ordinaria</w:t>
      </w:r>
    </w:p>
    <w:p w14:paraId="41199010" w14:textId="77777777" w:rsidR="008958CC" w:rsidRPr="003A208B" w:rsidRDefault="008958CC" w:rsidP="008958CC">
      <w:pPr>
        <w:rPr>
          <w:rFonts w:ascii="Book Antiqua" w:hAnsi="Book Antiqua"/>
          <w:color w:val="000000" w:themeColor="text1"/>
          <w:lang w:val="es-PR"/>
        </w:rPr>
      </w:pPr>
    </w:p>
    <w:p w14:paraId="0CB88863" w14:textId="77777777" w:rsidR="008958CC" w:rsidRPr="003A208B" w:rsidRDefault="008958CC" w:rsidP="008958CC">
      <w:pPr>
        <w:jc w:val="center"/>
        <w:rPr>
          <w:rFonts w:ascii="Book Antiqua" w:hAnsi="Book Antiqua"/>
          <w:b/>
          <w:color w:val="000000" w:themeColor="text1"/>
          <w:sz w:val="36"/>
          <w:lang w:val="es-PR"/>
        </w:rPr>
      </w:pPr>
      <w:r w:rsidRPr="003A208B">
        <w:rPr>
          <w:rFonts w:ascii="Book Antiqua" w:hAnsi="Book Antiqua"/>
          <w:b/>
          <w:color w:val="000000" w:themeColor="text1"/>
          <w:sz w:val="36"/>
          <w:lang w:val="es-PR"/>
        </w:rPr>
        <w:t>CÁMARA DE REPRESENTANTES</w:t>
      </w:r>
    </w:p>
    <w:p w14:paraId="1E54F7E3" w14:textId="77777777" w:rsidR="008958CC" w:rsidRPr="003A208B" w:rsidRDefault="008958CC" w:rsidP="008958CC">
      <w:pPr>
        <w:jc w:val="center"/>
        <w:rPr>
          <w:rFonts w:ascii="Book Antiqua" w:hAnsi="Book Antiqua"/>
          <w:b/>
          <w:color w:val="000000" w:themeColor="text1"/>
          <w:szCs w:val="24"/>
          <w:lang w:val="es-PR"/>
        </w:rPr>
      </w:pPr>
    </w:p>
    <w:p w14:paraId="3CB6829A" w14:textId="02D99D4E" w:rsidR="008958CC" w:rsidRPr="003A208B" w:rsidRDefault="008958CC" w:rsidP="008958CC">
      <w:pPr>
        <w:jc w:val="center"/>
        <w:rPr>
          <w:rFonts w:ascii="Book Antiqua" w:hAnsi="Book Antiqua"/>
          <w:b/>
          <w:color w:val="000000" w:themeColor="text1"/>
          <w:sz w:val="52"/>
          <w:lang w:val="es-PR"/>
        </w:rPr>
      </w:pPr>
      <w:r w:rsidRPr="003A208B">
        <w:rPr>
          <w:rFonts w:ascii="Book Antiqua" w:hAnsi="Book Antiqua"/>
          <w:b/>
          <w:color w:val="000000" w:themeColor="text1"/>
          <w:sz w:val="52"/>
          <w:lang w:val="es-PR"/>
        </w:rPr>
        <w:t>P. de la C.</w:t>
      </w:r>
      <w:r w:rsidR="00CD4B3B">
        <w:rPr>
          <w:rFonts w:ascii="Book Antiqua" w:hAnsi="Book Antiqua"/>
          <w:b/>
          <w:color w:val="000000" w:themeColor="text1"/>
          <w:sz w:val="52"/>
          <w:lang w:val="es-PR"/>
        </w:rPr>
        <w:t xml:space="preserve"> 1022</w:t>
      </w:r>
    </w:p>
    <w:p w14:paraId="40BD1E32" w14:textId="77777777" w:rsidR="008958CC" w:rsidRPr="003A208B" w:rsidRDefault="008958CC" w:rsidP="008958CC">
      <w:pPr>
        <w:jc w:val="center"/>
        <w:rPr>
          <w:rFonts w:ascii="Book Antiqua" w:hAnsi="Book Antiqua"/>
          <w:b/>
          <w:color w:val="000000" w:themeColor="text1"/>
          <w:szCs w:val="24"/>
          <w:lang w:val="es-PR"/>
        </w:rPr>
      </w:pPr>
    </w:p>
    <w:p w14:paraId="323C2C3F" w14:textId="636E87D4" w:rsidR="008958CC" w:rsidRPr="003A208B" w:rsidRDefault="00066FD7" w:rsidP="008958CC">
      <w:pPr>
        <w:jc w:val="center"/>
        <w:rPr>
          <w:rFonts w:ascii="Book Antiqua" w:hAnsi="Book Antiqua"/>
          <w:color w:val="000000" w:themeColor="text1"/>
          <w:lang w:val="es-PR"/>
        </w:rPr>
      </w:pPr>
      <w:r>
        <w:rPr>
          <w:rFonts w:ascii="Book Antiqua" w:hAnsi="Book Antiqua"/>
          <w:color w:val="000000" w:themeColor="text1"/>
          <w:lang w:val="es-PR"/>
        </w:rPr>
        <w:t xml:space="preserve">12 </w:t>
      </w:r>
      <w:r w:rsidR="008958CC" w:rsidRPr="003A208B">
        <w:rPr>
          <w:rFonts w:ascii="Book Antiqua" w:hAnsi="Book Antiqua"/>
          <w:color w:val="000000" w:themeColor="text1"/>
          <w:lang w:val="es-PR"/>
        </w:rPr>
        <w:t xml:space="preserve">DE </w:t>
      </w:r>
      <w:r w:rsidR="008C2FD0">
        <w:rPr>
          <w:rFonts w:ascii="Book Antiqua" w:hAnsi="Book Antiqua"/>
          <w:color w:val="000000" w:themeColor="text1"/>
          <w:lang w:val="es-PR"/>
        </w:rPr>
        <w:t xml:space="preserve">ENERO </w:t>
      </w:r>
      <w:r w:rsidR="008958CC" w:rsidRPr="003A208B">
        <w:rPr>
          <w:rFonts w:ascii="Book Antiqua" w:hAnsi="Book Antiqua"/>
          <w:color w:val="000000" w:themeColor="text1"/>
          <w:lang w:val="es-PR"/>
        </w:rPr>
        <w:t>DE 202</w:t>
      </w:r>
      <w:r w:rsidR="008C2FD0">
        <w:rPr>
          <w:rFonts w:ascii="Book Antiqua" w:hAnsi="Book Antiqua"/>
          <w:color w:val="000000" w:themeColor="text1"/>
          <w:lang w:val="es-PR"/>
        </w:rPr>
        <w:t>6</w:t>
      </w:r>
    </w:p>
    <w:p w14:paraId="497A3CAF" w14:textId="77777777" w:rsidR="008958CC" w:rsidRPr="003A208B" w:rsidRDefault="008958CC" w:rsidP="008958CC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378F0D43" w14:textId="77777777" w:rsidR="00F23A0F" w:rsidRPr="00B00227" w:rsidRDefault="00F23A0F" w:rsidP="00F23A0F">
      <w:pPr>
        <w:ind w:left="810" w:hanging="810"/>
        <w:jc w:val="both"/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</w:pPr>
      <w:bookmarkStart w:id="0" w:name="_Hlk194687821"/>
      <w:r w:rsidRPr="00930E48">
        <w:rPr>
          <w:rFonts w:ascii="Book Antiqua" w:hAnsi="Book Antiqua"/>
          <w:color w:val="000000" w:themeColor="text1"/>
          <w:lang w:val="es-PR"/>
        </w:rPr>
        <w:t xml:space="preserve">Presentado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por el 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representante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Méndez Núñez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; la representante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Lebrón Rodríguez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; los representantes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Peña Ramírez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Torres Zamora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Román López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Aponte Hernández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Carlo Acosta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Charbonier Chinea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Colón Rodríguez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; la representante del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Valle Correa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; los representantes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Estévez Vélez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Franqui Atiles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; las representantes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González Aguayo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González </w:t>
      </w:r>
      <w:proofErr w:type="spellStart"/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González</w:t>
      </w:r>
      <w:proofErr w:type="spellEnd"/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; los representantes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Hernández Concepción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Jiménez Torres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López Román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; las representantes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Martínez Vázquez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Medina Calderón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; los representantes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Morey Noble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Muriel Sánchez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Navarro Suárez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Nieves Rosario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Ocasio Ramos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Pacheco Burgos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Parés Otero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Pérez Cordero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Pérez Ortiz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; las representantes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Pérez Ramírez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Ramos Rivera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; los representantes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Robles Rivera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Rodríguez Aguiló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Rodríguez Torres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Roque Gracia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Sanabria Colón</w:t>
      </w:r>
      <w:r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 y </w:t>
      </w:r>
      <w:r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Santiago Guzmán</w:t>
      </w:r>
    </w:p>
    <w:bookmarkEnd w:id="0"/>
    <w:p w14:paraId="7AF7F990" w14:textId="77777777" w:rsidR="008958CC" w:rsidRPr="00F23A0F" w:rsidRDefault="008958CC" w:rsidP="008958CC">
      <w:pPr>
        <w:ind w:left="720" w:hanging="630"/>
        <w:jc w:val="both"/>
        <w:rPr>
          <w:rFonts w:ascii="Book Antiqua" w:hAnsi="Book Antiqua"/>
          <w:i/>
          <w:iCs/>
          <w:color w:val="000000" w:themeColor="text1"/>
          <w:lang w:val="es-ES"/>
        </w:rPr>
      </w:pPr>
    </w:p>
    <w:p w14:paraId="162DF224" w14:textId="3D40BB99" w:rsidR="008958CC" w:rsidRPr="003A208B" w:rsidRDefault="008958CC" w:rsidP="008958CC">
      <w:pPr>
        <w:jc w:val="center"/>
        <w:rPr>
          <w:rFonts w:ascii="Book Antiqua" w:hAnsi="Book Antiqua"/>
          <w:iCs/>
          <w:color w:val="000000" w:themeColor="text1"/>
          <w:szCs w:val="24"/>
          <w:lang w:val="es-PR"/>
        </w:rPr>
      </w:pPr>
      <w:r w:rsidRPr="003A208B">
        <w:rPr>
          <w:rFonts w:ascii="Book Antiqua" w:hAnsi="Book Antiqua"/>
          <w:iCs/>
          <w:color w:val="000000" w:themeColor="text1"/>
          <w:lang w:val="es-PR"/>
        </w:rPr>
        <w:t>Referido</w:t>
      </w:r>
      <w:r w:rsidR="0089102E">
        <w:rPr>
          <w:rFonts w:ascii="Book Antiqua" w:hAnsi="Book Antiqua"/>
          <w:iCs/>
          <w:color w:val="000000" w:themeColor="text1"/>
          <w:lang w:val="es-PR"/>
        </w:rPr>
        <w:t xml:space="preserve"> la Comisión de Gobierno</w:t>
      </w:r>
    </w:p>
    <w:p w14:paraId="7BAF070C" w14:textId="77777777" w:rsidR="008958CC" w:rsidRPr="003A208B" w:rsidRDefault="008958CC" w:rsidP="008958CC">
      <w:pPr>
        <w:jc w:val="both"/>
        <w:rPr>
          <w:rFonts w:ascii="Book Antiqua" w:hAnsi="Book Antiqua"/>
          <w:color w:val="000000" w:themeColor="text1"/>
          <w:lang w:val="es-PR"/>
        </w:rPr>
      </w:pPr>
    </w:p>
    <w:p w14:paraId="04AE4B81" w14:textId="77777777" w:rsidR="008958CC" w:rsidRPr="003A208B" w:rsidRDefault="008958CC" w:rsidP="008958CC">
      <w:pPr>
        <w:jc w:val="center"/>
        <w:rPr>
          <w:rFonts w:ascii="Book Antiqua" w:hAnsi="Book Antiqua"/>
          <w:b/>
          <w:color w:val="000000" w:themeColor="text1"/>
          <w:sz w:val="28"/>
          <w:szCs w:val="28"/>
          <w:lang w:val="es-PR"/>
        </w:rPr>
      </w:pPr>
      <w:r w:rsidRPr="003A208B">
        <w:rPr>
          <w:rFonts w:ascii="Book Antiqua" w:hAnsi="Book Antiqua"/>
          <w:b/>
          <w:color w:val="000000" w:themeColor="text1"/>
          <w:sz w:val="28"/>
          <w:szCs w:val="28"/>
          <w:lang w:val="es-PR"/>
        </w:rPr>
        <w:t>LEY</w:t>
      </w:r>
    </w:p>
    <w:p w14:paraId="2D9335F5" w14:textId="77777777" w:rsidR="008958CC" w:rsidRPr="003A208B" w:rsidRDefault="008958CC" w:rsidP="008958CC">
      <w:pPr>
        <w:jc w:val="both"/>
        <w:rPr>
          <w:rFonts w:ascii="Book Antiqua" w:hAnsi="Book Antiqua"/>
          <w:color w:val="000000" w:themeColor="text1"/>
          <w:lang w:val="es-PR"/>
        </w:rPr>
      </w:pPr>
    </w:p>
    <w:p w14:paraId="0389C449" w14:textId="0853713E" w:rsidR="008958CC" w:rsidRPr="003A208B" w:rsidRDefault="008958CC" w:rsidP="00F23A0F">
      <w:pPr>
        <w:ind w:left="540" w:hanging="54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C36660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Para enmendar </w:t>
      </w:r>
      <w:r w:rsidR="00892F1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los</w:t>
      </w:r>
      <w:r w:rsidR="00C623A7" w:rsidRPr="00C36660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Artículo</w:t>
      </w:r>
      <w:r w:rsidR="00892F1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s</w:t>
      </w:r>
      <w:r w:rsidR="00C623A7" w:rsidRPr="00C36660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2.004</w:t>
      </w:r>
      <w:r w:rsidR="00607983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y </w:t>
      </w:r>
      <w:r w:rsidR="007639EF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5.006 </w:t>
      </w:r>
      <w:r w:rsidR="007639EF" w:rsidRPr="00C36660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de</w:t>
      </w:r>
      <w:r w:rsidRPr="00C36660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la Ley </w:t>
      </w:r>
      <w:r w:rsidR="00751126" w:rsidRPr="00C36660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222-2011</w:t>
      </w:r>
      <w:r w:rsidRPr="00C36660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, según enmendada, conocida como “Ley </w:t>
      </w:r>
      <w:r w:rsidR="00751126" w:rsidRPr="00C36660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para la </w:t>
      </w:r>
      <w:r w:rsidR="00AF0A35" w:rsidRPr="00C36660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Fiscalización</w:t>
      </w:r>
      <w:r w:rsidR="00751126" w:rsidRPr="00C36660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</w:t>
      </w:r>
      <w:r w:rsidR="00AF0A35" w:rsidRPr="00C36660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del Financiamiento de Campañas Políticas en Puerto Rico</w:t>
      </w:r>
      <w:r w:rsidRPr="00C36660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” a los fines de</w:t>
      </w:r>
      <w:r w:rsidR="00AF0A35" w:rsidRPr="00C36660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prohibir</w:t>
      </w:r>
      <w:r w:rsidR="00C36660" w:rsidRPr="00C36660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la influencia económica de personas jurídicas extranjeras en Puerto Rico</w:t>
      </w:r>
      <w:r w:rsidRPr="00C36660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; y para otros fines relacionados.</w:t>
      </w:r>
    </w:p>
    <w:p w14:paraId="573BD48C" w14:textId="77777777" w:rsidR="008958CC" w:rsidRPr="003A208B" w:rsidRDefault="008958CC" w:rsidP="00F23A0F">
      <w:pPr>
        <w:ind w:left="360" w:hanging="360"/>
        <w:jc w:val="both"/>
        <w:rPr>
          <w:rFonts w:ascii="Book Antiqua" w:hAnsi="Book Antiqua"/>
          <w:color w:val="000000" w:themeColor="text1"/>
          <w:lang w:val="es-PR"/>
        </w:rPr>
      </w:pPr>
    </w:p>
    <w:p w14:paraId="2D55E942" w14:textId="77777777" w:rsidR="008958CC" w:rsidRDefault="008958CC" w:rsidP="00F23A0F">
      <w:pPr>
        <w:jc w:val="center"/>
        <w:rPr>
          <w:rFonts w:ascii="Book Antiqua" w:hAnsi="Book Antiqua"/>
          <w:bCs/>
          <w:color w:val="000000" w:themeColor="text1"/>
          <w:szCs w:val="24"/>
          <w:lang w:val="es-PR"/>
        </w:rPr>
      </w:pPr>
      <w:r w:rsidRPr="003A208B">
        <w:rPr>
          <w:rFonts w:ascii="Book Antiqua" w:hAnsi="Book Antiqua"/>
          <w:bCs/>
          <w:color w:val="000000" w:themeColor="text1"/>
          <w:szCs w:val="24"/>
          <w:lang w:val="es-PR"/>
        </w:rPr>
        <w:t>EXPOSICIÓN DE MOTIVOS</w:t>
      </w:r>
    </w:p>
    <w:p w14:paraId="032D56EA" w14:textId="77777777" w:rsidR="008958CC" w:rsidRPr="003A208B" w:rsidRDefault="008958CC" w:rsidP="00F23A0F">
      <w:pPr>
        <w:jc w:val="center"/>
        <w:rPr>
          <w:rFonts w:ascii="Book Antiqua" w:hAnsi="Book Antiqua"/>
          <w:bCs/>
          <w:color w:val="000000" w:themeColor="text1"/>
          <w:szCs w:val="24"/>
          <w:lang w:val="es-PR"/>
        </w:rPr>
      </w:pPr>
    </w:p>
    <w:p w14:paraId="0142EF77" w14:textId="7FE7E27B" w:rsidR="008958CC" w:rsidRDefault="00F23A0F" w:rsidP="00F23A0F">
      <w:pPr>
        <w:jc w:val="both"/>
        <w:outlineLvl w:val="3"/>
        <w:rPr>
          <w:rFonts w:ascii="Book Antiqua" w:eastAsia="Calibri" w:hAnsi="Book Antiqua" w:cstheme="minorBidi"/>
          <w:kern w:val="2"/>
          <w:szCs w:val="24"/>
          <w:lang w:val="es-PR"/>
          <w14:ligatures w14:val="standardContextual"/>
        </w:rPr>
      </w:pPr>
      <w:r>
        <w:rPr>
          <w:rFonts w:ascii="Book Antiqua" w:hAnsi="Book Antiqua"/>
          <w:kern w:val="2"/>
          <w:szCs w:val="24"/>
          <w:lang w:val="es-PR"/>
          <w14:ligatures w14:val="standardContextual"/>
        </w:rPr>
        <w:tab/>
      </w:r>
      <w:r w:rsidR="008958CC" w:rsidRPr="008958CC">
        <w:rPr>
          <w:rFonts w:ascii="Book Antiqua" w:hAnsi="Book Antiqua"/>
          <w:kern w:val="2"/>
          <w:szCs w:val="24"/>
          <w:lang w:val="es-PR"/>
          <w14:ligatures w14:val="standardContextual"/>
        </w:rPr>
        <w:t xml:space="preserve">En el Preámbulo de la Constitución de Puerto Rico se declara que </w:t>
      </w:r>
      <w:r w:rsidR="008958CC" w:rsidRPr="008958CC">
        <w:rPr>
          <w:rFonts w:ascii="Book Antiqua" w:hAnsi="Book Antiqua"/>
          <w:bCs/>
          <w:kern w:val="2"/>
          <w:szCs w:val="24"/>
          <w:lang w:val="es-PR"/>
          <w14:ligatures w14:val="standardContextual"/>
        </w:rPr>
        <w:t>“el sistema democrático es fundamental</w:t>
      </w:r>
      <w:r w:rsidR="008958CC" w:rsidRPr="008958CC">
        <w:rPr>
          <w:rFonts w:ascii="Book Antiqua" w:hAnsi="Book Antiqua"/>
          <w:kern w:val="2"/>
          <w:szCs w:val="24"/>
          <w:lang w:val="es-PR"/>
          <w14:ligatures w14:val="standardContextual"/>
        </w:rPr>
        <w:t xml:space="preserve"> </w:t>
      </w:r>
      <w:r w:rsidR="008958CC" w:rsidRPr="008958CC">
        <w:rPr>
          <w:rFonts w:ascii="Book Antiqua" w:hAnsi="Book Antiqua"/>
          <w:bCs/>
          <w:kern w:val="2"/>
          <w:szCs w:val="24"/>
          <w:lang w:val="es-PR"/>
          <w14:ligatures w14:val="standardContextual"/>
        </w:rPr>
        <w:t xml:space="preserve">para la vida de la comunidad puertorriqueña” </w:t>
      </w:r>
      <w:r w:rsidR="008958CC" w:rsidRPr="008958CC">
        <w:rPr>
          <w:rFonts w:ascii="Book Antiqua" w:hAnsi="Book Antiqua"/>
          <w:kern w:val="2"/>
          <w:szCs w:val="24"/>
          <w:lang w:val="es-PR"/>
          <w14:ligatures w14:val="standardContextual"/>
        </w:rPr>
        <w:t xml:space="preserve">y “que entendemos por sistema democrático </w:t>
      </w:r>
      <w:r w:rsidR="008958CC" w:rsidRPr="008958CC">
        <w:rPr>
          <w:rFonts w:ascii="Book Antiqua" w:hAnsi="Book Antiqua"/>
          <w:bCs/>
          <w:kern w:val="2"/>
          <w:szCs w:val="24"/>
          <w:lang w:val="es-PR"/>
          <w14:ligatures w14:val="standardContextual"/>
        </w:rPr>
        <w:t>aquel donde la voluntad del pueblo es la fuente</w:t>
      </w:r>
      <w:r w:rsidR="008958CC" w:rsidRPr="008958CC">
        <w:rPr>
          <w:rFonts w:ascii="Book Antiqua" w:hAnsi="Book Antiqua"/>
          <w:kern w:val="2"/>
          <w:szCs w:val="24"/>
          <w:lang w:val="es-PR"/>
          <w14:ligatures w14:val="standardContextual"/>
        </w:rPr>
        <w:t xml:space="preserve"> </w:t>
      </w:r>
      <w:r w:rsidR="008958CC" w:rsidRPr="008958CC">
        <w:rPr>
          <w:rFonts w:ascii="Book Antiqua" w:hAnsi="Book Antiqua"/>
          <w:bCs/>
          <w:kern w:val="2"/>
          <w:szCs w:val="24"/>
          <w:lang w:val="es-PR"/>
          <w14:ligatures w14:val="standardContextual"/>
        </w:rPr>
        <w:t>del poder público … y donde se asegura la libre participación del</w:t>
      </w:r>
      <w:r w:rsidR="008958CC" w:rsidRPr="008958CC">
        <w:rPr>
          <w:rFonts w:ascii="Book Antiqua" w:hAnsi="Book Antiqua"/>
          <w:kern w:val="2"/>
          <w:szCs w:val="24"/>
          <w:lang w:val="es-PR"/>
          <w14:ligatures w14:val="standardContextual"/>
        </w:rPr>
        <w:t xml:space="preserve"> </w:t>
      </w:r>
      <w:r w:rsidR="008958CC" w:rsidRPr="008958CC">
        <w:rPr>
          <w:rFonts w:ascii="Book Antiqua" w:hAnsi="Book Antiqua"/>
          <w:bCs/>
          <w:kern w:val="2"/>
          <w:szCs w:val="24"/>
          <w:lang w:val="es-PR"/>
          <w14:ligatures w14:val="standardContextual"/>
        </w:rPr>
        <w:t>ciudadano en las decisiones colectivas”</w:t>
      </w:r>
      <w:r w:rsidR="008958CC" w:rsidRPr="008958CC">
        <w:rPr>
          <w:rFonts w:ascii="Book Antiqua" w:hAnsi="Book Antiqua"/>
          <w:kern w:val="2"/>
          <w:szCs w:val="24"/>
          <w:lang w:val="es-PR"/>
          <w14:ligatures w14:val="standardContextual"/>
        </w:rPr>
        <w:t>.</w:t>
      </w:r>
      <w:r w:rsidR="00CE12AE">
        <w:rPr>
          <w:rFonts w:ascii="Book Antiqua" w:hAnsi="Book Antiqua"/>
          <w:kern w:val="2"/>
          <w:szCs w:val="24"/>
          <w:lang w:val="es-PR"/>
          <w14:ligatures w14:val="standardContextual"/>
        </w:rPr>
        <w:t xml:space="preserve"> Mientras</w:t>
      </w:r>
      <w:r w:rsidR="008958CC" w:rsidRPr="008958CC">
        <w:rPr>
          <w:rFonts w:ascii="Book Antiqua" w:hAnsi="Book Antiqua"/>
          <w:kern w:val="2"/>
          <w:szCs w:val="24"/>
          <w:lang w:val="es-PR"/>
          <w14:ligatures w14:val="standardContextual"/>
        </w:rPr>
        <w:t xml:space="preserve">, la sección 2 de la Carta de Derechos de nuestra Constitución ordena lo siguiente: </w:t>
      </w:r>
      <w:r w:rsidR="008958CC" w:rsidRPr="008958CC">
        <w:rPr>
          <w:rFonts w:ascii="Book Antiqua" w:hAnsi="Book Antiqua"/>
          <w:bCs/>
          <w:kern w:val="2"/>
          <w:szCs w:val="24"/>
          <w:lang w:val="es-PR"/>
          <w14:ligatures w14:val="standardContextual"/>
        </w:rPr>
        <w:t>“… las leyes garantizarán la expresión de la voluntad</w:t>
      </w:r>
      <w:r w:rsidR="008958CC" w:rsidRPr="008958CC">
        <w:rPr>
          <w:rFonts w:ascii="Book Antiqua" w:hAnsi="Book Antiqua"/>
          <w:kern w:val="2"/>
          <w:szCs w:val="24"/>
          <w:lang w:val="es-PR"/>
          <w14:ligatures w14:val="standardContextual"/>
        </w:rPr>
        <w:t xml:space="preserve"> </w:t>
      </w:r>
      <w:r w:rsidR="008958CC" w:rsidRPr="008958CC">
        <w:rPr>
          <w:rFonts w:ascii="Book Antiqua" w:hAnsi="Book Antiqua"/>
          <w:bCs/>
          <w:kern w:val="2"/>
          <w:szCs w:val="24"/>
          <w:lang w:val="es-PR"/>
          <w14:ligatures w14:val="standardContextual"/>
        </w:rPr>
        <w:t>del pueblo mediante el sufragio universal, igual, directo</w:t>
      </w:r>
      <w:r w:rsidR="008958CC" w:rsidRPr="008958CC">
        <w:rPr>
          <w:rFonts w:ascii="Book Antiqua" w:hAnsi="Book Antiqua"/>
          <w:kern w:val="2"/>
          <w:szCs w:val="24"/>
          <w:lang w:val="es-PR"/>
          <w14:ligatures w14:val="standardContextual"/>
        </w:rPr>
        <w:t xml:space="preserve"> </w:t>
      </w:r>
      <w:r w:rsidR="008958CC" w:rsidRPr="008958CC">
        <w:rPr>
          <w:rFonts w:ascii="Book Antiqua" w:hAnsi="Book Antiqua"/>
          <w:bCs/>
          <w:kern w:val="2"/>
          <w:szCs w:val="24"/>
          <w:lang w:val="es-PR"/>
          <w14:ligatures w14:val="standardContextual"/>
        </w:rPr>
        <w:t>y secreto y protegerán al ciudadano contra toda coacción</w:t>
      </w:r>
      <w:r w:rsidR="008958CC" w:rsidRPr="008958CC">
        <w:rPr>
          <w:rFonts w:ascii="Book Antiqua" w:hAnsi="Book Antiqua"/>
          <w:kern w:val="2"/>
          <w:szCs w:val="24"/>
          <w:lang w:val="es-PR"/>
          <w14:ligatures w14:val="standardContextual"/>
        </w:rPr>
        <w:t xml:space="preserve"> </w:t>
      </w:r>
      <w:r w:rsidR="008958CC" w:rsidRPr="008958CC">
        <w:rPr>
          <w:rFonts w:ascii="Book Antiqua" w:hAnsi="Book Antiqua"/>
          <w:bCs/>
          <w:kern w:val="2"/>
          <w:szCs w:val="24"/>
          <w:lang w:val="es-PR"/>
          <w14:ligatures w14:val="standardContextual"/>
        </w:rPr>
        <w:t>en el ejercicio de la prerrogativa electoral”.</w:t>
      </w:r>
      <w:r w:rsidR="008958CC" w:rsidRPr="008958CC">
        <w:rPr>
          <w:rFonts w:ascii="Book Antiqua" w:eastAsia="Calibri" w:hAnsi="Book Antiqua" w:cstheme="minorBidi"/>
          <w:kern w:val="2"/>
          <w:szCs w:val="24"/>
          <w:lang w:val="es-PR"/>
          <w14:ligatures w14:val="standardContextual"/>
        </w:rPr>
        <w:t xml:space="preserve"> Claramente el estado de Derecho </w:t>
      </w:r>
      <w:r w:rsidR="008958CC" w:rsidRPr="008958CC">
        <w:rPr>
          <w:rFonts w:ascii="Book Antiqua" w:eastAsia="Calibri" w:hAnsi="Book Antiqua" w:cstheme="minorBidi"/>
          <w:kern w:val="2"/>
          <w:szCs w:val="24"/>
          <w:lang w:val="es-PR"/>
          <w14:ligatures w14:val="standardContextual"/>
        </w:rPr>
        <w:lastRenderedPageBreak/>
        <w:t xml:space="preserve">Constitucional permite que sean los estados quienes manejen y regulen el proceso eleccionario, ya que es uno de los poderes que </w:t>
      </w:r>
      <w:r w:rsidR="008958CC">
        <w:rPr>
          <w:rFonts w:ascii="Book Antiqua" w:eastAsia="Calibri" w:hAnsi="Book Antiqua" w:cstheme="minorBidi"/>
          <w:kern w:val="2"/>
          <w:szCs w:val="24"/>
          <w:lang w:val="es-PR"/>
          <w14:ligatures w14:val="standardContextual"/>
        </w:rPr>
        <w:t xml:space="preserve">no fueron delegados expresamente </w:t>
      </w:r>
      <w:r w:rsidR="008958CC" w:rsidRPr="008958CC">
        <w:rPr>
          <w:rFonts w:ascii="Book Antiqua" w:eastAsia="Calibri" w:hAnsi="Book Antiqua" w:cstheme="minorBidi"/>
          <w:kern w:val="2"/>
          <w:szCs w:val="24"/>
          <w:lang w:val="es-PR"/>
          <w14:ligatures w14:val="standardContextual"/>
        </w:rPr>
        <w:t>se le delegó al Congreso en el Art. 1, sección 8 de la Constitución Federal</w:t>
      </w:r>
      <w:r w:rsidR="008958CC">
        <w:rPr>
          <w:rFonts w:ascii="Book Antiqua" w:eastAsia="Calibri" w:hAnsi="Book Antiqua" w:cstheme="minorBidi"/>
          <w:kern w:val="2"/>
          <w:szCs w:val="24"/>
          <w:lang w:val="es-PR"/>
          <w14:ligatures w14:val="standardContextual"/>
        </w:rPr>
        <w:t>.</w:t>
      </w:r>
    </w:p>
    <w:p w14:paraId="619BECB5" w14:textId="77777777" w:rsidR="00F23A0F" w:rsidRDefault="00F23A0F" w:rsidP="00F23A0F">
      <w:pPr>
        <w:jc w:val="both"/>
        <w:outlineLvl w:val="3"/>
        <w:rPr>
          <w:rFonts w:ascii="Book Antiqua" w:eastAsia="Calibri" w:hAnsi="Book Antiqua" w:cstheme="minorBidi"/>
          <w:kern w:val="2"/>
          <w:szCs w:val="24"/>
          <w:lang w:val="es-PR"/>
          <w14:ligatures w14:val="standardContextual"/>
        </w:rPr>
      </w:pPr>
    </w:p>
    <w:p w14:paraId="18AE08F4" w14:textId="6E6B8810" w:rsidR="008958CC" w:rsidRDefault="00F23A0F" w:rsidP="00F23A0F">
      <w:pPr>
        <w:jc w:val="both"/>
        <w:rPr>
          <w:rFonts w:ascii="Book Antiqua" w:eastAsiaTheme="minorHAnsi" w:hAnsi="Book Antiqua" w:cstheme="minorBidi"/>
          <w:kern w:val="2"/>
          <w:szCs w:val="24"/>
          <w:lang w:val="es-ES"/>
          <w14:ligatures w14:val="standardContextual"/>
        </w:rPr>
      </w:pPr>
      <w:r>
        <w:rPr>
          <w:rFonts w:ascii="Book Antiqua" w:eastAsia="Calibri" w:hAnsi="Book Antiqua" w:cstheme="minorBidi"/>
          <w:kern w:val="2"/>
          <w:szCs w:val="24"/>
          <w:lang w:val="es-PR"/>
          <w14:ligatures w14:val="standardContextual"/>
        </w:rPr>
        <w:tab/>
      </w:r>
      <w:r w:rsidR="008958CC" w:rsidRPr="008958CC">
        <w:rPr>
          <w:rFonts w:ascii="Book Antiqua" w:eastAsia="Calibri" w:hAnsi="Book Antiqua" w:cstheme="minorBidi"/>
          <w:kern w:val="2"/>
          <w:szCs w:val="24"/>
          <w:lang w:val="es-PR"/>
          <w14:ligatures w14:val="standardContextual"/>
        </w:rPr>
        <w:t xml:space="preserve">En materia de la forma y manera en que se regula el financiamiento de campañas políticas en Puerto Rico, </w:t>
      </w:r>
      <w:r w:rsidR="00C04BA0">
        <w:rPr>
          <w:rFonts w:ascii="Book Antiqua" w:eastAsia="Calibri" w:hAnsi="Book Antiqua" w:cstheme="minorBidi"/>
          <w:kern w:val="2"/>
          <w:szCs w:val="24"/>
          <w:lang w:val="es-PR"/>
          <w14:ligatures w14:val="standardContextual"/>
        </w:rPr>
        <w:t xml:space="preserve">ha sido nuestra política pública desde </w:t>
      </w:r>
      <w:r w:rsidR="008958CC" w:rsidRPr="008958CC">
        <w:rPr>
          <w:rFonts w:ascii="Book Antiqua" w:eastAsia="Calibri" w:hAnsi="Book Antiqua" w:cstheme="minorBidi"/>
          <w:kern w:val="2"/>
          <w:szCs w:val="24"/>
          <w:lang w:val="es-PR"/>
          <w14:ligatures w14:val="standardContextual"/>
        </w:rPr>
        <w:t>la</w:t>
      </w:r>
      <w:r w:rsidR="00C04BA0">
        <w:rPr>
          <w:rFonts w:ascii="Book Antiqua" w:eastAsia="Calibri" w:hAnsi="Book Antiqua" w:cstheme="minorBidi"/>
          <w:kern w:val="2"/>
          <w:szCs w:val="24"/>
          <w:lang w:val="es-PR"/>
          <w14:ligatures w14:val="standardContextual"/>
        </w:rPr>
        <w:t xml:space="preserve"> aprobación de la</w:t>
      </w:r>
      <w:r w:rsidR="008958CC" w:rsidRPr="008958CC">
        <w:rPr>
          <w:rFonts w:ascii="Book Antiqua" w:eastAsia="Calibri" w:hAnsi="Book Antiqua" w:cstheme="minorBidi"/>
          <w:kern w:val="2"/>
          <w:szCs w:val="24"/>
          <w:lang w:val="es-PR"/>
          <w14:ligatures w14:val="standardContextual"/>
        </w:rPr>
        <w:t xml:space="preserve"> Ley 222-2011</w:t>
      </w:r>
      <w:r w:rsidR="00CD28F2">
        <w:rPr>
          <w:rFonts w:ascii="Book Antiqua" w:eastAsia="Calibri" w:hAnsi="Book Antiqua" w:cstheme="minorBidi"/>
          <w:kern w:val="2"/>
          <w:szCs w:val="24"/>
          <w:lang w:val="es-PR"/>
          <w14:ligatures w14:val="standardContextual"/>
        </w:rPr>
        <w:t xml:space="preserve">, </w:t>
      </w:r>
      <w:r w:rsidR="008958CC" w:rsidRPr="008958CC">
        <w:rPr>
          <w:rFonts w:ascii="Book Antiqua" w:eastAsia="Calibri" w:hAnsi="Book Antiqua" w:cstheme="minorBidi"/>
          <w:kern w:val="2"/>
          <w:szCs w:val="24"/>
          <w:lang w:val="es-PR"/>
          <w14:ligatures w14:val="standardContextual"/>
        </w:rPr>
        <w:t xml:space="preserve">conocida como la </w:t>
      </w:r>
      <w:r w:rsidR="008958CC" w:rsidRPr="008958CC">
        <w:rPr>
          <w:rFonts w:ascii="Book Antiqua" w:eastAsiaTheme="minorHAnsi" w:hAnsi="Book Antiqua" w:cstheme="minorBidi"/>
          <w:kern w:val="2"/>
          <w:szCs w:val="24"/>
          <w:lang w:val="es-PR"/>
          <w14:ligatures w14:val="standardContextual"/>
        </w:rPr>
        <w:t xml:space="preserve">“Ley para la Fiscalización del Financiamiento de Campañas Políticas en Puerto Rico”, </w:t>
      </w:r>
      <w:r w:rsidR="00CD28F2">
        <w:rPr>
          <w:rFonts w:ascii="Book Antiqua" w:eastAsiaTheme="minorHAnsi" w:hAnsi="Book Antiqua" w:cstheme="minorBidi"/>
          <w:kern w:val="2"/>
          <w:szCs w:val="24"/>
          <w:lang w:val="es-PR"/>
          <w14:ligatures w14:val="standardContextual"/>
        </w:rPr>
        <w:t xml:space="preserve">que </w:t>
      </w:r>
      <w:r w:rsidR="008958CC" w:rsidRPr="008958CC">
        <w:rPr>
          <w:rFonts w:ascii="Book Antiqua" w:eastAsiaTheme="minorHAnsi" w:hAnsi="Book Antiqua" w:cstheme="minorBidi"/>
          <w:kern w:val="2"/>
          <w:szCs w:val="24"/>
          <w:lang w:val="es-PR"/>
          <w14:ligatures w14:val="standardContextual"/>
        </w:rPr>
        <w:t>la Oficina del Contralor Electoral</w:t>
      </w:r>
      <w:r w:rsidR="003346F1">
        <w:rPr>
          <w:rFonts w:ascii="Book Antiqua" w:eastAsiaTheme="minorHAnsi" w:hAnsi="Book Antiqua" w:cstheme="minorBidi"/>
          <w:kern w:val="2"/>
          <w:szCs w:val="24"/>
          <w:lang w:val="es-PR"/>
          <w14:ligatures w14:val="standardContextual"/>
        </w:rPr>
        <w:t xml:space="preserve"> tenga </w:t>
      </w:r>
      <w:r w:rsidR="008958CC" w:rsidRPr="008958CC">
        <w:rPr>
          <w:rFonts w:ascii="Book Antiqua" w:eastAsiaTheme="minorHAnsi" w:hAnsi="Book Antiqua" w:cstheme="minorBidi"/>
          <w:kern w:val="2"/>
          <w:szCs w:val="24"/>
          <w:lang w:val="es-PR"/>
          <w14:ligatures w14:val="standardContextual"/>
        </w:rPr>
        <w:t xml:space="preserve">la responsabilidad de velar por la total transparencia en las campañas políticas de Puerto Rico, y con ello, los gastos y donativos que se realizan en dichas campañas políticas. </w:t>
      </w:r>
      <w:r w:rsidR="008958CC" w:rsidRPr="008958CC">
        <w:rPr>
          <w:rFonts w:ascii="Book Antiqua" w:eastAsiaTheme="minorHAnsi" w:hAnsi="Book Antiqua" w:cstheme="minorBidi"/>
          <w:kern w:val="2"/>
          <w:szCs w:val="24"/>
          <w:lang w:val="es-ES"/>
          <w14:ligatures w14:val="standardContextual"/>
        </w:rPr>
        <w:t>Ahora bien, de la propia exposición de motivos de dicha ley, surge lo siguiente:</w:t>
      </w:r>
    </w:p>
    <w:p w14:paraId="7F04BBE6" w14:textId="77777777" w:rsidR="00F23A0F" w:rsidRPr="008958CC" w:rsidRDefault="00F23A0F" w:rsidP="00F23A0F">
      <w:pPr>
        <w:jc w:val="both"/>
        <w:rPr>
          <w:rFonts w:ascii="Book Antiqua" w:eastAsia="Calibri" w:hAnsi="Book Antiqua" w:cstheme="minorBidi"/>
          <w:kern w:val="2"/>
          <w:szCs w:val="24"/>
          <w:lang w:val="es-PR"/>
          <w14:ligatures w14:val="standardContextual"/>
        </w:rPr>
      </w:pPr>
    </w:p>
    <w:p w14:paraId="0E0C3B45" w14:textId="5788D3A5" w:rsidR="008958CC" w:rsidRDefault="008958CC" w:rsidP="00F23A0F">
      <w:pPr>
        <w:ind w:left="720" w:right="720"/>
        <w:jc w:val="both"/>
        <w:rPr>
          <w:rFonts w:ascii="Book Antiqua" w:eastAsiaTheme="minorHAnsi" w:hAnsi="Book Antiqua" w:cstheme="minorBidi"/>
          <w:i/>
          <w:kern w:val="2"/>
          <w:sz w:val="22"/>
          <w:szCs w:val="22"/>
          <w:lang w:val="es-ES"/>
          <w14:ligatures w14:val="standardContextual"/>
        </w:rPr>
      </w:pPr>
      <w:r w:rsidRPr="008958CC">
        <w:rPr>
          <w:rFonts w:ascii="Book Antiqua" w:eastAsiaTheme="minorHAnsi" w:hAnsi="Book Antiqua" w:cstheme="minorBidi"/>
          <w:i/>
          <w:kern w:val="2"/>
          <w:sz w:val="22"/>
          <w:szCs w:val="22"/>
          <w:lang w:val="es-ES"/>
          <w14:ligatures w14:val="standardContextual"/>
        </w:rPr>
        <w:t>[l]a meta de toda democracia debe ser que cada elector sienta la seguridad de que existen unas reglas uniformes que serán implementadas de manera equitativa a todos los participantes de cada evento. Además, es necesario que exista un organismo que asegure el cumplimiento de éstas y no permita actos que cuestionen la pureza del proceso que culminará con un resultado electoral que es el reflejo real de la voluntad mayoritaria del pueblo.</w:t>
      </w:r>
      <w:r w:rsidRPr="008958CC">
        <w:rPr>
          <w:rFonts w:ascii="Book Antiqua" w:eastAsiaTheme="minorHAnsi" w:hAnsi="Book Antiqua" w:cstheme="minorBidi"/>
          <w:i/>
          <w:kern w:val="2"/>
          <w:sz w:val="22"/>
          <w:szCs w:val="22"/>
          <w:vertAlign w:val="superscript"/>
          <w:lang w:val="es-ES"/>
          <w14:ligatures w14:val="standardContextual"/>
        </w:rPr>
        <w:footnoteReference w:id="1"/>
      </w:r>
    </w:p>
    <w:p w14:paraId="77CD7FB7" w14:textId="77777777" w:rsidR="00F23A0F" w:rsidRDefault="00F23A0F" w:rsidP="00F23A0F">
      <w:pPr>
        <w:ind w:right="720"/>
        <w:jc w:val="both"/>
        <w:rPr>
          <w:rFonts w:ascii="Book Antiqua" w:eastAsia="Calibri" w:hAnsi="Book Antiqua" w:cstheme="minorBidi"/>
          <w:kern w:val="2"/>
          <w:szCs w:val="24"/>
          <w:lang w:val="es-ES"/>
          <w14:ligatures w14:val="standardContextual"/>
        </w:rPr>
      </w:pPr>
    </w:p>
    <w:p w14:paraId="6921AD75" w14:textId="21A98DF6" w:rsidR="008958CC" w:rsidRPr="008958CC" w:rsidRDefault="00F23A0F" w:rsidP="00F23A0F">
      <w:pPr>
        <w:jc w:val="both"/>
        <w:rPr>
          <w:rFonts w:ascii="Book Antiqua" w:eastAsiaTheme="minorHAnsi" w:hAnsi="Book Antiqua" w:cstheme="minorBidi"/>
          <w:i/>
          <w:kern w:val="2"/>
          <w:sz w:val="22"/>
          <w:szCs w:val="22"/>
          <w:lang w:val="es-ES"/>
          <w14:ligatures w14:val="standardContextual"/>
        </w:rPr>
      </w:pPr>
      <w:r>
        <w:rPr>
          <w:rFonts w:ascii="Book Antiqua" w:eastAsia="Calibri" w:hAnsi="Book Antiqua" w:cstheme="minorBidi"/>
          <w:kern w:val="2"/>
          <w:szCs w:val="24"/>
          <w:lang w:val="es-ES"/>
          <w14:ligatures w14:val="standardContextual"/>
        </w:rPr>
        <w:tab/>
      </w:r>
      <w:r w:rsidR="008958CC" w:rsidRPr="008958CC">
        <w:rPr>
          <w:rFonts w:ascii="Book Antiqua" w:eastAsia="Calibri" w:hAnsi="Book Antiqua" w:cstheme="minorBidi"/>
          <w:kern w:val="2"/>
          <w:szCs w:val="24"/>
          <w:lang w:val="es-ES"/>
          <w14:ligatures w14:val="standardContextual"/>
        </w:rPr>
        <w:t xml:space="preserve">Expresamente la Exposición de Motivos de la citada Ley 222-2011, nos dice las razones fundamentales por las cuales los donativos y gastos con fines electorales, son parte neurálgica de cualquier proceso electoral, sobre esto veamos lo siguiente: </w:t>
      </w:r>
    </w:p>
    <w:p w14:paraId="19A4E5CC" w14:textId="77777777" w:rsidR="00F23A0F" w:rsidRDefault="00F23A0F" w:rsidP="00F23A0F">
      <w:pPr>
        <w:ind w:left="720" w:right="720"/>
        <w:contextualSpacing/>
        <w:jc w:val="both"/>
        <w:rPr>
          <w:rFonts w:ascii="Book Antiqua" w:eastAsiaTheme="minorHAnsi" w:hAnsi="Book Antiqua" w:cstheme="minorBidi"/>
          <w:i/>
          <w:kern w:val="2"/>
          <w:szCs w:val="24"/>
          <w:lang w:val="es-PR"/>
          <w14:ligatures w14:val="standardContextual"/>
        </w:rPr>
      </w:pPr>
    </w:p>
    <w:p w14:paraId="7808F6BE" w14:textId="24C0F5DD" w:rsidR="00D12006" w:rsidRPr="00E10579" w:rsidRDefault="008958CC" w:rsidP="00F23A0F">
      <w:pPr>
        <w:ind w:left="720" w:right="720"/>
        <w:contextualSpacing/>
        <w:jc w:val="both"/>
        <w:rPr>
          <w:rFonts w:ascii="Book Antiqua" w:eastAsiaTheme="minorHAnsi" w:hAnsi="Book Antiqua" w:cstheme="minorBidi"/>
          <w:i/>
          <w:kern w:val="2"/>
          <w:szCs w:val="24"/>
          <w:lang w:val="es-PR"/>
          <w14:ligatures w14:val="standardContextual"/>
        </w:rPr>
      </w:pPr>
      <w:r w:rsidRPr="008958CC">
        <w:rPr>
          <w:rFonts w:ascii="Book Antiqua" w:eastAsiaTheme="minorHAnsi" w:hAnsi="Book Antiqua" w:cstheme="minorBidi"/>
          <w:i/>
          <w:kern w:val="2"/>
          <w:szCs w:val="24"/>
          <w:lang w:val="es-PR"/>
          <w14:ligatures w14:val="standardContextual"/>
        </w:rPr>
        <w:t>[L]os donativos y gastos con fines electorales componen una parte esencial del complejo aparato electoral. Estos conceptos operan en una zona constitucionalmente sensitiva de principios y derechos fundamentales de expresión y de asociación. Coinciden con esos derechos el interés gubernamental de carácter apremiante, de proteger la integridad del proceso electoral.</w:t>
      </w:r>
    </w:p>
    <w:p w14:paraId="09674AF0" w14:textId="77777777" w:rsidR="00D12006" w:rsidRDefault="00D12006" w:rsidP="00F23A0F">
      <w:pPr>
        <w:ind w:right="720" w:firstLine="720"/>
        <w:contextualSpacing/>
        <w:jc w:val="both"/>
        <w:rPr>
          <w:rFonts w:ascii="Book Antiqua" w:eastAsiaTheme="minorHAnsi" w:hAnsi="Book Antiqua" w:cstheme="minorBidi"/>
          <w:i/>
          <w:kern w:val="2"/>
          <w:szCs w:val="24"/>
          <w:lang w:val="es-PR"/>
          <w14:ligatures w14:val="standardContextual"/>
        </w:rPr>
      </w:pPr>
    </w:p>
    <w:p w14:paraId="030B8F2F" w14:textId="6EEF7EDA" w:rsidR="00A2298D" w:rsidRPr="00A2298D" w:rsidRDefault="00F23A0F" w:rsidP="00F23A0F">
      <w:pPr>
        <w:jc w:val="both"/>
        <w:rPr>
          <w:rFonts w:ascii="Book Antiqua" w:eastAsiaTheme="minorHAnsi" w:hAnsi="Book Antiqua" w:cstheme="minorBidi"/>
          <w:kern w:val="2"/>
          <w:szCs w:val="24"/>
          <w:lang w:val="es-PR"/>
          <w14:ligatures w14:val="standardContextual"/>
        </w:rPr>
      </w:pPr>
      <w:r>
        <w:rPr>
          <w:rFonts w:ascii="Book Antiqua" w:hAnsi="Book Antiqua"/>
          <w:lang w:val="es-PR"/>
        </w:rPr>
        <w:tab/>
      </w:r>
      <w:r w:rsidR="00693791">
        <w:rPr>
          <w:rFonts w:ascii="Book Antiqua" w:hAnsi="Book Antiqua"/>
          <w:lang w:val="es-PR"/>
        </w:rPr>
        <w:t xml:space="preserve">Cónsono con lo antes expuesto, nuestro gobierno ha sido consistente en </w:t>
      </w:r>
      <w:r w:rsidR="00207F67">
        <w:rPr>
          <w:rFonts w:ascii="Book Antiqua" w:hAnsi="Book Antiqua"/>
          <w:lang w:val="es-PR"/>
        </w:rPr>
        <w:t xml:space="preserve">establecer una política </w:t>
      </w:r>
      <w:r w:rsidR="00A90768">
        <w:rPr>
          <w:rFonts w:ascii="Book Antiqua" w:hAnsi="Book Antiqua"/>
          <w:lang w:val="es-PR"/>
        </w:rPr>
        <w:t>pública</w:t>
      </w:r>
      <w:r w:rsidR="00207F67">
        <w:rPr>
          <w:rFonts w:ascii="Book Antiqua" w:hAnsi="Book Antiqua"/>
          <w:lang w:val="es-PR"/>
        </w:rPr>
        <w:t xml:space="preserve"> orientada a </w:t>
      </w:r>
      <w:r w:rsidR="00D2582A">
        <w:rPr>
          <w:rFonts w:ascii="Book Antiqua" w:hAnsi="Book Antiqua"/>
          <w:lang w:val="es-PR"/>
        </w:rPr>
        <w:t xml:space="preserve">fortalecer </w:t>
      </w:r>
      <w:r w:rsidR="00207F67" w:rsidRPr="00D2582A">
        <w:rPr>
          <w:rFonts w:ascii="Book Antiqua" w:hAnsi="Book Antiqua"/>
          <w:lang w:val="es-PR"/>
        </w:rPr>
        <w:t>los</w:t>
      </w:r>
      <w:r w:rsidR="00A90768" w:rsidRPr="00D2582A">
        <w:rPr>
          <w:rFonts w:ascii="Book Antiqua" w:hAnsi="Book Antiqua"/>
          <w:lang w:val="es-PR"/>
        </w:rPr>
        <w:t xml:space="preserve"> </w:t>
      </w:r>
      <w:r w:rsidR="008958CC" w:rsidRPr="00D2582A">
        <w:rPr>
          <w:rFonts w:ascii="Book Antiqua" w:hAnsi="Book Antiqua"/>
          <w:lang w:val="es-PR"/>
        </w:rPr>
        <w:t>organismos fiscalizadores del gobierno (incluyendo a la Oficina de Ética Gubernamental, la Oficina del Contralor, el Departamento de Justicia, la Oficina del Panel sobre el Fiscal Especial Independiente (OPFEI), el Contralor Electoral y la Oficina del Inspector General (OIG), de manera que se puedan desarrollar mejores formas de fiscalización, comunicación inter agencial, evitar duplicidad de esfuerzos y asegurar la implementación adecuada de las leyes en el procesamiento criminal y administrativo</w:t>
      </w:r>
      <w:r w:rsidR="00A2298D">
        <w:rPr>
          <w:rFonts w:ascii="Book Antiqua" w:hAnsi="Book Antiqua"/>
          <w:i/>
          <w:iCs/>
          <w:lang w:val="es-PR"/>
        </w:rPr>
        <w:t xml:space="preserve">. </w:t>
      </w:r>
    </w:p>
    <w:p w14:paraId="22B30920" w14:textId="77777777" w:rsidR="00F23A0F" w:rsidRDefault="00F23A0F" w:rsidP="00F23A0F">
      <w:pPr>
        <w:ind w:right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60E27918" w14:textId="2BBC20D4" w:rsidR="008958CC" w:rsidRPr="00A2298D" w:rsidRDefault="00F23A0F" w:rsidP="00F23A0F">
      <w:pPr>
        <w:jc w:val="both"/>
        <w:rPr>
          <w:rFonts w:ascii="Book Antiqua" w:eastAsiaTheme="minorHAnsi" w:hAnsi="Book Antiqua" w:cstheme="minorBidi"/>
          <w:i/>
          <w:kern w:val="2"/>
          <w:szCs w:val="24"/>
          <w:lang w:val="es-PR"/>
          <w14:ligatures w14:val="standardContextual"/>
        </w:rPr>
      </w:pP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="008958CC" w:rsidRPr="00C623A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Cumpliendo con el compromiso contraído con nuestro </w:t>
      </w:r>
      <w:r w:rsidR="000733C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P</w:t>
      </w:r>
      <w:r w:rsidR="00C623A7" w:rsidRPr="00C623A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ueblo, este</w:t>
      </w:r>
      <w:r w:rsidR="00342C1B" w:rsidRPr="00C623A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Gobierno </w:t>
      </w:r>
      <w:r w:rsidR="008958CC" w:rsidRPr="00C623A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reconoce la importancia de garantizar </w:t>
      </w:r>
      <w:r w:rsidR="006746B3" w:rsidRPr="00C623A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que nuestro proceso electoral quede libre de toda influencia</w:t>
      </w:r>
      <w:r w:rsidR="00816782" w:rsidRPr="00C623A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corporativa extranjera</w:t>
      </w:r>
      <w:r w:rsidR="006746B3" w:rsidRPr="00C623A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, que pueda atentar con nuestro sistema democrático</w:t>
      </w:r>
      <w:r w:rsidR="000733C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.  </w:t>
      </w:r>
      <w:r w:rsidR="000733C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lastRenderedPageBreak/>
        <w:t xml:space="preserve">De esta manera también protegemos </w:t>
      </w:r>
      <w:r w:rsidR="006C353E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nuestro sistema electoral de otros </w:t>
      </w:r>
      <w:r w:rsidR="00B524E8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intereses ajenos</w:t>
      </w:r>
      <w:r w:rsidR="006C353E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a nuestras costumbres y tradiciones. </w:t>
      </w:r>
      <w:r w:rsidR="006746B3" w:rsidRPr="00C623A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</w:t>
      </w:r>
      <w:r w:rsidR="00816782" w:rsidRPr="00C623A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P</w:t>
      </w:r>
      <w:r w:rsidR="008958CC" w:rsidRPr="00C623A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or ello, </w:t>
      </w:r>
      <w:r w:rsidR="00B524E8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este Gobierno </w:t>
      </w:r>
      <w:r w:rsidR="008958CC" w:rsidRPr="00C623A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considera meritorio aprobar toda legislación necesaria, que redunden </w:t>
      </w:r>
      <w:r w:rsidR="00816782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en fortalecer</w:t>
      </w:r>
      <w:r w:rsidR="00C623A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el derecho electoral, nuestro sistema de financiamiento de campañas políticas, y con ello, el sagrado derecho al sufragio universal. </w:t>
      </w:r>
    </w:p>
    <w:p w14:paraId="6B4C7651" w14:textId="77777777" w:rsidR="008958CC" w:rsidRPr="003A208B" w:rsidRDefault="008958CC" w:rsidP="00F23A0F">
      <w:pPr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6F63F124" w14:textId="77777777" w:rsidR="008958CC" w:rsidRPr="003A208B" w:rsidRDefault="008958CC" w:rsidP="008958CC">
      <w:pPr>
        <w:spacing w:line="480" w:lineRule="auto"/>
        <w:jc w:val="both"/>
        <w:rPr>
          <w:rFonts w:ascii="Book Antiqua" w:hAnsi="Book Antiqua"/>
          <w:bCs/>
          <w:i/>
          <w:iCs/>
          <w:color w:val="000000" w:themeColor="text1"/>
          <w:szCs w:val="24"/>
          <w:lang w:val="es-PR"/>
        </w:rPr>
      </w:pPr>
      <w:r w:rsidRPr="003A208B">
        <w:rPr>
          <w:rFonts w:ascii="Book Antiqua" w:hAnsi="Book Antiqua"/>
          <w:bCs/>
          <w:i/>
          <w:iCs/>
          <w:color w:val="000000" w:themeColor="text1"/>
          <w:szCs w:val="24"/>
          <w:lang w:val="es-PR"/>
        </w:rPr>
        <w:t>DECRÉTASE POR LA ASAMBLEA LEGISLATIVA DE PUERTO RICO:</w:t>
      </w:r>
    </w:p>
    <w:p w14:paraId="6826EBAF" w14:textId="77777777" w:rsidR="008958CC" w:rsidRPr="003A208B" w:rsidRDefault="008958CC" w:rsidP="008958CC">
      <w:pPr>
        <w:spacing w:line="480" w:lineRule="auto"/>
        <w:jc w:val="both"/>
        <w:rPr>
          <w:rFonts w:ascii="Book Antiqua" w:hAnsi="Book Antiqua"/>
          <w:color w:val="000000" w:themeColor="text1"/>
          <w:szCs w:val="24"/>
          <w:lang w:val="es-PR"/>
        </w:rPr>
        <w:sectPr w:rsidR="008958CC" w:rsidRPr="003A208B" w:rsidSect="008958CC">
          <w:headerReference w:type="default" r:id="rId8"/>
          <w:footerReference w:type="default" r:id="rId9"/>
          <w:headerReference w:type="first" r:id="rId10"/>
          <w:footerReference w:type="first" r:id="rId11"/>
          <w:pgSz w:w="12240" w:h="15840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382C9149" w14:textId="4388A0E7" w:rsidR="008958CC" w:rsidRPr="003A208B" w:rsidRDefault="007224AA" w:rsidP="008958CC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Sección</w:t>
      </w:r>
      <w:r w:rsidR="008958CC" w:rsidRPr="003A208B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1.-Se enmienda 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el Artículo </w:t>
      </w:r>
      <w:r w:rsidR="00240860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2.004.</w:t>
      </w:r>
      <w:r w:rsidR="008958CC" w:rsidRPr="003A208B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de la </w:t>
      </w:r>
      <w:r w:rsidR="00240860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222-2011</w:t>
      </w:r>
      <w:r w:rsidR="008958CC" w:rsidRPr="003A208B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, según enmendada, para que se lea como sigue: </w:t>
      </w:r>
    </w:p>
    <w:p w14:paraId="3378CA2A" w14:textId="77777777" w:rsidR="00471B1E" w:rsidRDefault="008958CC" w:rsidP="00471B1E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3A208B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“</w:t>
      </w:r>
      <w:r w:rsidR="00240860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Artículo</w:t>
      </w:r>
      <w:r w:rsidR="00F8356D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2.0004.</w:t>
      </w:r>
      <w:r w:rsidRPr="003A208B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—</w:t>
      </w:r>
      <w:r w:rsidR="00F8356D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Definiciones</w:t>
      </w:r>
      <w:r w:rsidRPr="003A208B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.</w:t>
      </w:r>
    </w:p>
    <w:p w14:paraId="0D81AA3F" w14:textId="48EFD2DA" w:rsidR="00471B1E" w:rsidRPr="00471B1E" w:rsidRDefault="00471B1E" w:rsidP="00471B1E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AD252E">
        <w:rPr>
          <w:rFonts w:ascii="Book Antiqua" w:hAnsi="Book Antiqua"/>
          <w:lang w:val="es-PR"/>
        </w:rPr>
        <w:t>Para los propósitos de esta Ley, los siguientes términos tendrán el significado que se dispone a continuación, salvo que del propio texto se desprenda otro significado:</w:t>
      </w:r>
    </w:p>
    <w:p w14:paraId="05097645" w14:textId="51CA55FF" w:rsidR="004C014D" w:rsidRPr="004F4CE3" w:rsidRDefault="00924947" w:rsidP="004F4CE3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“Agencia de Publicidad</w:t>
      </w:r>
      <w:r w:rsidR="00164DE8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”: </w:t>
      </w:r>
      <w:r w:rsidR="00164DE8" w:rsidRPr="00164DE8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toda organización dedicada a proveer servicios de diseño, programación, selección y contratación con medios de difusión, estudios de opinión pública, encuestas y cualquier otra actividad requerida por un partido político, aspirante, candidato, comité u opción electoral para promover su triunfo en el proceso eleccionario o abogar activamente por la abstención, o que no pueda ser razonablemente interpretada de otra manera </w:t>
      </w:r>
      <w:r w:rsidR="004F4CE3" w:rsidRPr="004F4CE3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que teniendo este propósito, finalidad u objetivo; en cualquier referéndum o consulta al elector .</w:t>
      </w:r>
    </w:p>
    <w:p w14:paraId="35276698" w14:textId="77777777" w:rsidR="008958CC" w:rsidRDefault="008958CC" w:rsidP="008958CC">
      <w:pPr>
        <w:pStyle w:val="ListParagraph"/>
        <w:spacing w:line="480" w:lineRule="auto"/>
        <w:ind w:left="1080"/>
        <w:jc w:val="both"/>
        <w:rPr>
          <w:rFonts w:ascii="Book Antiqua" w:hAnsi="Book Antiqua"/>
          <w:color w:val="000000" w:themeColor="text1"/>
          <w:lang w:val="es-PR"/>
        </w:rPr>
      </w:pPr>
      <w:r w:rsidRPr="003A208B">
        <w:rPr>
          <w:rFonts w:ascii="Book Antiqua" w:hAnsi="Book Antiqua"/>
          <w:color w:val="000000" w:themeColor="text1"/>
          <w:lang w:val="es-PR"/>
        </w:rPr>
        <w:t>…</w:t>
      </w:r>
    </w:p>
    <w:p w14:paraId="635DF741" w14:textId="77777777" w:rsidR="007614FF" w:rsidRDefault="004C014D" w:rsidP="007614FF">
      <w:pPr>
        <w:pStyle w:val="ListParagraph"/>
        <w:spacing w:line="480" w:lineRule="auto"/>
        <w:ind w:left="1080"/>
        <w:jc w:val="both"/>
        <w:rPr>
          <w:rFonts w:ascii="Book Antiqua" w:hAnsi="Book Antiqua"/>
          <w:color w:val="000000" w:themeColor="text1"/>
          <w:lang w:val="es-PR"/>
        </w:rPr>
      </w:pPr>
      <w:r>
        <w:rPr>
          <w:rFonts w:ascii="Book Antiqua" w:hAnsi="Book Antiqua"/>
          <w:color w:val="000000" w:themeColor="text1"/>
          <w:lang w:val="es-PR"/>
        </w:rPr>
        <w:t>…</w:t>
      </w:r>
    </w:p>
    <w:p w14:paraId="758207EB" w14:textId="7A8BB087" w:rsidR="00C935F5" w:rsidRDefault="00C935F5" w:rsidP="00C44CC5">
      <w:pPr>
        <w:pStyle w:val="ListParagraph"/>
        <w:spacing w:line="480" w:lineRule="auto"/>
        <w:ind w:left="1080"/>
        <w:jc w:val="both"/>
        <w:rPr>
          <w:rFonts w:ascii="Book Antiqua" w:eastAsiaTheme="majorEastAsia" w:hAnsi="Book Antiqua"/>
          <w:i/>
          <w:iCs/>
          <w:lang w:val="es-PR"/>
        </w:rPr>
      </w:pPr>
      <w:r>
        <w:rPr>
          <w:rFonts w:ascii="Book Antiqua" w:hAnsi="Book Antiqua"/>
          <w:color w:val="000000" w:themeColor="text1"/>
          <w:lang w:val="es-PR"/>
        </w:rPr>
        <w:t xml:space="preserve">57) “Persona Jurídica”: </w:t>
      </w:r>
      <w:r w:rsidR="00FC4E64" w:rsidRPr="00FC4E64">
        <w:rPr>
          <w:rFonts w:ascii="Book Antiqua" w:hAnsi="Book Antiqua"/>
          <w:color w:val="000000" w:themeColor="text1"/>
          <w:lang w:val="es-PR"/>
        </w:rPr>
        <w:t xml:space="preserve">incluye a la corporación, la entidad de responsabilidad limitada, la sociedad, la cooperativa, el fideicomiso, el grupo de personas que se organiza como una asociación y la organización laboral. Para fines de las </w:t>
      </w:r>
      <w:r w:rsidR="00FC4E64" w:rsidRPr="00FC4E64">
        <w:rPr>
          <w:rFonts w:ascii="Book Antiqua" w:hAnsi="Book Antiqua"/>
          <w:color w:val="000000" w:themeColor="text1"/>
          <w:lang w:val="es-PR"/>
        </w:rPr>
        <w:lastRenderedPageBreak/>
        <w:t>exigencias que imponen los Artículos 6.007 al 6.010 de esta Ley, no se considerará persona jurídica a una entidad que, sin importar su nombre, constituya un comité de acción política o partido nacional o local, u otra organización política bajo el Código de Rentas Internas de los Estados Unidos, según su naturaleza y origen, y según definido por esta Ley. No obstante, una persona jurídica no creada, para propósitos electorales, y que desee destinar</w:t>
      </w:r>
      <w:r w:rsidR="00FC4E64">
        <w:rPr>
          <w:rFonts w:ascii="Book Antiqua" w:hAnsi="Book Antiqua"/>
          <w:color w:val="000000" w:themeColor="text1"/>
          <w:lang w:val="es-PR"/>
        </w:rPr>
        <w:t xml:space="preserve"> </w:t>
      </w:r>
      <w:r w:rsidR="00FC4E64" w:rsidRPr="00FC4E64">
        <w:rPr>
          <w:rFonts w:ascii="Book Antiqua" w:hAnsi="Book Antiqua"/>
          <w:color w:val="000000" w:themeColor="text1"/>
          <w:lang w:val="es-PR"/>
        </w:rPr>
        <w:t>fondos segregados o hacer un gasto independiente, cumplirá con todos los requisitos, limitaciones e informes exigidos a los comités de acción política y con las exigencias del Capítulo VI de esta Ley</w:t>
      </w:r>
      <w:r w:rsidR="00F677BD">
        <w:rPr>
          <w:rFonts w:ascii="Book Antiqua" w:hAnsi="Book Antiqua"/>
          <w:color w:val="000000" w:themeColor="text1"/>
          <w:lang w:val="es-PR"/>
        </w:rPr>
        <w:t>.</w:t>
      </w:r>
      <w:r w:rsidR="007614FF">
        <w:rPr>
          <w:rFonts w:ascii="Book Antiqua" w:hAnsi="Book Antiqua"/>
          <w:color w:val="000000" w:themeColor="text1"/>
          <w:lang w:val="es-PR"/>
        </w:rPr>
        <w:t xml:space="preserve">  </w:t>
      </w:r>
      <w:r w:rsidR="001B2D29">
        <w:rPr>
          <w:rFonts w:ascii="Book Antiqua" w:hAnsi="Book Antiqua"/>
          <w:i/>
          <w:iCs/>
          <w:color w:val="000000" w:themeColor="text1"/>
          <w:lang w:val="es-PR"/>
        </w:rPr>
        <w:t xml:space="preserve">Para propósitos de esta </w:t>
      </w:r>
      <w:r w:rsidR="00016C51">
        <w:rPr>
          <w:rFonts w:ascii="Book Antiqua" w:hAnsi="Book Antiqua"/>
          <w:i/>
          <w:iCs/>
          <w:color w:val="000000" w:themeColor="text1"/>
          <w:lang w:val="es-PR"/>
        </w:rPr>
        <w:t>L</w:t>
      </w:r>
      <w:r w:rsidR="001B2D29">
        <w:rPr>
          <w:rFonts w:ascii="Book Antiqua" w:hAnsi="Book Antiqua"/>
          <w:i/>
          <w:iCs/>
          <w:color w:val="000000" w:themeColor="text1"/>
          <w:lang w:val="es-PR"/>
        </w:rPr>
        <w:t>ey</w:t>
      </w:r>
      <w:r w:rsidR="00C862AF">
        <w:rPr>
          <w:rFonts w:ascii="Book Antiqua" w:hAnsi="Book Antiqua"/>
          <w:i/>
          <w:iCs/>
          <w:color w:val="000000" w:themeColor="text1"/>
          <w:lang w:val="es-PR"/>
        </w:rPr>
        <w:t xml:space="preserve">, </w:t>
      </w:r>
      <w:r w:rsidR="007614FF" w:rsidRPr="00B6429E">
        <w:rPr>
          <w:rFonts w:ascii="Book Antiqua" w:eastAsiaTheme="majorEastAsia" w:hAnsi="Book Antiqua"/>
          <w:i/>
          <w:iCs/>
          <w:lang w:val="es-PR"/>
        </w:rPr>
        <w:t xml:space="preserve">las personas jurídicas extranjeras, </w:t>
      </w:r>
      <w:r w:rsidR="00016C51">
        <w:rPr>
          <w:rFonts w:ascii="Book Antiqua" w:eastAsiaTheme="majorEastAsia" w:hAnsi="Book Antiqua"/>
          <w:i/>
          <w:iCs/>
          <w:lang w:val="es-PR"/>
        </w:rPr>
        <w:t xml:space="preserve">serán </w:t>
      </w:r>
      <w:r w:rsidR="007614FF" w:rsidRPr="00B6429E">
        <w:rPr>
          <w:rFonts w:ascii="Book Antiqua" w:eastAsiaTheme="majorEastAsia" w:hAnsi="Book Antiqua"/>
          <w:i/>
          <w:iCs/>
          <w:lang w:val="es-PR"/>
        </w:rPr>
        <w:t xml:space="preserve">aquellas organizadas, incorporadas o registradas fuera de Puerto Rico o de los Estados Unidos de América, independientemente de que posean o no operaciones en Puerto </w:t>
      </w:r>
      <w:r w:rsidR="00C862AF" w:rsidRPr="00B6429E">
        <w:rPr>
          <w:rFonts w:ascii="Book Antiqua" w:eastAsiaTheme="majorEastAsia" w:hAnsi="Book Antiqua"/>
          <w:i/>
          <w:iCs/>
          <w:lang w:val="es-PR"/>
        </w:rPr>
        <w:t>Rico</w:t>
      </w:r>
      <w:r w:rsidR="00C862AF">
        <w:rPr>
          <w:rFonts w:ascii="Book Antiqua" w:eastAsiaTheme="majorEastAsia" w:hAnsi="Book Antiqua"/>
          <w:i/>
          <w:iCs/>
          <w:lang w:val="es-PR"/>
        </w:rPr>
        <w:t>,</w:t>
      </w:r>
      <w:r w:rsidR="00E32EF4">
        <w:rPr>
          <w:rFonts w:ascii="Book Antiqua" w:eastAsiaTheme="majorEastAsia" w:hAnsi="Book Antiqua"/>
          <w:i/>
          <w:iCs/>
          <w:lang w:val="es-PR"/>
        </w:rPr>
        <w:t xml:space="preserve"> estas </w:t>
      </w:r>
      <w:r w:rsidR="00C862AF" w:rsidRPr="00B6429E">
        <w:rPr>
          <w:rFonts w:ascii="Book Antiqua" w:eastAsiaTheme="majorEastAsia" w:hAnsi="Book Antiqua"/>
          <w:i/>
          <w:iCs/>
          <w:lang w:val="es-PR"/>
        </w:rPr>
        <w:t xml:space="preserve"> no</w:t>
      </w:r>
      <w:r w:rsidR="007614FF" w:rsidRPr="00B6429E">
        <w:rPr>
          <w:rFonts w:ascii="Book Antiqua" w:eastAsiaTheme="majorEastAsia" w:hAnsi="Book Antiqua"/>
          <w:i/>
          <w:iCs/>
          <w:lang w:val="es-PR"/>
        </w:rPr>
        <w:t xml:space="preserve"> podrán, directa ni indirectamente, </w:t>
      </w:r>
      <w:r w:rsidR="00DF6FD8">
        <w:rPr>
          <w:rFonts w:ascii="Book Antiqua" w:eastAsiaTheme="majorEastAsia" w:hAnsi="Book Antiqua"/>
          <w:i/>
          <w:iCs/>
          <w:lang w:val="es-PR"/>
        </w:rPr>
        <w:t>y/</w:t>
      </w:r>
      <w:r w:rsidR="00E32EF4">
        <w:rPr>
          <w:rFonts w:ascii="Book Antiqua" w:eastAsiaTheme="majorEastAsia" w:hAnsi="Book Antiqua"/>
          <w:i/>
          <w:iCs/>
          <w:lang w:val="es-PR"/>
        </w:rPr>
        <w:t xml:space="preserve">o </w:t>
      </w:r>
      <w:r w:rsidR="00D03E12">
        <w:rPr>
          <w:rFonts w:ascii="Book Antiqua" w:eastAsiaTheme="majorEastAsia" w:hAnsi="Book Antiqua"/>
          <w:i/>
          <w:iCs/>
          <w:lang w:val="es-PR"/>
        </w:rPr>
        <w:t>a través los miembros de sus juntas de directores,</w:t>
      </w:r>
      <w:r w:rsidR="002C16FA">
        <w:rPr>
          <w:rFonts w:ascii="Book Antiqua" w:eastAsiaTheme="majorEastAsia" w:hAnsi="Book Antiqua"/>
          <w:i/>
          <w:iCs/>
          <w:lang w:val="es-PR"/>
        </w:rPr>
        <w:t xml:space="preserve"> ejecutivos, gerent</w:t>
      </w:r>
      <w:r w:rsidR="00C44CC5">
        <w:rPr>
          <w:rFonts w:ascii="Book Antiqua" w:eastAsiaTheme="majorEastAsia" w:hAnsi="Book Antiqua"/>
          <w:i/>
          <w:iCs/>
          <w:lang w:val="es-PR"/>
        </w:rPr>
        <w:t>es, socios gestores</w:t>
      </w:r>
      <w:r w:rsidR="00D03E12">
        <w:rPr>
          <w:rFonts w:ascii="Book Antiqua" w:eastAsiaTheme="majorEastAsia" w:hAnsi="Book Antiqua"/>
          <w:i/>
          <w:iCs/>
          <w:lang w:val="es-PR"/>
        </w:rPr>
        <w:t xml:space="preserve"> o subsidiarias, </w:t>
      </w:r>
      <w:r w:rsidR="007614FF" w:rsidRPr="00B6429E">
        <w:rPr>
          <w:rFonts w:ascii="Book Antiqua" w:eastAsiaTheme="majorEastAsia" w:hAnsi="Book Antiqua"/>
          <w:i/>
          <w:iCs/>
          <w:lang w:val="es-PR"/>
        </w:rPr>
        <w:t>realizar donativos</w:t>
      </w:r>
      <w:r w:rsidR="007614FF">
        <w:rPr>
          <w:rFonts w:ascii="Book Antiqua" w:hAnsi="Book Antiqua"/>
          <w:i/>
          <w:iCs/>
          <w:lang w:val="es-PR"/>
        </w:rPr>
        <w:t>, organizarse como un comité de acción política, comité de fondos segregados, o gastos independientes alguno</w:t>
      </w:r>
      <w:r w:rsidR="007614FF" w:rsidRPr="00B6429E">
        <w:rPr>
          <w:rFonts w:ascii="Book Antiqua" w:eastAsiaTheme="majorEastAsia" w:hAnsi="Book Antiqua"/>
          <w:i/>
          <w:iCs/>
          <w:lang w:val="es-PR"/>
        </w:rPr>
        <w:t xml:space="preserve"> con fines </w:t>
      </w:r>
      <w:r w:rsidR="00C76A31">
        <w:rPr>
          <w:rFonts w:ascii="Book Antiqua" w:eastAsiaTheme="majorEastAsia" w:hAnsi="Book Antiqua"/>
          <w:i/>
          <w:iCs/>
          <w:lang w:val="es-PR"/>
        </w:rPr>
        <w:t xml:space="preserve">de influir y/o  participar en el financiamiento de campañas políticas </w:t>
      </w:r>
      <w:r w:rsidR="007614FF" w:rsidRPr="00B6429E">
        <w:rPr>
          <w:rFonts w:ascii="Book Antiqua" w:eastAsiaTheme="majorEastAsia" w:hAnsi="Book Antiqua"/>
          <w:i/>
          <w:iCs/>
          <w:lang w:val="es-PR"/>
        </w:rPr>
        <w:t>en Puerto Rico.</w:t>
      </w:r>
      <w:r w:rsidR="00E1763F">
        <w:rPr>
          <w:rFonts w:ascii="Book Antiqua" w:eastAsiaTheme="majorEastAsia" w:hAnsi="Book Antiqua"/>
          <w:i/>
          <w:iCs/>
          <w:lang w:val="es-PR"/>
        </w:rPr>
        <w:t>”</w:t>
      </w:r>
    </w:p>
    <w:p w14:paraId="60A64E22" w14:textId="77777777" w:rsidR="00E1763F" w:rsidRDefault="00DF6FD8" w:rsidP="00E1763F">
      <w:pPr>
        <w:pStyle w:val="BodyText"/>
        <w:spacing w:line="480" w:lineRule="auto"/>
        <w:ind w:firstLine="720"/>
        <w:rPr>
          <w:rFonts w:ascii="Book Antiqua" w:eastAsia="Book Antiqua" w:hAnsi="Book Antiqua" w:cs="Book Antiqua"/>
          <w:color w:val="000000" w:themeColor="text1"/>
        </w:rPr>
      </w:pPr>
      <w:r>
        <w:rPr>
          <w:rFonts w:ascii="Book Antiqua" w:hAnsi="Book Antiqua"/>
          <w:color w:val="000000" w:themeColor="text1"/>
        </w:rPr>
        <w:t>Sección</w:t>
      </w:r>
      <w:r w:rsidRPr="003A208B">
        <w:rPr>
          <w:rFonts w:ascii="Book Antiqua" w:hAnsi="Book Antiqua"/>
          <w:color w:val="000000" w:themeColor="text1"/>
        </w:rPr>
        <w:t xml:space="preserve"> 2. - </w:t>
      </w:r>
      <w:r w:rsidR="008D0CEB" w:rsidRPr="003A208B">
        <w:rPr>
          <w:rFonts w:ascii="Book Antiqua" w:eastAsia="Book Antiqua" w:hAnsi="Book Antiqua" w:cs="Book Antiqua"/>
          <w:color w:val="000000" w:themeColor="text1"/>
        </w:rPr>
        <w:t xml:space="preserve">Se enmienda </w:t>
      </w:r>
      <w:r w:rsidR="008D0CEB">
        <w:rPr>
          <w:rFonts w:ascii="Book Antiqua" w:eastAsia="Book Antiqua" w:hAnsi="Book Antiqua" w:cs="Book Antiqua"/>
          <w:color w:val="000000" w:themeColor="text1"/>
        </w:rPr>
        <w:t>el Artículo 5.006.</w:t>
      </w:r>
      <w:r w:rsidR="008D0CEB" w:rsidRPr="003A208B">
        <w:rPr>
          <w:rFonts w:ascii="Book Antiqua" w:eastAsia="Book Antiqua" w:hAnsi="Book Antiqua" w:cs="Book Antiqua"/>
          <w:color w:val="000000" w:themeColor="text1"/>
        </w:rPr>
        <w:t xml:space="preserve"> de la </w:t>
      </w:r>
      <w:r w:rsidR="008D0CEB">
        <w:rPr>
          <w:rFonts w:ascii="Book Antiqua" w:eastAsia="Book Antiqua" w:hAnsi="Book Antiqua" w:cs="Book Antiqua"/>
          <w:color w:val="000000" w:themeColor="text1"/>
        </w:rPr>
        <w:t>222-2011</w:t>
      </w:r>
      <w:r w:rsidR="008D0CEB" w:rsidRPr="003A208B">
        <w:rPr>
          <w:rFonts w:ascii="Book Antiqua" w:eastAsia="Book Antiqua" w:hAnsi="Book Antiqua" w:cs="Book Antiqua"/>
          <w:color w:val="000000" w:themeColor="text1"/>
        </w:rPr>
        <w:t>, según enmendada, para que se lea como sigue:</w:t>
      </w:r>
    </w:p>
    <w:p w14:paraId="630E9749" w14:textId="31580D62" w:rsidR="00E1763F" w:rsidRPr="00E1763F" w:rsidRDefault="00E1763F" w:rsidP="00E1763F">
      <w:pPr>
        <w:pStyle w:val="BodyText"/>
        <w:spacing w:line="480" w:lineRule="auto"/>
        <w:ind w:firstLine="720"/>
        <w:rPr>
          <w:rFonts w:ascii="Book Antiqua" w:eastAsia="Book Antiqua" w:hAnsi="Book Antiqua" w:cs="Book Antiqua"/>
          <w:color w:val="000000" w:themeColor="text1"/>
        </w:rPr>
      </w:pPr>
      <w:r>
        <w:rPr>
          <w:rFonts w:ascii="Book Antiqua" w:hAnsi="Book Antiqua"/>
        </w:rPr>
        <w:t>“</w:t>
      </w:r>
      <w:r w:rsidRPr="00B408E6">
        <w:rPr>
          <w:rFonts w:ascii="Book Antiqua" w:hAnsi="Book Antiqua"/>
        </w:rPr>
        <w:t xml:space="preserve">Artículo. 5.006. — Personas jurídicas. </w:t>
      </w:r>
    </w:p>
    <w:p w14:paraId="79ED62B6" w14:textId="0A82841A" w:rsidR="00DF6FD8" w:rsidRPr="00E1763F" w:rsidRDefault="00E1763F" w:rsidP="00E1763F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</w:rPr>
      </w:pPr>
      <w:r w:rsidRPr="00B408E6">
        <w:rPr>
          <w:rFonts w:ascii="Book Antiqua" w:hAnsi="Book Antiqua"/>
        </w:rPr>
        <w:t>Ninguna persona jurídica</w:t>
      </w:r>
      <w:r>
        <w:rPr>
          <w:rFonts w:ascii="Book Antiqua" w:hAnsi="Book Antiqua"/>
          <w:i/>
          <w:iCs/>
        </w:rPr>
        <w:t>, ni persona jurídica extranjera</w:t>
      </w:r>
      <w:r w:rsidRPr="00B408E6">
        <w:rPr>
          <w:rFonts w:ascii="Book Antiqua" w:hAnsi="Book Antiqua"/>
        </w:rPr>
        <w:t xml:space="preserve"> podrá hacer donativos de sus propios fondos en o fuera de Puerto Rico a partidos políticos, aspirantes, candidatos, comités de campaña, o a agentes, representantes o comités autorizados de cualquiera de </w:t>
      </w:r>
      <w:r w:rsidRPr="00B408E6">
        <w:rPr>
          <w:rFonts w:ascii="Book Antiqua" w:hAnsi="Book Antiqua"/>
        </w:rPr>
        <w:lastRenderedPageBreak/>
        <w:t xml:space="preserve">los anteriores, o a comités de acción política sujetos a esa Ley que hagan donaciones o coordinen gastos entre sí. No obstante, podrá establecer, organizar y administrar un comité que se conocerá como comité de fondos segregados, que para el fin de donación y gastos se tratará como un comité de acción política que deberá registrarse en la Oficina del Contralor Electoral, rendir informes y cumplir con todos los requisitos impuestos por esta Ley. Entonces, sus miembros, empleados y sus parientes dentro del segundo grado de consanguinidad o afinidad podrán hacer aportaciones que se depositarán en la cuenta bancaria establecida y registrada en la Oficina del Contralor Electoral para estos efectos. De dicha cuenta bancaria, el comité de fondos segregados podrá </w:t>
      </w:r>
      <w:proofErr w:type="gramStart"/>
      <w:r w:rsidRPr="00B408E6">
        <w:rPr>
          <w:rFonts w:ascii="Book Antiqua" w:hAnsi="Book Antiqua"/>
        </w:rPr>
        <w:t>hacerle</w:t>
      </w:r>
      <w:proofErr w:type="gramEnd"/>
      <w:r w:rsidRPr="00B408E6">
        <w:rPr>
          <w:rFonts w:ascii="Book Antiqua" w:hAnsi="Book Antiqua"/>
        </w:rPr>
        <w:t xml:space="preserve"> donativos a partidos políticos, aspirantes, candidatos, y comités de campaña y comités autorizados, así como a comités de acción política que hagan donaciones a cualquiera de éstos</w:t>
      </w:r>
      <w:r>
        <w:rPr>
          <w:rFonts w:ascii="Book Antiqua" w:hAnsi="Book Antiqua"/>
        </w:rPr>
        <w:t>.”</w:t>
      </w:r>
    </w:p>
    <w:p w14:paraId="2924522A" w14:textId="44C69F8C" w:rsidR="008958CC" w:rsidRPr="003A208B" w:rsidRDefault="006F404D" w:rsidP="00AD772C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</w:rPr>
      </w:pPr>
      <w:r>
        <w:rPr>
          <w:rFonts w:ascii="Book Antiqua" w:hAnsi="Book Antiqua"/>
          <w:color w:val="000000" w:themeColor="text1"/>
        </w:rPr>
        <w:t>Sección</w:t>
      </w:r>
      <w:r w:rsidR="008958CC" w:rsidRPr="003A208B">
        <w:rPr>
          <w:rFonts w:ascii="Book Antiqua" w:hAnsi="Book Antiqua"/>
          <w:color w:val="000000" w:themeColor="text1"/>
        </w:rPr>
        <w:t xml:space="preserve"> </w:t>
      </w:r>
      <w:r w:rsidR="00DF6FD8">
        <w:rPr>
          <w:rFonts w:ascii="Book Antiqua" w:hAnsi="Book Antiqua"/>
          <w:color w:val="000000" w:themeColor="text1"/>
        </w:rPr>
        <w:t>3</w:t>
      </w:r>
      <w:r w:rsidR="008958CC" w:rsidRPr="003A208B">
        <w:rPr>
          <w:rFonts w:ascii="Book Antiqua" w:hAnsi="Book Antiqua"/>
          <w:color w:val="000000" w:themeColor="text1"/>
        </w:rPr>
        <w:t>. - Supremacía.</w:t>
      </w:r>
    </w:p>
    <w:p w14:paraId="7170D193" w14:textId="77777777" w:rsidR="008958CC" w:rsidRPr="003A208B" w:rsidRDefault="008958CC" w:rsidP="008958CC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</w:rPr>
      </w:pPr>
      <w:r w:rsidRPr="003A208B">
        <w:rPr>
          <w:rFonts w:ascii="Book Antiqua" w:hAnsi="Book Antiqua"/>
          <w:color w:val="000000" w:themeColor="text1"/>
        </w:rPr>
        <w:t>Las disposiciones de esta Ley prevalecerán sobre cualquier otra disposición de ley o reglamento que no estuviere en armonía con lo aquí establecido.</w:t>
      </w:r>
    </w:p>
    <w:p w14:paraId="1024D6B6" w14:textId="72989C6A" w:rsidR="008958CC" w:rsidRPr="003A208B" w:rsidRDefault="006F404D" w:rsidP="008958CC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</w:rPr>
      </w:pPr>
      <w:r>
        <w:rPr>
          <w:rFonts w:ascii="Book Antiqua" w:hAnsi="Book Antiqua"/>
          <w:color w:val="000000" w:themeColor="text1"/>
        </w:rPr>
        <w:t>Sección.</w:t>
      </w:r>
      <w:r w:rsidR="008958CC" w:rsidRPr="003A208B">
        <w:rPr>
          <w:rFonts w:ascii="Book Antiqua" w:hAnsi="Book Antiqua"/>
          <w:color w:val="000000" w:themeColor="text1"/>
        </w:rPr>
        <w:t xml:space="preserve"> </w:t>
      </w:r>
      <w:r w:rsidR="00DF6FD8">
        <w:rPr>
          <w:rFonts w:ascii="Book Antiqua" w:hAnsi="Book Antiqua"/>
          <w:color w:val="000000" w:themeColor="text1"/>
        </w:rPr>
        <w:t>4</w:t>
      </w:r>
      <w:r w:rsidR="008958CC" w:rsidRPr="003A208B">
        <w:rPr>
          <w:rFonts w:ascii="Book Antiqua" w:hAnsi="Book Antiqua"/>
          <w:color w:val="000000" w:themeColor="text1"/>
        </w:rPr>
        <w:t>. - Separabilidad.</w:t>
      </w:r>
    </w:p>
    <w:p w14:paraId="704DC394" w14:textId="77777777" w:rsidR="008958CC" w:rsidRPr="003A208B" w:rsidRDefault="008958CC" w:rsidP="008958CC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</w:rPr>
      </w:pPr>
      <w:r w:rsidRPr="003A208B">
        <w:rPr>
          <w:rFonts w:ascii="Book Antiqua" w:hAnsi="Book Antiqua"/>
          <w:color w:val="000000" w:themeColor="text1"/>
        </w:rPr>
        <w:t xml:space="preserve">Si cualquier cláusula, párrafo, subpárrafo, oración, palabra, letra, artículo, disposición, sección, subsección, título, capítulo, subcapítulo, acápite o parte de esta Ley fuera anulada o declarada inconstitucional, la resolución, dictamen o sentencia a tal efecto dictada no afectará, perjudicará, ni invalidará el remanente de esta Ley. El efecto de dicha sentencia quedará limitado a la cláusula, párrafo, subpárrafo, oración, palabra, letra, artículo, disposición, sección, subsección, título, capítulo, subcapítulo, acápite o parte de esta Ley fuera invalidada o declarada inconstitucional, la resolución, dictamen o </w:t>
      </w:r>
      <w:r w:rsidRPr="003A208B">
        <w:rPr>
          <w:rFonts w:ascii="Book Antiqua" w:hAnsi="Book Antiqua"/>
          <w:color w:val="000000" w:themeColor="text1"/>
        </w:rPr>
        <w:lastRenderedPageBreak/>
        <w:t>sentencia a tal efecto dictada no afectará ni invalidará la aplicación del remanente de esta Ley a aquellas personas o circunstancias en que se pueda aplicar válidamente. Es la voluntad expresa e inequívoca de esta Asamblea Legislativa que los tribunales hagan cumplir las disposiciones y la aplicación de esta Ley en la mayor medida posible, aunque se deje sin efecto, invalide o declare inconstitucional su aplicación a alguna persona o circunstancia. Esta Asamblea Legislativa hubiera aprobado esta Ley sin importar la determinación de separabilidad que el Tribunal pueda hacer.</w:t>
      </w:r>
    </w:p>
    <w:p w14:paraId="7254FF32" w14:textId="41FD7146" w:rsidR="008958CC" w:rsidRPr="003A208B" w:rsidRDefault="006F404D" w:rsidP="00AD772C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</w:rPr>
      </w:pPr>
      <w:r>
        <w:rPr>
          <w:rFonts w:ascii="Book Antiqua" w:eastAsia="Book Antiqua" w:hAnsi="Book Antiqua" w:cs="Book Antiqua"/>
          <w:color w:val="000000" w:themeColor="text1"/>
        </w:rPr>
        <w:t>Sección.</w:t>
      </w:r>
      <w:r w:rsidR="008958CC" w:rsidRPr="003A208B">
        <w:rPr>
          <w:rFonts w:ascii="Book Antiqua" w:eastAsia="Book Antiqua" w:hAnsi="Book Antiqua" w:cs="Book Antiqua"/>
          <w:color w:val="000000" w:themeColor="text1"/>
        </w:rPr>
        <w:t xml:space="preserve"> 5.- Vigencia.</w:t>
      </w:r>
    </w:p>
    <w:p w14:paraId="7D3F74ED" w14:textId="037113E9" w:rsidR="00FD3565" w:rsidRPr="008958CC" w:rsidRDefault="008958CC" w:rsidP="00AD772C">
      <w:pPr>
        <w:spacing w:line="480" w:lineRule="auto"/>
        <w:ind w:firstLine="720"/>
        <w:jc w:val="both"/>
        <w:rPr>
          <w:color w:val="000000" w:themeColor="text1"/>
          <w:lang w:val="es-PR"/>
        </w:rPr>
      </w:pPr>
      <w:r w:rsidRPr="003A208B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Esta Ley entrará en vigor </w:t>
      </w:r>
      <w:r w:rsidR="00DC3269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inmediatamente después de su aprobación. </w:t>
      </w:r>
    </w:p>
    <w:sectPr w:rsidR="00FD3565" w:rsidRPr="008958CC" w:rsidSect="008958CC">
      <w:headerReference w:type="even" r:id="rId12"/>
      <w:headerReference w:type="default" r:id="rId13"/>
      <w:footerReference w:type="default" r:id="rId14"/>
      <w:headerReference w:type="first" r:id="rId15"/>
      <w:footerReference w:type="first" r:id="rId16"/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A1A1B2" w14:textId="77777777" w:rsidR="001D57FA" w:rsidRDefault="001D57FA" w:rsidP="008958CC">
      <w:r>
        <w:separator/>
      </w:r>
    </w:p>
  </w:endnote>
  <w:endnote w:type="continuationSeparator" w:id="0">
    <w:p w14:paraId="08ADB4CD" w14:textId="77777777" w:rsidR="001D57FA" w:rsidRDefault="001D57FA" w:rsidP="008958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8958CC" w14:paraId="112F1FF7" w14:textId="77777777">
      <w:trPr>
        <w:trHeight w:val="300"/>
      </w:trPr>
      <w:tc>
        <w:tcPr>
          <w:tcW w:w="3120" w:type="dxa"/>
        </w:tcPr>
        <w:p w14:paraId="48138DBE" w14:textId="77777777" w:rsidR="008958CC" w:rsidRDefault="008958CC">
          <w:pPr>
            <w:pStyle w:val="Header"/>
            <w:ind w:left="-115"/>
          </w:pPr>
        </w:p>
      </w:tc>
      <w:tc>
        <w:tcPr>
          <w:tcW w:w="3120" w:type="dxa"/>
        </w:tcPr>
        <w:p w14:paraId="313195C1" w14:textId="77777777" w:rsidR="008958CC" w:rsidRDefault="008958CC">
          <w:pPr>
            <w:pStyle w:val="Header"/>
            <w:jc w:val="center"/>
          </w:pPr>
        </w:p>
      </w:tc>
      <w:tc>
        <w:tcPr>
          <w:tcW w:w="3120" w:type="dxa"/>
        </w:tcPr>
        <w:p w14:paraId="564ADDE3" w14:textId="77777777" w:rsidR="008958CC" w:rsidRDefault="008958CC">
          <w:pPr>
            <w:pStyle w:val="Header"/>
            <w:ind w:right="-115"/>
            <w:jc w:val="right"/>
          </w:pPr>
        </w:p>
      </w:tc>
    </w:tr>
  </w:tbl>
  <w:p w14:paraId="57E9F9AE" w14:textId="77777777" w:rsidR="008958CC" w:rsidRDefault="008958C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8958CC" w14:paraId="60308F2B" w14:textId="77777777">
      <w:trPr>
        <w:trHeight w:val="300"/>
      </w:trPr>
      <w:tc>
        <w:tcPr>
          <w:tcW w:w="3120" w:type="dxa"/>
        </w:tcPr>
        <w:p w14:paraId="1EF1AFBA" w14:textId="77777777" w:rsidR="008958CC" w:rsidRDefault="008958CC">
          <w:pPr>
            <w:pStyle w:val="Header"/>
            <w:ind w:left="-115"/>
          </w:pPr>
        </w:p>
      </w:tc>
      <w:tc>
        <w:tcPr>
          <w:tcW w:w="3120" w:type="dxa"/>
        </w:tcPr>
        <w:p w14:paraId="38EF4657" w14:textId="77777777" w:rsidR="008958CC" w:rsidRDefault="008958CC">
          <w:pPr>
            <w:pStyle w:val="Header"/>
            <w:jc w:val="center"/>
          </w:pPr>
        </w:p>
      </w:tc>
      <w:tc>
        <w:tcPr>
          <w:tcW w:w="3120" w:type="dxa"/>
        </w:tcPr>
        <w:p w14:paraId="4E6A544B" w14:textId="77777777" w:rsidR="008958CC" w:rsidRDefault="008958CC">
          <w:pPr>
            <w:pStyle w:val="Header"/>
            <w:ind w:right="-115"/>
            <w:jc w:val="right"/>
          </w:pPr>
        </w:p>
      </w:tc>
    </w:tr>
  </w:tbl>
  <w:p w14:paraId="41F1613A" w14:textId="77777777" w:rsidR="008958CC" w:rsidRDefault="008958C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8958CC" w14:paraId="371EB4D6" w14:textId="77777777">
      <w:trPr>
        <w:trHeight w:val="300"/>
      </w:trPr>
      <w:tc>
        <w:tcPr>
          <w:tcW w:w="3120" w:type="dxa"/>
        </w:tcPr>
        <w:p w14:paraId="7F05A2C9" w14:textId="77777777" w:rsidR="008958CC" w:rsidRDefault="008958CC">
          <w:pPr>
            <w:pStyle w:val="Header"/>
            <w:ind w:left="-115"/>
          </w:pPr>
        </w:p>
      </w:tc>
      <w:tc>
        <w:tcPr>
          <w:tcW w:w="3120" w:type="dxa"/>
        </w:tcPr>
        <w:p w14:paraId="164301FE" w14:textId="77777777" w:rsidR="008958CC" w:rsidRDefault="008958CC">
          <w:pPr>
            <w:pStyle w:val="Header"/>
            <w:jc w:val="center"/>
          </w:pPr>
        </w:p>
      </w:tc>
      <w:tc>
        <w:tcPr>
          <w:tcW w:w="3120" w:type="dxa"/>
        </w:tcPr>
        <w:p w14:paraId="23B02240" w14:textId="77777777" w:rsidR="008958CC" w:rsidRDefault="008958CC">
          <w:pPr>
            <w:pStyle w:val="Header"/>
            <w:ind w:right="-115"/>
            <w:jc w:val="right"/>
          </w:pPr>
        </w:p>
      </w:tc>
    </w:tr>
  </w:tbl>
  <w:p w14:paraId="300C4970" w14:textId="77777777" w:rsidR="008958CC" w:rsidRDefault="008958CC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8958CC" w14:paraId="1EB79F9F" w14:textId="77777777">
      <w:trPr>
        <w:trHeight w:val="300"/>
      </w:trPr>
      <w:tc>
        <w:tcPr>
          <w:tcW w:w="3120" w:type="dxa"/>
        </w:tcPr>
        <w:p w14:paraId="1CDD1ED5" w14:textId="77777777" w:rsidR="008958CC" w:rsidRDefault="008958CC">
          <w:pPr>
            <w:pStyle w:val="Header"/>
            <w:ind w:left="-115"/>
          </w:pPr>
        </w:p>
      </w:tc>
      <w:tc>
        <w:tcPr>
          <w:tcW w:w="3120" w:type="dxa"/>
        </w:tcPr>
        <w:p w14:paraId="69F480E2" w14:textId="77777777" w:rsidR="008958CC" w:rsidRDefault="008958CC">
          <w:pPr>
            <w:pStyle w:val="Header"/>
            <w:jc w:val="center"/>
          </w:pPr>
        </w:p>
      </w:tc>
      <w:tc>
        <w:tcPr>
          <w:tcW w:w="3120" w:type="dxa"/>
        </w:tcPr>
        <w:p w14:paraId="64013E15" w14:textId="77777777" w:rsidR="008958CC" w:rsidRDefault="008958CC">
          <w:pPr>
            <w:pStyle w:val="Header"/>
            <w:ind w:right="-115"/>
            <w:jc w:val="right"/>
          </w:pPr>
        </w:p>
      </w:tc>
    </w:tr>
  </w:tbl>
  <w:p w14:paraId="05735122" w14:textId="77777777" w:rsidR="008958CC" w:rsidRDefault="008958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DFDE29" w14:textId="77777777" w:rsidR="001D57FA" w:rsidRDefault="001D57FA" w:rsidP="008958CC">
      <w:r>
        <w:separator/>
      </w:r>
    </w:p>
  </w:footnote>
  <w:footnote w:type="continuationSeparator" w:id="0">
    <w:p w14:paraId="193A2656" w14:textId="77777777" w:rsidR="001D57FA" w:rsidRDefault="001D57FA" w:rsidP="008958CC">
      <w:r>
        <w:continuationSeparator/>
      </w:r>
    </w:p>
  </w:footnote>
  <w:footnote w:id="1">
    <w:p w14:paraId="616B3B30" w14:textId="77777777" w:rsidR="008958CC" w:rsidRPr="00073501" w:rsidRDefault="008958CC" w:rsidP="008958CC">
      <w:pPr>
        <w:pStyle w:val="FootnoteText"/>
        <w:jc w:val="both"/>
        <w:rPr>
          <w:rFonts w:ascii="Book Antiqua" w:hAnsi="Book Antiqua"/>
          <w:lang w:val="es-PR"/>
        </w:rPr>
      </w:pPr>
      <w:r w:rsidRPr="00073501">
        <w:rPr>
          <w:rStyle w:val="FootnoteReference"/>
          <w:rFonts w:ascii="Book Antiqua" w:eastAsiaTheme="majorEastAsia" w:hAnsi="Book Antiqua"/>
        </w:rPr>
        <w:footnoteRef/>
      </w:r>
      <w:r w:rsidRPr="00073501">
        <w:rPr>
          <w:rFonts w:ascii="Book Antiqua" w:hAnsi="Book Antiqua"/>
          <w:lang w:val="es-PR"/>
        </w:rPr>
        <w:t xml:space="preserve"> EXPOSICIÓN DE MOTIVOS, Ley 222 del 18 de noviembre de 2011, </w:t>
      </w:r>
      <w:r w:rsidRPr="00073501">
        <w:rPr>
          <w:rFonts w:ascii="Book Antiqua" w:hAnsi="Book Antiqua"/>
          <w:i/>
          <w:lang w:val="es-PR"/>
        </w:rPr>
        <w:t xml:space="preserve">Ley para la Fiscalización del Financiamiento de Campañas Políticas en Puerto Rico, </w:t>
      </w:r>
      <w:r w:rsidRPr="00073501">
        <w:rPr>
          <w:rFonts w:ascii="Book Antiqua" w:hAnsi="Book Antiqua"/>
          <w:lang w:val="es-PR"/>
        </w:rPr>
        <w:t xml:space="preserve">según enmendada.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BA87C" w14:textId="7C954DDF" w:rsidR="008958CC" w:rsidRDefault="008958CC">
    <w:pPr>
      <w:pStyle w:val="Header"/>
      <w:jc w:val="center"/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 PAGE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</w:rPr>
      <w:t>20</w:t>
    </w:r>
    <w:r>
      <w:rPr>
        <w:rStyle w:val="PageNumber"/>
        <w:rFonts w:eastAsiaTheme="majorEastAsia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8925F" w14:textId="07EFB201" w:rsidR="0056012E" w:rsidRPr="008520BD" w:rsidRDefault="008958CC" w:rsidP="007639EF">
    <w:pPr>
      <w:pStyle w:val="Header"/>
      <w:jc w:val="right"/>
      <w:rPr>
        <w:b/>
        <w:bCs/>
        <w:color w:val="EE0000"/>
        <w:lang w:val="es-PR"/>
      </w:rPr>
    </w:pPr>
    <w:r w:rsidRPr="0056012E">
      <w:rPr>
        <w:lang w:val="es-PR"/>
      </w:rPr>
      <w:tab/>
    </w:r>
    <w:r w:rsidRPr="0056012E">
      <w:rPr>
        <w:lang w:val="es-PR"/>
      </w:rPr>
      <w:tab/>
    </w:r>
    <w:r w:rsidR="007639EF">
      <w:rPr>
        <w:lang w:val="es-PR"/>
      </w:rPr>
      <w:t>A-095</w:t>
    </w:r>
  </w:p>
  <w:p w14:paraId="77D15536" w14:textId="16243136" w:rsidR="008958CC" w:rsidRPr="0056012E" w:rsidRDefault="008958CC">
    <w:pPr>
      <w:pStyle w:val="Header"/>
      <w:rPr>
        <w:lang w:val="es-P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AAD72" w14:textId="77777777" w:rsidR="00C623A7" w:rsidRDefault="00C623A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7099806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FC10758" w14:textId="4C170516" w:rsidR="00CD4B3B" w:rsidRDefault="00CD4B3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337B9EE" w14:textId="77777777" w:rsidR="00C623A7" w:rsidRDefault="00C623A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1D1370" w14:textId="77777777" w:rsidR="00C623A7" w:rsidRDefault="00C623A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B50E38"/>
    <w:multiLevelType w:val="hybridMultilevel"/>
    <w:tmpl w:val="DA4E65B6"/>
    <w:lvl w:ilvl="0" w:tplc="D654FF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F677542"/>
    <w:multiLevelType w:val="hybridMultilevel"/>
    <w:tmpl w:val="D04234C8"/>
    <w:lvl w:ilvl="0" w:tplc="6EDED69C">
      <w:start w:val="1"/>
      <w:numFmt w:val="lowerLetter"/>
      <w:lvlText w:val="(%1)"/>
      <w:lvlJc w:val="left"/>
      <w:pPr>
        <w:ind w:left="108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08143001">
    <w:abstractNumId w:val="1"/>
  </w:num>
  <w:num w:numId="2" w16cid:durableId="1696074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8CC"/>
    <w:rsid w:val="0001293C"/>
    <w:rsid w:val="00016C51"/>
    <w:rsid w:val="00025311"/>
    <w:rsid w:val="00033711"/>
    <w:rsid w:val="00066FD7"/>
    <w:rsid w:val="000733C7"/>
    <w:rsid w:val="00164DE8"/>
    <w:rsid w:val="001B2D29"/>
    <w:rsid w:val="001B2F8C"/>
    <w:rsid w:val="001D57FA"/>
    <w:rsid w:val="001F631A"/>
    <w:rsid w:val="00207F67"/>
    <w:rsid w:val="00240860"/>
    <w:rsid w:val="002C16FA"/>
    <w:rsid w:val="003346F1"/>
    <w:rsid w:val="00342C1B"/>
    <w:rsid w:val="003A4A61"/>
    <w:rsid w:val="004300D6"/>
    <w:rsid w:val="00471B1E"/>
    <w:rsid w:val="004C014D"/>
    <w:rsid w:val="004F4CE3"/>
    <w:rsid w:val="0056012E"/>
    <w:rsid w:val="005D5118"/>
    <w:rsid w:val="005D5738"/>
    <w:rsid w:val="00607983"/>
    <w:rsid w:val="006746B3"/>
    <w:rsid w:val="00676762"/>
    <w:rsid w:val="00693791"/>
    <w:rsid w:val="006C353E"/>
    <w:rsid w:val="006F404D"/>
    <w:rsid w:val="007224AA"/>
    <w:rsid w:val="00751126"/>
    <w:rsid w:val="007614FF"/>
    <w:rsid w:val="007639EF"/>
    <w:rsid w:val="00816782"/>
    <w:rsid w:val="0089102E"/>
    <w:rsid w:val="00892F17"/>
    <w:rsid w:val="008958CC"/>
    <w:rsid w:val="008C2FD0"/>
    <w:rsid w:val="008D0CEB"/>
    <w:rsid w:val="00900DC1"/>
    <w:rsid w:val="00924947"/>
    <w:rsid w:val="00A2298D"/>
    <w:rsid w:val="00A90768"/>
    <w:rsid w:val="00AD772C"/>
    <w:rsid w:val="00AF0315"/>
    <w:rsid w:val="00AF0A35"/>
    <w:rsid w:val="00B524E8"/>
    <w:rsid w:val="00C04BA0"/>
    <w:rsid w:val="00C36660"/>
    <w:rsid w:val="00C44CC5"/>
    <w:rsid w:val="00C623A7"/>
    <w:rsid w:val="00C76A31"/>
    <w:rsid w:val="00C862AF"/>
    <w:rsid w:val="00C935F5"/>
    <w:rsid w:val="00CD28F2"/>
    <w:rsid w:val="00CD4B3B"/>
    <w:rsid w:val="00CE12AE"/>
    <w:rsid w:val="00CF2F2D"/>
    <w:rsid w:val="00CF4A4A"/>
    <w:rsid w:val="00D03E12"/>
    <w:rsid w:val="00D05158"/>
    <w:rsid w:val="00D12006"/>
    <w:rsid w:val="00D147B4"/>
    <w:rsid w:val="00D2582A"/>
    <w:rsid w:val="00D85774"/>
    <w:rsid w:val="00DC3269"/>
    <w:rsid w:val="00DF6FD8"/>
    <w:rsid w:val="00E10579"/>
    <w:rsid w:val="00E1763F"/>
    <w:rsid w:val="00E32EF4"/>
    <w:rsid w:val="00E54924"/>
    <w:rsid w:val="00E67E10"/>
    <w:rsid w:val="00ED6FD8"/>
    <w:rsid w:val="00F23A0F"/>
    <w:rsid w:val="00F677BD"/>
    <w:rsid w:val="00F8356D"/>
    <w:rsid w:val="00FB2D7B"/>
    <w:rsid w:val="00FC4E64"/>
    <w:rsid w:val="00FD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383F83"/>
  <w15:chartTrackingRefBased/>
  <w15:docId w15:val="{3DFCD5E0-48F8-4947-A447-C84E2B715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58CC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958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58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58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58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58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58C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58C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58C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58C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58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58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58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58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58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58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58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58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58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58C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58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58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958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958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58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58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958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58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58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58CC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rsid w:val="008958C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8958CC"/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er">
    <w:name w:val="header"/>
    <w:basedOn w:val="Normal"/>
    <w:link w:val="HeaderChar"/>
    <w:uiPriority w:val="99"/>
    <w:rsid w:val="008958C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58CC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8958CC"/>
  </w:style>
  <w:style w:type="paragraph" w:customStyle="1" w:styleId="Title2">
    <w:name w:val="Title2"/>
    <w:basedOn w:val="Normal"/>
    <w:next w:val="Normal"/>
    <w:rsid w:val="008958CC"/>
    <w:pPr>
      <w:tabs>
        <w:tab w:val="left" w:pos="648"/>
        <w:tab w:val="right" w:pos="7776"/>
        <w:tab w:val="left" w:pos="7848"/>
      </w:tabs>
    </w:pPr>
  </w:style>
  <w:style w:type="paragraph" w:styleId="FootnoteText">
    <w:name w:val="footnote text"/>
    <w:basedOn w:val="Normal"/>
    <w:link w:val="FootnoteTextChar"/>
    <w:unhideWhenUsed/>
    <w:rsid w:val="008958CC"/>
    <w:rPr>
      <w:rFonts w:asciiTheme="minorHAnsi" w:eastAsiaTheme="minorHAnsi" w:hAnsiTheme="minorHAnsi" w:cstheme="minorBidi"/>
      <w:kern w:val="2"/>
      <w:sz w:val="20"/>
      <w14:ligatures w14:val="standardContextual"/>
    </w:rPr>
  </w:style>
  <w:style w:type="character" w:customStyle="1" w:styleId="FootnoteTextChar">
    <w:name w:val="Footnote Text Char"/>
    <w:basedOn w:val="DefaultParagraphFont"/>
    <w:link w:val="FootnoteText"/>
    <w:rsid w:val="008958CC"/>
    <w:rPr>
      <w:sz w:val="20"/>
      <w:szCs w:val="20"/>
    </w:rPr>
  </w:style>
  <w:style w:type="character" w:styleId="FootnoteReference">
    <w:name w:val="footnote reference"/>
    <w:basedOn w:val="DefaultParagraphFont"/>
    <w:semiHidden/>
    <w:unhideWhenUsed/>
    <w:rsid w:val="008958CC"/>
    <w:rPr>
      <w:vertAlign w:val="superscript"/>
    </w:rPr>
  </w:style>
  <w:style w:type="paragraph" w:styleId="BodyText">
    <w:name w:val="Body Text"/>
    <w:basedOn w:val="Normal"/>
    <w:link w:val="BodyTextChar"/>
    <w:qFormat/>
    <w:rsid w:val="008958CC"/>
    <w:pPr>
      <w:jc w:val="both"/>
    </w:pPr>
    <w:rPr>
      <w:szCs w:val="24"/>
      <w:lang w:val="es-PR"/>
    </w:rPr>
  </w:style>
  <w:style w:type="character" w:customStyle="1" w:styleId="BodyTextChar">
    <w:name w:val="Body Text Char"/>
    <w:basedOn w:val="DefaultParagraphFont"/>
    <w:link w:val="BodyText"/>
    <w:qFormat/>
    <w:rsid w:val="008958CC"/>
    <w:rPr>
      <w:rFonts w:ascii="Times New Roman" w:eastAsia="Times New Roman" w:hAnsi="Times New Roman" w:cs="Times New Roman"/>
      <w:kern w:val="0"/>
      <w:lang w:val="es-PR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8958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B265B9-DA05-4F74-94CE-CA1E8AD0F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1546</Words>
  <Characters>8835</Characters>
  <Application>Microsoft Office Word</Application>
  <DocSecurity>0</DocSecurity>
  <Lines>161</Lines>
  <Paragraphs>35</Paragraphs>
  <ScaleCrop>false</ScaleCrop>
  <Company/>
  <LinksUpToDate>false</LinksUpToDate>
  <CharactersWithSpaces>10364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 Peña Payano</dc:creator>
  <cp:keywords/>
  <dc:description/>
  <cp:lastModifiedBy>Gladys J. Burgos Torres</cp:lastModifiedBy>
  <cp:revision>7</cp:revision>
  <cp:lastPrinted>2026-01-12T18:45:00Z</cp:lastPrinted>
  <dcterms:created xsi:type="dcterms:W3CDTF">2026-01-12T15:20:00Z</dcterms:created>
  <dcterms:modified xsi:type="dcterms:W3CDTF">2026-01-12T18:45:00Z</dcterms:modified>
</cp:coreProperties>
</file>