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727F5" w14:textId="44EBCF98" w:rsidR="00DF7D86" w:rsidRPr="00250E7B" w:rsidRDefault="00B45797" w:rsidP="00954C22">
      <w:pPr>
        <w:tabs>
          <w:tab w:val="center" w:pos="4680"/>
        </w:tabs>
        <w:jc w:val="center"/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</w:pPr>
      <w:r w:rsidRPr="00250E7B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>GOBIERNO</w:t>
      </w:r>
      <w:r w:rsidR="0038510E" w:rsidRPr="00250E7B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 xml:space="preserve"> DE PUERTO RICO</w:t>
      </w:r>
    </w:p>
    <w:p w14:paraId="02A4AC1D" w14:textId="77777777" w:rsidR="00DF7D86" w:rsidRPr="001711E6" w:rsidRDefault="00DF7D86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</w:pPr>
    </w:p>
    <w:p w14:paraId="026B7A4E" w14:textId="4355423D" w:rsidR="00DF7D86" w:rsidRPr="001711E6" w:rsidRDefault="00B45797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>20</w:t>
      </w:r>
      <w:r w:rsidR="00AB220C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.</w:t>
      </w:r>
      <w:r w:rsidR="0038510E"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596033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>Asamblea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A47DEB">
        <w:rPr>
          <w:rFonts w:ascii="Book Antiqua" w:eastAsia="Book Antiqua" w:hAnsi="Book Antiqua" w:cs="Book Antiqua"/>
          <w:color w:val="000000" w:themeColor="text1"/>
          <w:lang w:val="es-PR"/>
        </w:rPr>
        <w:t>3</w:t>
      </w:r>
      <w:r w:rsidR="00AB220C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.</w:t>
      </w:r>
      <w:r w:rsidR="0038510E"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596033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>Sesión</w:t>
      </w:r>
    </w:p>
    <w:p w14:paraId="703FA46E" w14:textId="397C8F29" w:rsidR="00DF7D86" w:rsidRPr="001711E6" w:rsidRDefault="0038510E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596033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>Ordinaria</w:t>
      </w:r>
    </w:p>
    <w:p w14:paraId="5493F33C" w14:textId="77777777" w:rsidR="00DF7D86" w:rsidRPr="001711E6" w:rsidRDefault="00DF7D86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36"/>
          <w:szCs w:val="36"/>
          <w:lang w:val="es-PR"/>
        </w:rPr>
      </w:pPr>
    </w:p>
    <w:p w14:paraId="4AE730EB" w14:textId="77777777" w:rsidR="00DF7D86" w:rsidRPr="00250E7B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</w:pPr>
      <w:r w:rsidRPr="00250E7B"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  <w:t>CÁMARA DE REPRESENTANTES</w:t>
      </w:r>
    </w:p>
    <w:p w14:paraId="224C8555" w14:textId="1C8B848D" w:rsidR="00DF7D86" w:rsidRPr="001711E6" w:rsidRDefault="00611979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</w:pPr>
      <w:r w:rsidRPr="001711E6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 xml:space="preserve">P. de la C. </w:t>
      </w:r>
      <w:r w:rsidR="00174EB3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1029</w:t>
      </w:r>
    </w:p>
    <w:p w14:paraId="6CA3DF2C" w14:textId="1E7276A3" w:rsidR="00DF7D86" w:rsidRPr="00AB220C" w:rsidRDefault="0038510E">
      <w:pPr>
        <w:spacing w:line="360" w:lineRule="auto"/>
        <w:jc w:val="center"/>
        <w:rPr>
          <w:rFonts w:ascii="Book Antiqua" w:eastAsia="Book Antiqua" w:hAnsi="Book Antiqua" w:cs="Book Antiqua"/>
          <w:bCs/>
          <w:color w:val="000000" w:themeColor="text1"/>
          <w:spacing w:val="12"/>
          <w:sz w:val="28"/>
          <w:szCs w:val="28"/>
          <w:lang w:val="es-PR"/>
        </w:rPr>
      </w:pPr>
      <w:r w:rsidRPr="00AB220C">
        <w:rPr>
          <w:rFonts w:ascii="Book Antiqua" w:eastAsia="Book Antiqua" w:hAnsi="Book Antiqua" w:cs="Book Antiqua"/>
          <w:bCs/>
          <w:color w:val="000000" w:themeColor="text1"/>
          <w:spacing w:val="12"/>
          <w:sz w:val="28"/>
          <w:szCs w:val="28"/>
          <w:lang w:val="es-PR"/>
        </w:rPr>
        <w:t>INFORME</w:t>
      </w:r>
      <w:r w:rsidR="00AB220C" w:rsidRPr="00AB220C">
        <w:rPr>
          <w:rFonts w:ascii="Book Antiqua" w:eastAsia="Book Antiqua" w:hAnsi="Book Antiqua" w:cs="Book Antiqua"/>
          <w:bCs/>
          <w:color w:val="000000" w:themeColor="text1"/>
          <w:spacing w:val="12"/>
          <w:sz w:val="28"/>
          <w:szCs w:val="28"/>
          <w:lang w:val="es-PR"/>
        </w:rPr>
        <w:t xml:space="preserve"> POSITIVO</w:t>
      </w:r>
    </w:p>
    <w:p w14:paraId="65B59E42" w14:textId="7F5AE79A" w:rsidR="00DF7D86" w:rsidRPr="001711E6" w:rsidRDefault="00EC72DF" w:rsidP="00250E7B">
      <w:pPr>
        <w:spacing w:after="240"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19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174EB3">
        <w:rPr>
          <w:rFonts w:ascii="Book Antiqua" w:eastAsia="Book Antiqua" w:hAnsi="Book Antiqua" w:cs="Book Antiqua"/>
          <w:color w:val="000000" w:themeColor="text1"/>
          <w:lang w:val="es-PR"/>
        </w:rPr>
        <w:t>marz</w:t>
      </w:r>
      <w:r w:rsidR="00501594">
        <w:rPr>
          <w:rFonts w:ascii="Book Antiqua" w:eastAsia="Book Antiqua" w:hAnsi="Book Antiqua" w:cs="Book Antiqua"/>
          <w:color w:val="000000" w:themeColor="text1"/>
          <w:lang w:val="es-PR"/>
        </w:rPr>
        <w:t>o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de 202</w:t>
      </w:r>
      <w:r w:rsidR="00A47DEB">
        <w:rPr>
          <w:rFonts w:ascii="Book Antiqua" w:eastAsia="Book Antiqua" w:hAnsi="Book Antiqua" w:cs="Book Antiqua"/>
          <w:color w:val="000000" w:themeColor="text1"/>
          <w:lang w:val="es-PR"/>
        </w:rPr>
        <w:t>6</w:t>
      </w:r>
    </w:p>
    <w:p w14:paraId="2714CB15" w14:textId="283E1C70" w:rsidR="00DF7D86" w:rsidRPr="00AB220C" w:rsidRDefault="0038510E">
      <w:pPr>
        <w:jc w:val="both"/>
        <w:rPr>
          <w:rFonts w:ascii="Book Antiqua" w:eastAsia="Book Antiqua" w:hAnsi="Book Antiqua" w:cs="Book Antiqua"/>
          <w:bCs/>
          <w:color w:val="000000" w:themeColor="text1"/>
          <w:spacing w:val="12"/>
          <w:lang w:val="es-PR"/>
        </w:rPr>
      </w:pPr>
      <w:r w:rsidRPr="00AB220C">
        <w:rPr>
          <w:rFonts w:ascii="Book Antiqua" w:eastAsia="Book Antiqua" w:hAnsi="Book Antiqua" w:cs="Book Antiqua"/>
          <w:bCs/>
          <w:color w:val="000000" w:themeColor="text1"/>
          <w:spacing w:val="12"/>
          <w:lang w:val="es-PR"/>
        </w:rPr>
        <w:t>A LA CÁMARA DE REPRESENTANTES DE PUERTO RICO</w:t>
      </w:r>
    </w:p>
    <w:p w14:paraId="63BF9BD9" w14:textId="77777777" w:rsidR="00DF7D86" w:rsidRPr="001711E6" w:rsidRDefault="00DF7D86">
      <w:pPr>
        <w:ind w:firstLine="36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48CACF04" w14:textId="630458E0" w:rsidR="00DF7D86" w:rsidRPr="001711E6" w:rsidRDefault="00F169E1" w:rsidP="000A6E42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7B257D" w:rsidRPr="001711E6"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Comisión </w:t>
      </w:r>
      <w:r w:rsidR="00B45797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1711E6" w:rsidRPr="001711E6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o Jurídico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>de la Cámara de Representantes, previo estudio y c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>onsideración del P</w:t>
      </w:r>
      <w:r w:rsidR="00954C22">
        <w:rPr>
          <w:rFonts w:ascii="Book Antiqua" w:eastAsia="Book Antiqua" w:hAnsi="Book Antiqua" w:cs="Book Antiqua"/>
          <w:color w:val="000000" w:themeColor="text1"/>
          <w:lang w:val="es-PR"/>
        </w:rPr>
        <w:t>royecto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de la C</w:t>
      </w:r>
      <w:r w:rsidR="00954C22">
        <w:rPr>
          <w:rFonts w:ascii="Book Antiqua" w:eastAsia="Book Antiqua" w:hAnsi="Book Antiqua" w:cs="Book Antiqua"/>
          <w:color w:val="000000" w:themeColor="text1"/>
          <w:lang w:val="es-PR"/>
        </w:rPr>
        <w:t xml:space="preserve">ámara </w:t>
      </w:r>
      <w:r w:rsidR="000C13C2">
        <w:rPr>
          <w:rFonts w:ascii="Book Antiqua" w:eastAsia="Book Antiqua" w:hAnsi="Book Antiqua" w:cs="Book Antiqua"/>
          <w:color w:val="000000" w:themeColor="text1"/>
          <w:lang w:val="es-PR"/>
        </w:rPr>
        <w:t>10</w:t>
      </w:r>
      <w:r w:rsidR="00A47DEB">
        <w:rPr>
          <w:rFonts w:ascii="Book Antiqua" w:eastAsia="Book Antiqua" w:hAnsi="Book Antiqua" w:cs="Book Antiqua"/>
          <w:color w:val="000000" w:themeColor="text1"/>
          <w:lang w:val="es-PR"/>
        </w:rPr>
        <w:t>2</w:t>
      </w:r>
      <w:r w:rsidR="000C13C2">
        <w:rPr>
          <w:rFonts w:ascii="Book Antiqua" w:eastAsia="Book Antiqua" w:hAnsi="Book Antiqua" w:cs="Book Antiqua"/>
          <w:color w:val="000000" w:themeColor="text1"/>
          <w:lang w:val="es-PR"/>
        </w:rPr>
        <w:t>9</w:t>
      </w:r>
      <w:r w:rsidR="00383A2A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A22725">
        <w:rPr>
          <w:rFonts w:ascii="Book Antiqua" w:eastAsia="Book Antiqua" w:hAnsi="Book Antiqua" w:cs="Book Antiqua"/>
          <w:color w:val="000000" w:themeColor="text1"/>
          <w:lang w:val="es-PR"/>
        </w:rPr>
        <w:t xml:space="preserve">(P. de la C. </w:t>
      </w:r>
      <w:r w:rsidR="000C13C2">
        <w:rPr>
          <w:rFonts w:ascii="Book Antiqua" w:eastAsia="Book Antiqua" w:hAnsi="Book Antiqua" w:cs="Book Antiqua"/>
          <w:color w:val="000000" w:themeColor="text1"/>
          <w:lang w:val="es-PR"/>
        </w:rPr>
        <w:t>10</w:t>
      </w:r>
      <w:r w:rsidR="00A47DEB">
        <w:rPr>
          <w:rFonts w:ascii="Book Antiqua" w:eastAsia="Book Antiqua" w:hAnsi="Book Antiqua" w:cs="Book Antiqua"/>
          <w:color w:val="000000" w:themeColor="text1"/>
          <w:lang w:val="es-PR"/>
        </w:rPr>
        <w:t>2</w:t>
      </w:r>
      <w:r w:rsidR="000C13C2">
        <w:rPr>
          <w:rFonts w:ascii="Book Antiqua" w:eastAsia="Book Antiqua" w:hAnsi="Book Antiqua" w:cs="Book Antiqua"/>
          <w:color w:val="000000" w:themeColor="text1"/>
          <w:lang w:val="es-PR"/>
        </w:rPr>
        <w:t>9</w:t>
      </w:r>
      <w:r w:rsidR="00A22725">
        <w:rPr>
          <w:rFonts w:ascii="Book Antiqua" w:eastAsia="Book Antiqua" w:hAnsi="Book Antiqua" w:cs="Book Antiqua"/>
          <w:color w:val="000000" w:themeColor="text1"/>
          <w:lang w:val="es-PR"/>
        </w:rPr>
        <w:t>)</w:t>
      </w:r>
      <w:r w:rsidR="009C7042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A47DEB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2"/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>recom</w:t>
      </w:r>
      <w:r w:rsidR="00250E7B">
        <w:rPr>
          <w:rFonts w:ascii="Book Antiqua" w:eastAsia="Book Antiqua" w:hAnsi="Book Antiqua" w:cs="Book Antiqua"/>
          <w:color w:val="000000" w:themeColor="text1"/>
          <w:lang w:val="es-PR"/>
        </w:rPr>
        <w:t>i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enda su </w:t>
      </w:r>
      <w:r w:rsidR="007B257D" w:rsidRPr="001711E6">
        <w:rPr>
          <w:rFonts w:ascii="Book Antiqua" w:eastAsia="Book Antiqua" w:hAnsi="Book Antiqua" w:cs="Book Antiqua"/>
          <w:color w:val="000000" w:themeColor="text1"/>
          <w:lang w:val="es-PR"/>
        </w:rPr>
        <w:t>aprobación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con las enmiendas en el </w:t>
      </w:r>
      <w:proofErr w:type="spellStart"/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>entirillado</w:t>
      </w:r>
      <w:proofErr w:type="spellEnd"/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electrónico que se acompaña. </w:t>
      </w:r>
    </w:p>
    <w:p w14:paraId="00C5E8B9" w14:textId="77777777" w:rsidR="003B38A4" w:rsidRPr="009C7042" w:rsidRDefault="003B38A4" w:rsidP="00BB6CAC">
      <w:pPr>
        <w:spacing w:after="160"/>
        <w:jc w:val="center"/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</w:pPr>
      <w:r w:rsidRPr="009C7042"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  <w:t>ALCANCE DE LA MEDIDA</w:t>
      </w:r>
    </w:p>
    <w:p w14:paraId="6D0395F9" w14:textId="27323D1D" w:rsidR="00CE38ED" w:rsidRDefault="003B38A4" w:rsidP="00626141">
      <w:pPr>
        <w:spacing w:after="240" w:line="288" w:lineRule="auto"/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El </w:t>
      </w:r>
      <w:r w:rsidR="00851E49" w:rsidRPr="001711E6">
        <w:rPr>
          <w:rFonts w:ascii="Book Antiqua" w:eastAsia="Book Antiqua" w:hAnsi="Book Antiqua" w:cs="Book Antiqua"/>
          <w:color w:val="000000" w:themeColor="text1"/>
          <w:lang w:val="es-PR"/>
        </w:rPr>
        <w:t>P</w:t>
      </w:r>
      <w:r w:rsidR="00382AD9">
        <w:rPr>
          <w:rFonts w:ascii="Book Antiqua" w:eastAsia="Book Antiqua" w:hAnsi="Book Antiqua" w:cs="Book Antiqua"/>
          <w:color w:val="000000" w:themeColor="text1"/>
          <w:lang w:val="es-PR"/>
        </w:rPr>
        <w:t xml:space="preserve">. de la C. </w:t>
      </w:r>
      <w:r w:rsidR="00B629E3">
        <w:rPr>
          <w:rFonts w:ascii="Book Antiqua" w:eastAsia="Book Antiqua" w:hAnsi="Book Antiqua" w:cs="Book Antiqua"/>
          <w:color w:val="000000" w:themeColor="text1"/>
          <w:lang w:val="es-PR"/>
        </w:rPr>
        <w:t>1029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tiene</w:t>
      </w:r>
      <w:r w:rsidR="00954C22">
        <w:rPr>
          <w:rFonts w:ascii="Book Antiqua" w:eastAsia="Book Antiqua" w:hAnsi="Book Antiqua" w:cs="Book Antiqua"/>
          <w:color w:val="000000" w:themeColor="text1"/>
          <w:lang w:val="es-PR"/>
        </w:rPr>
        <w:t xml:space="preserve"> como </w:t>
      </w:r>
      <w:r w:rsidR="00633335">
        <w:rPr>
          <w:rFonts w:ascii="Book Antiqua" w:eastAsia="Book Antiqua" w:hAnsi="Book Antiqua" w:cs="Book Antiqua"/>
          <w:color w:val="000000" w:themeColor="text1"/>
          <w:lang w:val="es-PR"/>
        </w:rPr>
        <w:t>propósito</w:t>
      </w:r>
      <w:r w:rsidR="00A22725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5E5CB1">
        <w:rPr>
          <w:rFonts w:ascii="Book Antiqua" w:eastAsia="Book Antiqua" w:hAnsi="Book Antiqua" w:cs="Book Antiqua"/>
          <w:color w:val="000000" w:themeColor="text1"/>
          <w:lang w:val="es-PR"/>
        </w:rPr>
        <w:t>enmendar el</w:t>
      </w:r>
      <w:r w:rsidR="005E5CB1" w:rsidRPr="00434FB9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629E3"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 w:rsidR="005E5CB1" w:rsidRPr="00434FB9">
        <w:rPr>
          <w:rFonts w:ascii="Book Antiqua" w:eastAsia="Book Antiqua" w:hAnsi="Book Antiqua" w:cs="Book Antiqua"/>
          <w:color w:val="000000" w:themeColor="text1"/>
          <w:lang w:val="es-PR"/>
        </w:rPr>
        <w:t xml:space="preserve">rtículo 619A </w:t>
      </w:r>
      <w:r w:rsidR="00B629E3">
        <w:rPr>
          <w:rFonts w:ascii="Book Antiqua" w:eastAsia="Book Antiqua" w:hAnsi="Book Antiqua" w:cs="Book Antiqua"/>
          <w:color w:val="000000" w:themeColor="text1"/>
          <w:lang w:val="es-PR"/>
        </w:rPr>
        <w:t>de</w:t>
      </w:r>
      <w:r w:rsidR="005E5CB1" w:rsidRPr="00434FB9">
        <w:rPr>
          <w:rFonts w:ascii="Book Antiqua" w:eastAsia="Book Antiqua" w:hAnsi="Book Antiqua" w:cs="Book Antiqua"/>
          <w:color w:val="000000" w:themeColor="text1"/>
          <w:lang w:val="es-PR"/>
        </w:rPr>
        <w:t xml:space="preserve"> la Ley Núm. 55-2020, según enmendada,</w:t>
      </w:r>
      <w:r w:rsidR="00B629E3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3"/>
      </w:r>
      <w:r w:rsidR="005E5CB1" w:rsidRPr="00434FB9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A40E96">
        <w:rPr>
          <w:rFonts w:ascii="Book Antiqua" w:eastAsia="Book Antiqua" w:hAnsi="Book Antiqua" w:cs="Book Antiqua"/>
          <w:color w:val="000000" w:themeColor="text1"/>
          <w:lang w:val="es-PR"/>
        </w:rPr>
        <w:t>la cual</w:t>
      </w:r>
      <w:r w:rsidR="005E5CB1">
        <w:rPr>
          <w:rFonts w:ascii="Book Antiqua" w:eastAsia="Book Antiqua" w:hAnsi="Book Antiqua" w:cs="Book Antiqua"/>
          <w:color w:val="000000" w:themeColor="text1"/>
          <w:lang w:val="es-PR"/>
        </w:rPr>
        <w:t xml:space="preserve"> restituye</w:t>
      </w:r>
      <w:r w:rsidR="005E5CB1" w:rsidRPr="00434FB9">
        <w:rPr>
          <w:rFonts w:ascii="Book Antiqua" w:eastAsia="Book Antiqua" w:hAnsi="Book Antiqua" w:cs="Book Antiqua"/>
          <w:color w:val="000000" w:themeColor="text1"/>
          <w:lang w:val="es-PR"/>
        </w:rPr>
        <w:t xml:space="preserve"> el derecho de los abuelos y los tíos a relacionarse con los menores</w:t>
      </w:r>
      <w:r w:rsidR="005E5CB1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CB2B9A">
        <w:rPr>
          <w:rFonts w:ascii="Book Antiqua" w:hAnsi="Book Antiqua"/>
          <w:color w:val="000000" w:themeColor="text1"/>
          <w:lang w:val="es-PR"/>
        </w:rPr>
        <w:t xml:space="preserve"> </w:t>
      </w:r>
    </w:p>
    <w:p w14:paraId="5C5A9AE3" w14:textId="5506597D" w:rsidR="00CE38ED" w:rsidRPr="00E4699B" w:rsidRDefault="00CE38ED" w:rsidP="00BB6CAC">
      <w:pPr>
        <w:spacing w:after="160" w:line="288" w:lineRule="auto"/>
        <w:ind w:firstLine="720"/>
        <w:jc w:val="center"/>
        <w:rPr>
          <w:rFonts w:ascii="Book Antiqua" w:hAnsi="Book Antiqua"/>
          <w:color w:val="000000" w:themeColor="text1"/>
          <w:spacing w:val="12"/>
          <w:lang w:val="es-PR"/>
        </w:rPr>
      </w:pPr>
      <w:r w:rsidRPr="00E4699B">
        <w:rPr>
          <w:rFonts w:ascii="Book Antiqua" w:hAnsi="Book Antiqua"/>
          <w:color w:val="000000" w:themeColor="text1"/>
          <w:spacing w:val="12"/>
          <w:lang w:val="es-PR"/>
        </w:rPr>
        <w:t>TRASFONDO</w:t>
      </w:r>
    </w:p>
    <w:p w14:paraId="290A2B82" w14:textId="446451BD" w:rsidR="00B51E98" w:rsidRDefault="008A66E0" w:rsidP="00BB6CAC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E</w:t>
      </w:r>
      <w:r w:rsidRPr="006F4935">
        <w:rPr>
          <w:rFonts w:ascii="Book Antiqua" w:eastAsia="Book Antiqua" w:hAnsi="Book Antiqua" w:cs="Book Antiqua"/>
          <w:color w:val="000000" w:themeColor="text1"/>
          <w:lang w:val="es-PR"/>
        </w:rPr>
        <w:t>l 19 de diciembre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de 202</w:t>
      </w:r>
      <w:r w:rsidR="005037FE">
        <w:rPr>
          <w:rFonts w:ascii="Book Antiqua" w:eastAsia="Book Antiqua" w:hAnsi="Book Antiqua" w:cs="Book Antiqua"/>
          <w:color w:val="000000" w:themeColor="text1"/>
          <w:lang w:val="es-PR"/>
        </w:rPr>
        <w:t>5</w:t>
      </w:r>
      <w:r w:rsidRPr="006F4935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se firmó </w:t>
      </w:r>
      <w:r w:rsidR="006F4935" w:rsidRPr="006F4935">
        <w:rPr>
          <w:rFonts w:ascii="Book Antiqua" w:eastAsia="Book Antiqua" w:hAnsi="Book Antiqua" w:cs="Book Antiqua"/>
          <w:color w:val="000000" w:themeColor="text1"/>
          <w:lang w:val="es-PR"/>
        </w:rPr>
        <w:t>la Ley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Núm.</w:t>
      </w:r>
      <w:r w:rsidR="006F4935" w:rsidRPr="006F4935">
        <w:rPr>
          <w:rFonts w:ascii="Book Antiqua" w:eastAsia="Book Antiqua" w:hAnsi="Book Antiqua" w:cs="Book Antiqua"/>
          <w:color w:val="000000" w:themeColor="text1"/>
          <w:lang w:val="es-PR"/>
        </w:rPr>
        <w:t xml:space="preserve"> 172-2025, la cual restituye el derecho de los abuelos y los tíos a relacionarse con los menores. Dicha ley se aprobó como parte de la política pública del Gobierno, la cual se ha enfocado en la preservación de la unidad familiar y el desarrollo integral de los menores.</w:t>
      </w:r>
    </w:p>
    <w:p w14:paraId="09072C29" w14:textId="77777777" w:rsidR="00EE5E81" w:rsidRDefault="00EE5E81" w:rsidP="00BB6CAC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41CD8260" w14:textId="1CACB78C" w:rsidR="006F4935" w:rsidRPr="006F4935" w:rsidRDefault="006F4935" w:rsidP="00BB6CAC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6F4935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040F7F69" w14:textId="77777777" w:rsidR="006F4935" w:rsidRPr="006F4935" w:rsidRDefault="006F4935" w:rsidP="00BB6CAC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066693ED" w14:textId="77777777" w:rsidR="00096FCA" w:rsidRDefault="00096FCA" w:rsidP="00BB6CAC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10B92C66" w14:textId="77777777" w:rsidR="00096FCA" w:rsidRDefault="00096FCA" w:rsidP="00BB6CAC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642DF781" w14:textId="284596DC" w:rsidR="006A53F8" w:rsidRDefault="006F4935" w:rsidP="00BB6CAC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6F4935">
        <w:rPr>
          <w:rFonts w:ascii="Book Antiqua" w:eastAsia="Book Antiqua" w:hAnsi="Book Antiqua" w:cs="Book Antiqua"/>
          <w:color w:val="000000" w:themeColor="text1"/>
          <w:lang w:val="es-PR"/>
        </w:rPr>
        <w:t xml:space="preserve">El Código Civil de 1930, enmendado por la Ley Núm. 182-1997, garantizaba el derecho de los abuelos a mantener una relación con sus nietos tras la disolución del núcleo familiar. Esta protección legal fue respaldada en </w:t>
      </w:r>
      <w:r w:rsidRPr="00EE5E81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Rexach v. Ramírez Vélez</w:t>
      </w:r>
      <w:r w:rsidR="00EE5E81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.</w:t>
      </w:r>
      <w:r w:rsidR="00EE5E81">
        <w:rPr>
          <w:rStyle w:val="FootnoteReference"/>
          <w:rFonts w:ascii="Book Antiqua" w:eastAsia="Book Antiqua" w:hAnsi="Book Antiqua" w:cs="Book Antiqua"/>
          <w:i/>
          <w:iCs/>
          <w:color w:val="000000" w:themeColor="text1"/>
          <w:lang w:val="es-PR"/>
        </w:rPr>
        <w:footnoteReference w:id="4"/>
      </w:r>
      <w:r w:rsidRPr="006F4935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36153">
        <w:rPr>
          <w:rFonts w:ascii="Book Antiqua" w:eastAsia="Book Antiqua" w:hAnsi="Book Antiqua" w:cs="Book Antiqua"/>
          <w:color w:val="000000" w:themeColor="text1"/>
          <w:lang w:val="es-PR"/>
        </w:rPr>
        <w:t>En ese caso</w:t>
      </w:r>
      <w:r w:rsidR="00233158">
        <w:rPr>
          <w:rFonts w:ascii="Book Antiqua" w:eastAsia="Book Antiqua" w:hAnsi="Book Antiqua" w:cs="Book Antiqua"/>
          <w:color w:val="000000" w:themeColor="text1"/>
          <w:lang w:val="es-PR"/>
        </w:rPr>
        <w:t xml:space="preserve">, el </w:t>
      </w:r>
      <w:r w:rsidRPr="006F4935">
        <w:rPr>
          <w:rFonts w:ascii="Book Antiqua" w:eastAsia="Book Antiqua" w:hAnsi="Book Antiqua" w:cs="Book Antiqua"/>
          <w:color w:val="000000" w:themeColor="text1"/>
          <w:lang w:val="es-PR"/>
        </w:rPr>
        <w:t>Tribunal Supremo estableció que los abuelos tienen legitimación activa para acudir a los tribunales a solicitar visitas con sus nietos. A su vez, resolvió que, en casos de disputa, los tribunales deben considerar factores como la preferencia del menor, su edad, salud mental y física, el cariño que pueden brindar las partes involucradas, y la habilidad de estas partes para satisfacer las necesidades afectivas y morales del menor</w:t>
      </w:r>
      <w:r w:rsidR="000710E8">
        <w:rPr>
          <w:rFonts w:ascii="Book Antiqua" w:eastAsia="Book Antiqua" w:hAnsi="Book Antiqua" w:cs="Book Antiqua"/>
          <w:color w:val="000000" w:themeColor="text1"/>
          <w:lang w:val="es-PR"/>
        </w:rPr>
        <w:t>. Esto,</w:t>
      </w:r>
      <w:r w:rsidRPr="006F4935">
        <w:rPr>
          <w:rFonts w:ascii="Book Antiqua" w:eastAsia="Book Antiqua" w:hAnsi="Book Antiqua" w:cs="Book Antiqua"/>
          <w:color w:val="000000" w:themeColor="text1"/>
          <w:lang w:val="es-PR"/>
        </w:rPr>
        <w:t xml:space="preserve"> al decidir si es beneficioso para el menor mantener visitas con sus abuelos. </w:t>
      </w:r>
    </w:p>
    <w:p w14:paraId="0D041DCF" w14:textId="177C0CD4" w:rsidR="00383A2A" w:rsidRDefault="006F4935" w:rsidP="00BB6CAC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0710E8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Rexach v. Ramírez Vélez</w:t>
      </w:r>
      <w:r w:rsidRPr="006F4935">
        <w:rPr>
          <w:rFonts w:ascii="Book Antiqua" w:eastAsia="Book Antiqua" w:hAnsi="Book Antiqua" w:cs="Book Antiqua"/>
          <w:color w:val="000000" w:themeColor="text1"/>
          <w:lang w:val="es-PR"/>
        </w:rPr>
        <w:t xml:space="preserve"> fortaleció el derecho de los abuelos a solicitar visitas a sus nietos, siempre que no exista justa causa para impedirlo, y estableció criterios claros para que los tribunales tomen decisiones en estos casos.</w:t>
      </w:r>
      <w:r w:rsidR="008D41FE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Pr="006F4935">
        <w:rPr>
          <w:rFonts w:ascii="Book Antiqua" w:eastAsia="Book Antiqua" w:hAnsi="Book Antiqua" w:cs="Book Antiqua"/>
          <w:color w:val="000000" w:themeColor="text1"/>
          <w:lang w:val="es-PR"/>
        </w:rPr>
        <w:t xml:space="preserve">Cónsono con lo resuelto por el Tribunal Supremo, se enmendó el Código Civil de Puerto Rico de 1930 mediante la Ley Núm. 32-2012, </w:t>
      </w:r>
      <w:r w:rsidR="00490398">
        <w:rPr>
          <w:rFonts w:ascii="Book Antiqua" w:eastAsia="Book Antiqua" w:hAnsi="Book Antiqua" w:cs="Book Antiqua"/>
          <w:color w:val="000000" w:themeColor="text1"/>
          <w:lang w:val="es-PR"/>
        </w:rPr>
        <w:t xml:space="preserve">para </w:t>
      </w:r>
      <w:r w:rsidRPr="006F4935">
        <w:rPr>
          <w:rFonts w:ascii="Book Antiqua" w:eastAsia="Book Antiqua" w:hAnsi="Book Antiqua" w:cs="Book Antiqua"/>
          <w:color w:val="000000" w:themeColor="text1"/>
          <w:lang w:val="es-PR"/>
        </w:rPr>
        <w:t xml:space="preserve">extender las protecciones del </w:t>
      </w:r>
      <w:r w:rsidR="00490398"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 w:rsidRPr="006F4935">
        <w:rPr>
          <w:rFonts w:ascii="Book Antiqua" w:eastAsia="Book Antiqua" w:hAnsi="Book Antiqua" w:cs="Book Antiqua"/>
          <w:color w:val="000000" w:themeColor="text1"/>
          <w:lang w:val="es-PR"/>
        </w:rPr>
        <w:t>rtículo 152A a los tíos. Con esta enmienda, los tíos adquirieron legitimación para acudir al tribunal a solicitar visitas a sus sobrinos en casos de oposición por parte de los padres o tutores, siempre que no exista justa causa para impedirlo.</w:t>
      </w:r>
    </w:p>
    <w:p w14:paraId="7EB1654A" w14:textId="15138FE8" w:rsidR="002858EF" w:rsidRDefault="002858EF" w:rsidP="00DD5184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Con esta enmienda se propone </w:t>
      </w:r>
      <w:r w:rsidR="00D57362" w:rsidRPr="00D57362">
        <w:rPr>
          <w:rFonts w:ascii="Book Antiqua" w:eastAsia="Book Antiqua" w:hAnsi="Book Antiqua" w:cs="Book Antiqua"/>
          <w:color w:val="000000" w:themeColor="text1"/>
          <w:lang w:val="es-PR"/>
        </w:rPr>
        <w:t>darle mayor claridad al lenguaje</w:t>
      </w:r>
      <w:r w:rsidR="00115575">
        <w:rPr>
          <w:rFonts w:ascii="Book Antiqua" w:eastAsia="Book Antiqua" w:hAnsi="Book Antiqua" w:cs="Book Antiqua"/>
          <w:color w:val="000000" w:themeColor="text1"/>
          <w:lang w:val="es-PR"/>
        </w:rPr>
        <w:t xml:space="preserve"> del </w:t>
      </w:r>
      <w:r w:rsidR="00720087">
        <w:rPr>
          <w:rFonts w:ascii="Book Antiqua" w:eastAsia="Book Antiqua" w:hAnsi="Book Antiqua" w:cs="Book Antiqua"/>
          <w:color w:val="000000" w:themeColor="text1"/>
          <w:lang w:val="es-PR"/>
        </w:rPr>
        <w:t>Código Civil del 2020, artículo 619</w:t>
      </w:r>
      <w:r w:rsidR="00156A2B"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 w:rsidR="00720087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D57362" w:rsidRPr="00D57362">
        <w:rPr>
          <w:rFonts w:ascii="Book Antiqua" w:eastAsia="Book Antiqua" w:hAnsi="Book Antiqua" w:cs="Book Antiqua"/>
          <w:color w:val="000000" w:themeColor="text1"/>
          <w:lang w:val="es-PR"/>
        </w:rPr>
        <w:t xml:space="preserve"> y establecer criterios de adjudicación que respondan a lo establecido en </w:t>
      </w:r>
      <w:r w:rsidR="00D57362" w:rsidRPr="00156A2B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Rexach v. Ramírez Vélez</w:t>
      </w:r>
      <w:r w:rsidR="00156A2B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1C9D566C" w14:textId="01577BBF" w:rsidR="000A6E42" w:rsidRPr="00610C72" w:rsidRDefault="003B38A4" w:rsidP="000747FA">
      <w:pPr>
        <w:spacing w:after="160" w:line="288" w:lineRule="auto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610C72"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  <w:t>ANÁLISIS DE LA MEDIDA</w:t>
      </w:r>
    </w:p>
    <w:p w14:paraId="54868DDF" w14:textId="4080128D" w:rsidR="00AF449A" w:rsidRPr="00FE4E67" w:rsidRDefault="000747FA" w:rsidP="00231F20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A continuación, se reseñan los memoriales que recibió la comisión.</w:t>
      </w:r>
    </w:p>
    <w:p w14:paraId="6B352089" w14:textId="4E47ADC0" w:rsidR="00FB75F5" w:rsidRDefault="00225B46" w:rsidP="00675201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Para el 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Departamento de la Familia</w:t>
      </w:r>
      <w:r w:rsidR="007D0FF9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 </w:t>
      </w:r>
      <w:r w:rsidR="007D0FF9">
        <w:rPr>
          <w:rFonts w:ascii="Book Antiqua" w:eastAsia="Book Antiqua" w:hAnsi="Book Antiqua" w:cs="Book Antiqua"/>
          <w:color w:val="000000" w:themeColor="text1"/>
          <w:lang w:val="es-PR"/>
        </w:rPr>
        <w:t xml:space="preserve">(Familia), el lenguaje propuesto en la medida </w:t>
      </w:r>
      <w:r w:rsidR="00FB75F5">
        <w:rPr>
          <w:rFonts w:ascii="Book Antiqua" w:eastAsia="Book Antiqua" w:hAnsi="Book Antiqua" w:cs="Book Antiqua"/>
          <w:color w:val="000000" w:themeColor="text1"/>
          <w:lang w:val="es-PR"/>
        </w:rPr>
        <w:t>brindará m</w:t>
      </w:r>
      <w:r w:rsidR="00256D8F">
        <w:rPr>
          <w:rFonts w:ascii="Book Antiqua" w:eastAsia="Book Antiqua" w:hAnsi="Book Antiqua" w:cs="Book Antiqua"/>
          <w:color w:val="000000" w:themeColor="text1"/>
          <w:lang w:val="es-PR"/>
        </w:rPr>
        <w:t>á</w:t>
      </w:r>
      <w:r w:rsidR="00FB75F5">
        <w:rPr>
          <w:rFonts w:ascii="Book Antiqua" w:eastAsia="Book Antiqua" w:hAnsi="Book Antiqua" w:cs="Book Antiqua"/>
          <w:color w:val="000000" w:themeColor="text1"/>
          <w:lang w:val="es-PR"/>
        </w:rPr>
        <w:t>s especificidad sobre el derecho de los abuelos y tíos de relacionarse con sus nietos o sobrinos.</w:t>
      </w:r>
      <w:r w:rsidR="0033035E">
        <w:rPr>
          <w:rFonts w:ascii="Book Antiqua" w:eastAsia="Book Antiqua" w:hAnsi="Book Antiqua" w:cs="Book Antiqua"/>
          <w:color w:val="000000" w:themeColor="text1"/>
          <w:lang w:val="es-PR"/>
        </w:rPr>
        <w:t xml:space="preserve"> Familia comentó sobre el </w:t>
      </w:r>
      <w:r w:rsidR="00F6329A" w:rsidRPr="00F6329A">
        <w:rPr>
          <w:rFonts w:ascii="Book Antiqua" w:eastAsia="Book Antiqua" w:hAnsi="Book Antiqua" w:cs="Book Antiqua"/>
          <w:color w:val="000000" w:themeColor="text1"/>
          <w:lang w:val="es-PR"/>
        </w:rPr>
        <w:t>Código Civil del 2020, artículo 619</w:t>
      </w:r>
      <w:r w:rsidR="00F6329A">
        <w:rPr>
          <w:rFonts w:ascii="Book Antiqua" w:eastAsia="Book Antiqua" w:hAnsi="Book Antiqua" w:cs="Book Antiqua"/>
          <w:color w:val="000000" w:themeColor="text1"/>
          <w:lang w:val="es-PR"/>
        </w:rPr>
        <w:t>, el cual establece</w:t>
      </w:r>
      <w:r w:rsidR="00496A93">
        <w:rPr>
          <w:rFonts w:ascii="Book Antiqua" w:eastAsia="Book Antiqua" w:hAnsi="Book Antiqua" w:cs="Book Antiqua"/>
          <w:color w:val="000000" w:themeColor="text1"/>
          <w:lang w:val="es-PR"/>
        </w:rPr>
        <w:t xml:space="preserve"> de manera general</w:t>
      </w:r>
      <w:r w:rsidR="00F6329A">
        <w:rPr>
          <w:rFonts w:ascii="Book Antiqua" w:eastAsia="Book Antiqua" w:hAnsi="Book Antiqua" w:cs="Book Antiqua"/>
          <w:color w:val="000000" w:themeColor="text1"/>
          <w:lang w:val="es-PR"/>
        </w:rPr>
        <w:t xml:space="preserve"> el derecho </w:t>
      </w:r>
      <w:r w:rsidR="00DF245E">
        <w:rPr>
          <w:rFonts w:ascii="Book Antiqua" w:eastAsia="Book Antiqua" w:hAnsi="Book Antiqua" w:cs="Book Antiqua"/>
          <w:color w:val="000000" w:themeColor="text1"/>
          <w:lang w:val="es-PR"/>
        </w:rPr>
        <w:t>de visita de los familiares</w:t>
      </w:r>
      <w:r w:rsidR="00555361">
        <w:rPr>
          <w:rFonts w:ascii="Book Antiqua" w:eastAsia="Book Antiqua" w:hAnsi="Book Antiqua" w:cs="Book Antiqua"/>
          <w:color w:val="000000" w:themeColor="text1"/>
          <w:lang w:val="es-PR"/>
        </w:rPr>
        <w:t xml:space="preserve"> de un </w:t>
      </w:r>
      <w:r w:rsidR="0047478B">
        <w:rPr>
          <w:rFonts w:ascii="Book Antiqua" w:eastAsia="Book Antiqua" w:hAnsi="Book Antiqua" w:cs="Book Antiqua"/>
          <w:color w:val="000000" w:themeColor="text1"/>
          <w:lang w:val="es-PR"/>
        </w:rPr>
        <w:t>menor</w:t>
      </w:r>
      <w:r w:rsidR="00555361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DE0A2C">
        <w:rPr>
          <w:rFonts w:ascii="Book Antiqua" w:eastAsia="Book Antiqua" w:hAnsi="Book Antiqua" w:cs="Book Antiqua"/>
          <w:color w:val="000000" w:themeColor="text1"/>
          <w:lang w:val="es-PR"/>
        </w:rPr>
        <w:t xml:space="preserve">También reseñó la publicación del Fondo de las Naciones Unidas para la Infancia </w:t>
      </w:r>
      <w:r w:rsidR="00F31C38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Consejos para abuelos y tíos que tienen a cargo pequeños: un vínculo que dura toda la vida. </w:t>
      </w:r>
      <w:r w:rsidR="000C35E9">
        <w:rPr>
          <w:rFonts w:ascii="Book Antiqua" w:eastAsia="Book Antiqua" w:hAnsi="Book Antiqua" w:cs="Book Antiqua"/>
          <w:color w:val="000000" w:themeColor="text1"/>
          <w:lang w:val="es-PR"/>
        </w:rPr>
        <w:t>Así, hay respaldo suficiente en nuestro ordena</w:t>
      </w:r>
      <w:r w:rsidR="00714D6B">
        <w:rPr>
          <w:rFonts w:ascii="Book Antiqua" w:eastAsia="Book Antiqua" w:hAnsi="Book Antiqua" w:cs="Book Antiqua"/>
          <w:color w:val="000000" w:themeColor="text1"/>
          <w:lang w:val="es-PR"/>
        </w:rPr>
        <w:t>miento jurídico y a nivel internacional para el P. de la C. 1029.</w:t>
      </w:r>
      <w:r w:rsidR="000C35E9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DF245E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3364A85D" w14:textId="77777777" w:rsidR="00FB75F5" w:rsidRDefault="00FB75F5" w:rsidP="00675201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6E390AA4" w14:textId="77777777" w:rsidR="00FB75F5" w:rsidRDefault="00FB75F5" w:rsidP="00675201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46E0E796" w14:textId="5B4BAB21" w:rsidR="00096FCA" w:rsidRPr="008F798E" w:rsidRDefault="008F798E" w:rsidP="00E81568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Por su parte, el 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Departamento de Justicia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(Justicia) </w:t>
      </w:r>
      <w:r w:rsidR="009620C0">
        <w:rPr>
          <w:rFonts w:ascii="Book Antiqua" w:eastAsia="Book Antiqua" w:hAnsi="Book Antiqua" w:cs="Book Antiqua"/>
          <w:color w:val="000000" w:themeColor="text1"/>
          <w:lang w:val="es-PR"/>
        </w:rPr>
        <w:t>hizo una observació</w:t>
      </w:r>
      <w:r w:rsidR="00D2288F">
        <w:rPr>
          <w:rFonts w:ascii="Book Antiqua" w:eastAsia="Book Antiqua" w:hAnsi="Book Antiqua" w:cs="Book Antiqua"/>
          <w:color w:val="000000" w:themeColor="text1"/>
          <w:lang w:val="es-PR"/>
        </w:rPr>
        <w:t>n técnica: uniformar el lenguaje probatorio entre los artículos 619 y 619</w:t>
      </w:r>
      <w:r w:rsidR="00001075">
        <w:rPr>
          <w:rFonts w:ascii="Book Antiqua" w:eastAsia="Book Antiqua" w:hAnsi="Book Antiqua" w:cs="Book Antiqua"/>
          <w:color w:val="000000" w:themeColor="text1"/>
          <w:lang w:val="es-PR"/>
        </w:rPr>
        <w:t xml:space="preserve">A para fortalecer la coherencia del Código Civil del 2020 </w:t>
      </w:r>
      <w:r w:rsidR="00800BCC">
        <w:rPr>
          <w:rFonts w:ascii="Book Antiqua" w:eastAsia="Book Antiqua" w:hAnsi="Book Antiqua" w:cs="Book Antiqua"/>
          <w:color w:val="000000" w:themeColor="text1"/>
          <w:lang w:val="es-PR"/>
        </w:rPr>
        <w:t>y ofrecer mayor claridad interpretativa. Que esto podría lograrse mediante aclaración legislativa adicional, o referencia expresa que facilite la integración de ambas disposiciones.</w:t>
      </w:r>
      <w:r w:rsidR="001812F1">
        <w:rPr>
          <w:rFonts w:ascii="Book Antiqua" w:eastAsia="Book Antiqua" w:hAnsi="Book Antiqua" w:cs="Book Antiqua"/>
          <w:color w:val="000000" w:themeColor="text1"/>
          <w:lang w:val="es-PR"/>
        </w:rPr>
        <w:t xml:space="preserve"> De todos modos, Justicia es</w:t>
      </w:r>
      <w:r w:rsidR="00F35B3A">
        <w:rPr>
          <w:rFonts w:ascii="Book Antiqua" w:eastAsia="Book Antiqua" w:hAnsi="Book Antiqua" w:cs="Book Antiqua"/>
          <w:color w:val="000000" w:themeColor="text1"/>
          <w:lang w:val="es-PR"/>
        </w:rPr>
        <w:t>t</w:t>
      </w:r>
      <w:r w:rsidR="001812F1">
        <w:rPr>
          <w:rFonts w:ascii="Book Antiqua" w:eastAsia="Book Antiqua" w:hAnsi="Book Antiqua" w:cs="Book Antiqua"/>
          <w:color w:val="000000" w:themeColor="text1"/>
          <w:lang w:val="es-PR"/>
        </w:rPr>
        <w:t>imó que la referencia al estándar de preponderancia de la prueba en el artículo 619</w:t>
      </w:r>
      <w:r w:rsidR="00F35B3A"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 w:rsidR="001812F1">
        <w:rPr>
          <w:rFonts w:ascii="Book Antiqua" w:eastAsia="Book Antiqua" w:hAnsi="Book Antiqua" w:cs="Book Antiqua"/>
          <w:color w:val="000000" w:themeColor="text1"/>
          <w:lang w:val="es-PR"/>
        </w:rPr>
        <w:t xml:space="preserve"> no constituye</w:t>
      </w:r>
      <w:r w:rsidR="0083385F">
        <w:rPr>
          <w:rFonts w:ascii="Book Antiqua" w:eastAsia="Book Antiqua" w:hAnsi="Book Antiqua" w:cs="Book Antiqua"/>
          <w:color w:val="000000" w:themeColor="text1"/>
          <w:lang w:val="es-PR"/>
        </w:rPr>
        <w:t xml:space="preserve"> de por si un impedimento constitucional. La función judicial continuará desarrollándose en el </w:t>
      </w:r>
      <w:r w:rsidR="00E81568">
        <w:rPr>
          <w:rFonts w:ascii="Book Antiqua" w:eastAsia="Book Antiqua" w:hAnsi="Book Antiqua" w:cs="Book Antiqua"/>
          <w:color w:val="000000" w:themeColor="text1"/>
          <w:lang w:val="es-PR"/>
        </w:rPr>
        <w:t>marco de garantías constitucionales y el mejor bienestar del menor.</w:t>
      </w:r>
    </w:p>
    <w:p w14:paraId="528F8908" w14:textId="12137440" w:rsidR="003B38A4" w:rsidRPr="004E0720" w:rsidRDefault="003B38A4" w:rsidP="002126FF">
      <w:pPr>
        <w:spacing w:after="120" w:line="288" w:lineRule="auto"/>
        <w:jc w:val="center"/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</w:pPr>
      <w:r w:rsidRPr="004E0720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>CONCLUSIÓN</w:t>
      </w:r>
      <w:r w:rsidR="00F0476A" w:rsidRPr="004E0720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 xml:space="preserve"> Y RECOMENDAC</w:t>
      </w:r>
      <w:r w:rsidR="001711E6" w:rsidRPr="004E0720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>I</w:t>
      </w:r>
      <w:r w:rsidR="00F0476A" w:rsidRPr="004E0720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>ÓN</w:t>
      </w:r>
    </w:p>
    <w:p w14:paraId="061F1A5B" w14:textId="3DC38C53" w:rsidR="00F53BAA" w:rsidRDefault="00F53BAA" w:rsidP="00733C1D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</w:rPr>
      </w:pPr>
      <w:r>
        <w:rPr>
          <w:rFonts w:ascii="Book Antiqua" w:eastAsia="Book Antiqua" w:hAnsi="Book Antiqua" w:cs="Book Antiqua"/>
          <w:color w:val="000000" w:themeColor="text1"/>
          <w:szCs w:val="24"/>
        </w:rPr>
        <w:t xml:space="preserve">Esta comisión </w:t>
      </w:r>
      <w:r w:rsidR="004626A0">
        <w:rPr>
          <w:rFonts w:ascii="Book Antiqua" w:eastAsia="Book Antiqua" w:hAnsi="Book Antiqua" w:cs="Book Antiqua"/>
          <w:color w:val="000000" w:themeColor="text1"/>
          <w:szCs w:val="24"/>
        </w:rPr>
        <w:t>toma nota d</w:t>
      </w:r>
      <w:r>
        <w:rPr>
          <w:rFonts w:ascii="Book Antiqua" w:eastAsia="Book Antiqua" w:hAnsi="Book Antiqua" w:cs="Book Antiqua"/>
          <w:color w:val="000000" w:themeColor="text1"/>
          <w:szCs w:val="24"/>
        </w:rPr>
        <w:t xml:space="preserve">el reseñado planteamiento de Justicia sobre </w:t>
      </w:r>
      <w:r w:rsidR="00F05A90">
        <w:rPr>
          <w:rFonts w:ascii="Book Antiqua" w:eastAsia="Book Antiqua" w:hAnsi="Book Antiqua" w:cs="Book Antiqua"/>
          <w:color w:val="000000" w:themeColor="text1"/>
          <w:szCs w:val="24"/>
        </w:rPr>
        <w:t xml:space="preserve">la referencia </w:t>
      </w:r>
      <w:r w:rsidR="00D52A63">
        <w:rPr>
          <w:rFonts w:ascii="Book Antiqua" w:eastAsia="Book Antiqua" w:hAnsi="Book Antiqua" w:cs="Book Antiqua"/>
          <w:color w:val="000000" w:themeColor="text1"/>
          <w:szCs w:val="24"/>
        </w:rPr>
        <w:t>de</w:t>
      </w:r>
      <w:r w:rsidR="00F05A90">
        <w:rPr>
          <w:rFonts w:ascii="Book Antiqua" w:eastAsia="Book Antiqua" w:hAnsi="Book Antiqua" w:cs="Book Antiqua"/>
          <w:color w:val="000000" w:themeColor="text1"/>
          <w:szCs w:val="24"/>
        </w:rPr>
        <w:t xml:space="preserve"> la medida al </w:t>
      </w:r>
      <w:r w:rsidR="00F05A90">
        <w:rPr>
          <w:rFonts w:ascii="Book Antiqua" w:eastAsia="Book Antiqua" w:hAnsi="Book Antiqua" w:cs="Book Antiqua"/>
          <w:color w:val="000000" w:themeColor="text1"/>
          <w:lang w:val="es-PR"/>
        </w:rPr>
        <w:t>estándar de preponderancia de la prueba</w:t>
      </w:r>
      <w:r w:rsidR="004626A0">
        <w:rPr>
          <w:rFonts w:ascii="Book Antiqua" w:eastAsia="Book Antiqua" w:hAnsi="Book Antiqua" w:cs="Book Antiqua"/>
          <w:color w:val="000000" w:themeColor="text1"/>
          <w:lang w:val="es-PR"/>
        </w:rPr>
        <w:t xml:space="preserve">. Sin embargo, </w:t>
      </w:r>
      <w:r w:rsidR="00091898">
        <w:rPr>
          <w:rFonts w:ascii="Book Antiqua" w:eastAsia="Book Antiqua" w:hAnsi="Book Antiqua" w:cs="Book Antiqua"/>
          <w:color w:val="000000" w:themeColor="text1"/>
          <w:lang w:val="es-PR"/>
        </w:rPr>
        <w:t>el lenguaje m</w:t>
      </w:r>
      <w:r w:rsidR="00256D8F">
        <w:rPr>
          <w:rFonts w:ascii="Book Antiqua" w:eastAsia="Book Antiqua" w:hAnsi="Book Antiqua" w:cs="Book Antiqua"/>
          <w:color w:val="000000" w:themeColor="text1"/>
          <w:lang w:val="es-PR"/>
        </w:rPr>
        <w:t>á</w:t>
      </w:r>
      <w:r w:rsidR="00091898">
        <w:rPr>
          <w:rFonts w:ascii="Book Antiqua" w:eastAsia="Book Antiqua" w:hAnsi="Book Antiqua" w:cs="Book Antiqua"/>
          <w:color w:val="000000" w:themeColor="text1"/>
          <w:lang w:val="es-PR"/>
        </w:rPr>
        <w:t xml:space="preserve">s </w:t>
      </w:r>
      <w:r w:rsidR="00060089">
        <w:rPr>
          <w:rFonts w:ascii="Book Antiqua" w:eastAsia="Book Antiqua" w:hAnsi="Book Antiqua" w:cs="Book Antiqua"/>
          <w:color w:val="000000" w:themeColor="text1"/>
          <w:lang w:val="es-PR"/>
        </w:rPr>
        <w:t>específico</w:t>
      </w:r>
      <w:r w:rsidR="00091898">
        <w:rPr>
          <w:rFonts w:ascii="Book Antiqua" w:eastAsia="Book Antiqua" w:hAnsi="Book Antiqua" w:cs="Book Antiqua"/>
          <w:color w:val="000000" w:themeColor="text1"/>
          <w:lang w:val="es-PR"/>
        </w:rPr>
        <w:t xml:space="preserve"> propuesto para el artículo 619A resulta en armonía con el lenguaje m</w:t>
      </w:r>
      <w:r w:rsidR="00060089">
        <w:rPr>
          <w:rFonts w:ascii="Book Antiqua" w:eastAsia="Book Antiqua" w:hAnsi="Book Antiqua" w:cs="Book Antiqua"/>
          <w:color w:val="000000" w:themeColor="text1"/>
          <w:lang w:val="es-PR"/>
        </w:rPr>
        <w:t>á</w:t>
      </w:r>
      <w:r w:rsidR="00091898">
        <w:rPr>
          <w:rFonts w:ascii="Book Antiqua" w:eastAsia="Book Antiqua" w:hAnsi="Book Antiqua" w:cs="Book Antiqua"/>
          <w:color w:val="000000" w:themeColor="text1"/>
          <w:lang w:val="es-PR"/>
        </w:rPr>
        <w:t>s general del 619 sobre el derecho de los familiares a relacionarse</w:t>
      </w:r>
      <w:r w:rsidR="00FD7F39">
        <w:rPr>
          <w:rFonts w:ascii="Book Antiqua" w:eastAsia="Book Antiqua" w:hAnsi="Book Antiqua" w:cs="Book Antiqua"/>
          <w:color w:val="000000" w:themeColor="text1"/>
          <w:lang w:val="es-PR"/>
        </w:rPr>
        <w:t xml:space="preserve"> con algún nieto o sobrino</w:t>
      </w:r>
      <w:r w:rsidR="00091898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="00FD7F39">
        <w:rPr>
          <w:rFonts w:ascii="Book Antiqua" w:eastAsia="Book Antiqua" w:hAnsi="Book Antiqua" w:cs="Book Antiqua"/>
          <w:color w:val="000000" w:themeColor="text1"/>
          <w:lang w:val="es-PR"/>
        </w:rPr>
        <w:t xml:space="preserve"> En otras palabras, de haber dudas con el lenguaje</w:t>
      </w:r>
      <w:r w:rsidR="00986C18">
        <w:rPr>
          <w:rFonts w:ascii="Book Antiqua" w:eastAsia="Book Antiqua" w:hAnsi="Book Antiqua" w:cs="Book Antiqua"/>
          <w:color w:val="000000" w:themeColor="text1"/>
          <w:lang w:val="es-PR"/>
        </w:rPr>
        <w:t xml:space="preserve"> del 619 o el 619A, debe prevalecer el lenguaje más específico del </w:t>
      </w:r>
      <w:r w:rsidR="007034D0">
        <w:rPr>
          <w:rFonts w:ascii="Book Antiqua" w:eastAsia="Book Antiqua" w:hAnsi="Book Antiqua" w:cs="Book Antiqua"/>
          <w:color w:val="000000" w:themeColor="text1"/>
          <w:lang w:val="es-PR"/>
        </w:rPr>
        <w:t xml:space="preserve">artículo </w:t>
      </w:r>
      <w:r w:rsidR="00986C18">
        <w:rPr>
          <w:rFonts w:ascii="Book Antiqua" w:eastAsia="Book Antiqua" w:hAnsi="Book Antiqua" w:cs="Book Antiqua"/>
          <w:color w:val="000000" w:themeColor="text1"/>
          <w:lang w:val="es-PR"/>
        </w:rPr>
        <w:t>619</w:t>
      </w:r>
      <w:r w:rsidR="007034D0"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 w:rsidR="00986C18">
        <w:rPr>
          <w:rFonts w:ascii="Book Antiqua" w:eastAsia="Book Antiqua" w:hAnsi="Book Antiqua" w:cs="Book Antiqua"/>
          <w:color w:val="000000" w:themeColor="text1"/>
          <w:lang w:val="es-PR"/>
        </w:rPr>
        <w:t xml:space="preserve"> sobre el mismo tema.</w:t>
      </w:r>
      <w:r w:rsidR="00091898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>
        <w:rPr>
          <w:rFonts w:ascii="Book Antiqua" w:eastAsia="Book Antiqua" w:hAnsi="Book Antiqua" w:cs="Book Antiqua"/>
          <w:color w:val="000000" w:themeColor="text1"/>
          <w:szCs w:val="24"/>
        </w:rPr>
        <w:t xml:space="preserve"> </w:t>
      </w:r>
    </w:p>
    <w:p w14:paraId="55324CE2" w14:textId="454C106E" w:rsidR="004512E8" w:rsidRPr="00733C1D" w:rsidRDefault="00986C18" w:rsidP="00733C1D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</w:rPr>
      </w:pPr>
      <w:r>
        <w:rPr>
          <w:rFonts w:ascii="Book Antiqua" w:eastAsia="Book Antiqua" w:hAnsi="Book Antiqua" w:cs="Book Antiqua"/>
          <w:color w:val="000000" w:themeColor="text1"/>
          <w:szCs w:val="24"/>
        </w:rPr>
        <w:t xml:space="preserve">En fin, </w:t>
      </w:r>
      <w:r w:rsidR="00FD6179" w:rsidRPr="00733C1D">
        <w:rPr>
          <w:rFonts w:ascii="Book Antiqua" w:eastAsia="Book Antiqua" w:hAnsi="Book Antiqua" w:cs="Book Antiqua"/>
          <w:color w:val="000000" w:themeColor="text1"/>
          <w:szCs w:val="24"/>
        </w:rPr>
        <w:t>la Comisión de</w:t>
      </w:r>
      <w:r w:rsidR="007761C9" w:rsidRPr="00733C1D">
        <w:rPr>
          <w:rFonts w:ascii="Book Antiqua" w:eastAsia="Book Antiqua" w:hAnsi="Book Antiqua" w:cs="Book Antiqua"/>
          <w:color w:val="000000" w:themeColor="text1"/>
          <w:szCs w:val="24"/>
        </w:rPr>
        <w:t xml:space="preserve"> </w:t>
      </w:r>
      <w:r w:rsidR="002E3B1E">
        <w:rPr>
          <w:rFonts w:ascii="Book Antiqua" w:eastAsia="Book Antiqua" w:hAnsi="Book Antiqua" w:cs="Book Antiqua"/>
          <w:color w:val="000000" w:themeColor="text1"/>
          <w:szCs w:val="24"/>
        </w:rPr>
        <w:t>l</w:t>
      </w:r>
      <w:r w:rsidR="007761C9" w:rsidRPr="00733C1D">
        <w:rPr>
          <w:rFonts w:ascii="Book Antiqua" w:eastAsia="Book Antiqua" w:hAnsi="Book Antiqua" w:cs="Book Antiqua"/>
          <w:color w:val="000000" w:themeColor="text1"/>
          <w:szCs w:val="24"/>
        </w:rPr>
        <w:t>o Jurídico</w:t>
      </w:r>
      <w:r w:rsidR="00FD6179" w:rsidRPr="00733C1D">
        <w:rPr>
          <w:rFonts w:ascii="Book Antiqua" w:eastAsia="Book Antiqua" w:hAnsi="Book Antiqua" w:cs="Book Antiqua"/>
          <w:color w:val="000000" w:themeColor="text1"/>
          <w:szCs w:val="24"/>
        </w:rPr>
        <w:t xml:space="preserve"> recom</w:t>
      </w:r>
      <w:r w:rsidR="00B33A97">
        <w:rPr>
          <w:rFonts w:ascii="Book Antiqua" w:eastAsia="Book Antiqua" w:hAnsi="Book Antiqua" w:cs="Book Antiqua"/>
          <w:color w:val="000000" w:themeColor="text1"/>
          <w:szCs w:val="24"/>
        </w:rPr>
        <w:t>ienda</w:t>
      </w:r>
      <w:r w:rsidR="00FD6179" w:rsidRPr="00733C1D">
        <w:rPr>
          <w:rFonts w:ascii="Book Antiqua" w:eastAsia="Book Antiqua" w:hAnsi="Book Antiqua" w:cs="Book Antiqua"/>
          <w:color w:val="000000" w:themeColor="text1"/>
          <w:szCs w:val="24"/>
        </w:rPr>
        <w:t xml:space="preserve"> </w:t>
      </w:r>
      <w:r w:rsidR="00066C47">
        <w:rPr>
          <w:rFonts w:ascii="Book Antiqua" w:eastAsia="Book Antiqua" w:hAnsi="Book Antiqua" w:cs="Book Antiqua"/>
          <w:color w:val="000000" w:themeColor="text1"/>
          <w:szCs w:val="24"/>
        </w:rPr>
        <w:t xml:space="preserve">que se </w:t>
      </w:r>
      <w:r w:rsidR="00FD6179" w:rsidRPr="00733C1D">
        <w:rPr>
          <w:rFonts w:ascii="Book Antiqua" w:eastAsia="Book Antiqua" w:hAnsi="Book Antiqua" w:cs="Book Antiqua"/>
          <w:color w:val="000000" w:themeColor="text1"/>
          <w:szCs w:val="24"/>
        </w:rPr>
        <w:t>apr</w:t>
      </w:r>
      <w:r w:rsidR="00066C47">
        <w:rPr>
          <w:rFonts w:ascii="Book Antiqua" w:eastAsia="Book Antiqua" w:hAnsi="Book Antiqua" w:cs="Book Antiqua"/>
          <w:color w:val="000000" w:themeColor="text1"/>
          <w:szCs w:val="24"/>
        </w:rPr>
        <w:t>uebe</w:t>
      </w:r>
      <w:r w:rsidR="00FD6179" w:rsidRPr="00733C1D">
        <w:rPr>
          <w:rFonts w:ascii="Book Antiqua" w:eastAsia="Book Antiqua" w:hAnsi="Book Antiqua" w:cs="Book Antiqua"/>
          <w:color w:val="000000" w:themeColor="text1"/>
          <w:szCs w:val="24"/>
        </w:rPr>
        <w:t xml:space="preserve"> el P. de la C. </w:t>
      </w:r>
      <w:r w:rsidR="00E81568">
        <w:rPr>
          <w:rFonts w:ascii="Book Antiqua" w:eastAsia="Book Antiqua" w:hAnsi="Book Antiqua" w:cs="Book Antiqua"/>
          <w:color w:val="000000" w:themeColor="text1"/>
          <w:szCs w:val="24"/>
        </w:rPr>
        <w:t>1029</w:t>
      </w:r>
      <w:r w:rsidR="00F0476A" w:rsidRPr="00733C1D">
        <w:rPr>
          <w:rFonts w:ascii="Book Antiqua" w:eastAsia="Book Antiqua" w:hAnsi="Book Antiqua" w:cs="Book Antiqua"/>
          <w:color w:val="000000" w:themeColor="text1"/>
          <w:szCs w:val="24"/>
        </w:rPr>
        <w:t xml:space="preserve">, con las enmiendas en el </w:t>
      </w:r>
      <w:proofErr w:type="spellStart"/>
      <w:r w:rsidR="00F0476A" w:rsidRPr="00733C1D">
        <w:rPr>
          <w:rFonts w:ascii="Book Antiqua" w:eastAsia="Book Antiqua" w:hAnsi="Book Antiqua" w:cs="Book Antiqua"/>
          <w:color w:val="000000" w:themeColor="text1"/>
          <w:szCs w:val="24"/>
        </w:rPr>
        <w:t>entirillado</w:t>
      </w:r>
      <w:proofErr w:type="spellEnd"/>
      <w:r w:rsidR="00F0476A" w:rsidRPr="00733C1D">
        <w:rPr>
          <w:rFonts w:ascii="Book Antiqua" w:eastAsia="Book Antiqua" w:hAnsi="Book Antiqua" w:cs="Book Antiqua"/>
          <w:color w:val="000000" w:themeColor="text1"/>
          <w:szCs w:val="24"/>
        </w:rPr>
        <w:t xml:space="preserve"> electrónico</w:t>
      </w:r>
      <w:r w:rsidR="00D51A50">
        <w:rPr>
          <w:rFonts w:ascii="Book Antiqua" w:eastAsia="Book Antiqua" w:hAnsi="Book Antiqua" w:cs="Book Antiqua"/>
          <w:color w:val="000000" w:themeColor="text1"/>
          <w:szCs w:val="24"/>
        </w:rPr>
        <w:t xml:space="preserve"> adjunto</w:t>
      </w:r>
      <w:r w:rsidR="00F17F1C" w:rsidRPr="00733C1D">
        <w:rPr>
          <w:rFonts w:ascii="Book Antiqua" w:eastAsia="Book Antiqua" w:hAnsi="Book Antiqua" w:cs="Book Antiqua"/>
          <w:color w:val="000000" w:themeColor="text1"/>
          <w:szCs w:val="24"/>
        </w:rPr>
        <w:t>.</w:t>
      </w:r>
    </w:p>
    <w:p w14:paraId="6C8FC9E5" w14:textId="5B98CA98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Respetuosamente </w:t>
      </w:r>
      <w:r w:rsidR="00F169E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presenta</w:t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do</w:t>
      </w:r>
      <w:r w:rsidR="00066C4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,</w:t>
      </w:r>
    </w:p>
    <w:p w14:paraId="63414C34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5B154406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70EDA1E2" w14:textId="41BE61DF" w:rsidR="003B38A4" w:rsidRPr="00066C47" w:rsidRDefault="00447224" w:rsidP="003B38A4">
      <w:pPr>
        <w:jc w:val="both"/>
        <w:rPr>
          <w:rFonts w:ascii="Book Antiqua" w:eastAsia="Book Antiqua" w:hAnsi="Book Antiqua" w:cs="Book Antiqua"/>
          <w:b/>
          <w:bCs/>
          <w:smallCaps/>
          <w:color w:val="000000" w:themeColor="text1"/>
          <w:szCs w:val="24"/>
          <w:lang w:val="es-PR"/>
        </w:rPr>
      </w:pPr>
      <w:r w:rsidRPr="00066C47">
        <w:rPr>
          <w:rFonts w:ascii="Book Antiqua" w:eastAsia="Book Antiqua" w:hAnsi="Book Antiqua" w:cs="Book Antiqua"/>
          <w:b/>
          <w:bCs/>
          <w:smallCaps/>
          <w:color w:val="000000" w:themeColor="text1"/>
          <w:szCs w:val="24"/>
          <w:lang w:val="es-PR"/>
        </w:rPr>
        <w:t>José</w:t>
      </w:r>
      <w:r w:rsidR="00D60D6E" w:rsidRPr="00066C47">
        <w:rPr>
          <w:rFonts w:ascii="Book Antiqua" w:eastAsia="Book Antiqua" w:hAnsi="Book Antiqua" w:cs="Book Antiqua"/>
          <w:b/>
          <w:bCs/>
          <w:smallCaps/>
          <w:color w:val="000000" w:themeColor="text1"/>
          <w:szCs w:val="24"/>
          <w:lang w:val="es-PR"/>
        </w:rPr>
        <w:t xml:space="preserve"> J. </w:t>
      </w:r>
      <w:r w:rsidRPr="00066C47">
        <w:rPr>
          <w:rFonts w:ascii="Book Antiqua" w:eastAsia="Book Antiqua" w:hAnsi="Book Antiqua" w:cs="Book Antiqua"/>
          <w:b/>
          <w:bCs/>
          <w:smallCaps/>
          <w:color w:val="000000" w:themeColor="text1"/>
          <w:szCs w:val="24"/>
          <w:lang w:val="es-PR"/>
        </w:rPr>
        <w:t>Pérez</w:t>
      </w:r>
      <w:r w:rsidR="00D60D6E" w:rsidRPr="00066C47">
        <w:rPr>
          <w:rFonts w:ascii="Book Antiqua" w:eastAsia="Book Antiqua" w:hAnsi="Book Antiqua" w:cs="Book Antiqua"/>
          <w:b/>
          <w:bCs/>
          <w:smallCaps/>
          <w:color w:val="000000" w:themeColor="text1"/>
          <w:szCs w:val="24"/>
          <w:lang w:val="es-PR"/>
        </w:rPr>
        <w:t xml:space="preserve"> Cordero</w:t>
      </w:r>
      <w:r w:rsidR="003B38A4" w:rsidRPr="00066C47">
        <w:rPr>
          <w:rFonts w:ascii="Book Antiqua" w:eastAsia="Book Antiqua" w:hAnsi="Book Antiqua" w:cs="Book Antiqua"/>
          <w:b/>
          <w:bCs/>
          <w:smallCaps/>
          <w:color w:val="000000" w:themeColor="text1"/>
          <w:szCs w:val="24"/>
          <w:lang w:val="es-PR"/>
        </w:rPr>
        <w:tab/>
        <w:t xml:space="preserve"> </w:t>
      </w:r>
    </w:p>
    <w:p w14:paraId="7D70D4B0" w14:textId="77777777" w:rsidR="0089536A" w:rsidRDefault="003B38A4" w:rsidP="006931CC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President</w:t>
      </w:r>
      <w:r w:rsidR="00F248D5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e</w:t>
      </w:r>
    </w:p>
    <w:p w14:paraId="3B6A5A42" w14:textId="11735DC1" w:rsidR="00F0476A" w:rsidRPr="001711E6" w:rsidRDefault="0089536A" w:rsidP="006931CC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Comisión de lo Jurídico</w:t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="003B38A4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</w:p>
    <w:sectPr w:rsidR="00F0476A" w:rsidRPr="001711E6" w:rsidSect="00015228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27015" w14:textId="77777777" w:rsidR="00601B65" w:rsidRDefault="00601B65">
      <w:r>
        <w:separator/>
      </w:r>
    </w:p>
  </w:endnote>
  <w:endnote w:type="continuationSeparator" w:id="0">
    <w:p w14:paraId="0A4D030D" w14:textId="77777777" w:rsidR="00601B65" w:rsidRDefault="00601B65">
      <w:r>
        <w:continuationSeparator/>
      </w:r>
    </w:p>
  </w:endnote>
  <w:endnote w:type="continuationNotice" w:id="1">
    <w:p w14:paraId="490882AA" w14:textId="77777777" w:rsidR="00601B65" w:rsidRDefault="00601B6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D9C170" w14:textId="77777777" w:rsidR="00601B65" w:rsidRDefault="00601B65">
      <w:r>
        <w:separator/>
      </w:r>
    </w:p>
  </w:footnote>
  <w:footnote w:type="continuationSeparator" w:id="0">
    <w:p w14:paraId="18FCEE0D" w14:textId="77777777" w:rsidR="00601B65" w:rsidRDefault="00601B65">
      <w:r>
        <w:continuationSeparator/>
      </w:r>
    </w:p>
  </w:footnote>
  <w:footnote w:type="continuationNotice" w:id="1">
    <w:p w14:paraId="0CBE6F82" w14:textId="77777777" w:rsidR="00601B65" w:rsidRDefault="00601B65"/>
  </w:footnote>
  <w:footnote w:id="2">
    <w:p w14:paraId="7155218C" w14:textId="2F67B2B9" w:rsidR="00A47DEB" w:rsidRPr="00D45B15" w:rsidRDefault="00A47DEB" w:rsidP="0076738C">
      <w:pPr>
        <w:pStyle w:val="FootnoteText"/>
        <w:spacing w:after="120"/>
        <w:jc w:val="both"/>
        <w:rPr>
          <w:rFonts w:ascii="Book Antiqua" w:hAnsi="Book Antiqua" w:cstheme="majorBidi"/>
        </w:rPr>
      </w:pPr>
      <w:r w:rsidRPr="00D45B15">
        <w:rPr>
          <w:rStyle w:val="FootnoteReference"/>
          <w:rFonts w:ascii="Book Antiqua" w:hAnsi="Book Antiqua" w:cstheme="majorBidi"/>
        </w:rPr>
        <w:footnoteRef/>
      </w:r>
      <w:r w:rsidRPr="00D45B15">
        <w:rPr>
          <w:rFonts w:ascii="Book Antiqua" w:hAnsi="Book Antiqua" w:cstheme="majorBidi"/>
        </w:rPr>
        <w:t xml:space="preserve"> </w:t>
      </w:r>
      <w:r w:rsidR="00B64640" w:rsidRPr="00D45B15">
        <w:rPr>
          <w:rFonts w:ascii="Book Antiqua" w:hAnsi="Book Antiqua" w:cstheme="majorBidi"/>
        </w:rPr>
        <w:t xml:space="preserve">El 12 de enero de 2026 se presentó </w:t>
      </w:r>
      <w:r w:rsidR="007C25E7" w:rsidRPr="00D45B15">
        <w:rPr>
          <w:rFonts w:ascii="Book Antiqua" w:hAnsi="Book Antiqua" w:cstheme="majorBidi"/>
        </w:rPr>
        <w:t>e</w:t>
      </w:r>
      <w:r w:rsidRPr="00D45B15">
        <w:rPr>
          <w:rFonts w:ascii="Book Antiqua" w:hAnsi="Book Antiqua" w:cstheme="majorBidi"/>
        </w:rPr>
        <w:t xml:space="preserve">l P. de la C. </w:t>
      </w:r>
      <w:r w:rsidR="00B64640" w:rsidRPr="00D45B15">
        <w:rPr>
          <w:rFonts w:ascii="Book Antiqua" w:hAnsi="Book Antiqua" w:cstheme="majorBidi"/>
        </w:rPr>
        <w:t>1029</w:t>
      </w:r>
      <w:r w:rsidRPr="00D45B15">
        <w:rPr>
          <w:rFonts w:ascii="Book Antiqua" w:hAnsi="Book Antiqua" w:cstheme="majorBidi"/>
        </w:rPr>
        <w:t xml:space="preserve"> como una medida legislativa de Administración (A</w:t>
      </w:r>
      <w:r w:rsidR="007C25E7" w:rsidRPr="00D45B15">
        <w:rPr>
          <w:rFonts w:ascii="Book Antiqua" w:hAnsi="Book Antiqua" w:cstheme="majorBidi"/>
        </w:rPr>
        <w:t>-104</w:t>
      </w:r>
      <w:r w:rsidRPr="00D45B15">
        <w:rPr>
          <w:rFonts w:ascii="Book Antiqua" w:hAnsi="Book Antiqua" w:cstheme="majorBidi"/>
        </w:rPr>
        <w:t xml:space="preserve">) cuya versión homóloga es el </w:t>
      </w:r>
      <w:r w:rsidR="007C25E7" w:rsidRPr="00D45B15">
        <w:rPr>
          <w:rFonts w:ascii="Book Antiqua" w:hAnsi="Book Antiqua" w:cstheme="majorBidi"/>
        </w:rPr>
        <w:t>P. del S.</w:t>
      </w:r>
      <w:r w:rsidRPr="00D45B15">
        <w:rPr>
          <w:rFonts w:ascii="Book Antiqua" w:hAnsi="Book Antiqua" w:cstheme="majorBidi"/>
        </w:rPr>
        <w:t xml:space="preserve"> </w:t>
      </w:r>
      <w:r w:rsidR="00EE5E81" w:rsidRPr="00D45B15">
        <w:rPr>
          <w:rFonts w:ascii="Book Antiqua" w:hAnsi="Book Antiqua" w:cstheme="majorBidi"/>
        </w:rPr>
        <w:t>926</w:t>
      </w:r>
      <w:r w:rsidRPr="00D45B15">
        <w:rPr>
          <w:rFonts w:ascii="Book Antiqua" w:hAnsi="Book Antiqua" w:cstheme="majorBidi"/>
        </w:rPr>
        <w:t xml:space="preserve">, presentada ante nuestro hermano cuerpo ese mismo día. </w:t>
      </w:r>
    </w:p>
  </w:footnote>
  <w:footnote w:id="3">
    <w:p w14:paraId="2312F402" w14:textId="269E51BC" w:rsidR="00B629E3" w:rsidRPr="00D45B15" w:rsidRDefault="00B629E3">
      <w:pPr>
        <w:pStyle w:val="FootnoteText"/>
        <w:rPr>
          <w:rFonts w:ascii="Book Antiqua" w:hAnsi="Book Antiqua"/>
        </w:rPr>
      </w:pPr>
      <w:r w:rsidRPr="00D45B15">
        <w:rPr>
          <w:rStyle w:val="FootnoteReference"/>
          <w:rFonts w:ascii="Book Antiqua" w:hAnsi="Book Antiqua"/>
        </w:rPr>
        <w:footnoteRef/>
      </w:r>
      <w:r w:rsidRPr="00D45B15">
        <w:rPr>
          <w:rFonts w:ascii="Book Antiqua" w:hAnsi="Book Antiqua"/>
        </w:rPr>
        <w:t xml:space="preserve"> Conocida como Código Civil de Puerto Rico de 2020.</w:t>
      </w:r>
    </w:p>
  </w:footnote>
  <w:footnote w:id="4">
    <w:p w14:paraId="347C4BB0" w14:textId="2C7559AC" w:rsidR="00EE5E81" w:rsidRPr="00D45B15" w:rsidRDefault="00EE5E81">
      <w:pPr>
        <w:pStyle w:val="FootnoteText"/>
        <w:rPr>
          <w:rFonts w:ascii="Book Antiqua" w:hAnsi="Book Antiqua"/>
        </w:rPr>
      </w:pPr>
      <w:r w:rsidRPr="00D45B15">
        <w:rPr>
          <w:rStyle w:val="FootnoteReference"/>
          <w:rFonts w:ascii="Book Antiqua" w:hAnsi="Book Antiqua"/>
        </w:rPr>
        <w:footnoteRef/>
      </w:r>
      <w:r w:rsidRPr="00D45B15">
        <w:rPr>
          <w:rFonts w:ascii="Book Antiqua" w:hAnsi="Book Antiqua"/>
        </w:rPr>
        <w:t xml:space="preserve"> 162 DPR 130, 2004.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A8751" w14:textId="4FB28182" w:rsidR="00CB2B9A" w:rsidRPr="00CB2B9A" w:rsidRDefault="00CB2B9A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Cs/>
        <w:sz w:val="22"/>
        <w:szCs w:val="22"/>
        <w:lang w:val="es-PR"/>
      </w:rPr>
    </w:pPr>
    <w:r w:rsidRPr="00CB2B9A">
      <w:rPr>
        <w:rFonts w:ascii="Calibri" w:eastAsia="Calibri" w:hAnsi="Calibri"/>
        <w:b/>
        <w:iCs/>
        <w:sz w:val="22"/>
        <w:szCs w:val="22"/>
        <w:lang w:val="es-PR"/>
      </w:rPr>
      <w:t>Cámara de Representantes de Puerto Rico</w:t>
    </w:r>
  </w:p>
  <w:p w14:paraId="5D382EB3" w14:textId="1AB7EFF0" w:rsidR="00CB2B9A" w:rsidRPr="00CB2B9A" w:rsidRDefault="00CB2B9A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Cs/>
        <w:sz w:val="22"/>
        <w:szCs w:val="22"/>
        <w:lang w:val="es-PR"/>
      </w:rPr>
    </w:pPr>
    <w:r w:rsidRPr="00CB2B9A">
      <w:rPr>
        <w:rFonts w:ascii="Calibri" w:eastAsia="Calibri" w:hAnsi="Calibri"/>
        <w:b/>
        <w:iCs/>
        <w:sz w:val="22"/>
        <w:szCs w:val="22"/>
        <w:lang w:val="es-PR"/>
      </w:rPr>
      <w:t>Comisión de lo Jurídico</w:t>
    </w:r>
  </w:p>
  <w:p w14:paraId="31A51A2D" w14:textId="6315EAEA" w:rsidR="00BA0B5D" w:rsidRPr="00392CEF" w:rsidRDefault="00CE54D8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/>
        <w:sz w:val="22"/>
        <w:szCs w:val="22"/>
        <w:lang w:val="es-PR"/>
      </w:rPr>
    </w:pPr>
    <w:r w:rsidRPr="00CB2B9A">
      <w:rPr>
        <w:rFonts w:ascii="Calibri" w:eastAsia="Calibri" w:hAnsi="Calibri"/>
        <w:b/>
        <w:iCs/>
        <w:sz w:val="22"/>
        <w:szCs w:val="22"/>
        <w:lang w:val="es-PR"/>
      </w:rPr>
      <w:t>Informe</w:t>
    </w:r>
    <w:r w:rsidR="00900740" w:rsidRPr="00CB2B9A">
      <w:rPr>
        <w:rFonts w:ascii="Calibri" w:eastAsia="Calibri" w:hAnsi="Calibri"/>
        <w:b/>
        <w:iCs/>
        <w:sz w:val="22"/>
        <w:szCs w:val="22"/>
        <w:lang w:val="es-PR"/>
      </w:rPr>
      <w:t xml:space="preserve"> Positivo</w:t>
    </w:r>
    <w:r w:rsidRPr="00CB2B9A">
      <w:rPr>
        <w:rFonts w:ascii="Calibri" w:eastAsia="Calibri" w:hAnsi="Calibri"/>
        <w:b/>
        <w:iCs/>
        <w:sz w:val="22"/>
        <w:szCs w:val="22"/>
        <w:lang w:val="es-PR"/>
      </w:rPr>
      <w:t xml:space="preserve"> P. de la C. </w:t>
    </w:r>
    <w:r w:rsidR="00AF0CE8">
      <w:rPr>
        <w:rFonts w:ascii="Calibri" w:eastAsia="Calibri" w:hAnsi="Calibri"/>
        <w:b/>
        <w:iCs/>
        <w:sz w:val="22"/>
        <w:szCs w:val="22"/>
        <w:lang w:val="es-PR"/>
      </w:rPr>
      <w:t>1029</w:t>
    </w:r>
    <w:r w:rsidRPr="00CE54D8">
      <w:rPr>
        <w:rFonts w:ascii="Calibri" w:eastAsia="Calibri" w:hAnsi="Calibri"/>
        <w:b/>
        <w:i/>
        <w:sz w:val="22"/>
        <w:szCs w:val="22"/>
        <w:lang w:val="es-PR"/>
      </w:rPr>
      <w:tab/>
    </w:r>
    <w:r w:rsidRPr="00CE54D8">
      <w:rPr>
        <w:rFonts w:ascii="Calibri" w:eastAsia="Calibri" w:hAnsi="Calibri"/>
        <w:b/>
        <w:i/>
        <w:sz w:val="22"/>
        <w:szCs w:val="22"/>
        <w:lang w:val="es-PR"/>
      </w:rPr>
      <w:tab/>
      <w:t xml:space="preserve"> Página</w:t>
    </w:r>
    <w:r w:rsidRPr="00CE54D8">
      <w:rPr>
        <w:rFonts w:ascii="Calibri" w:eastAsia="Calibri" w:hAnsi="Calibri"/>
        <w:sz w:val="22"/>
        <w:szCs w:val="22"/>
        <w:lang w:val="es-PR"/>
      </w:rPr>
      <w:t xml:space="preserve"> | </w:t>
    </w:r>
    <w:r w:rsidRPr="00CE54D8">
      <w:rPr>
        <w:rFonts w:ascii="Calibri" w:eastAsia="Calibri" w:hAnsi="Calibri"/>
        <w:sz w:val="22"/>
        <w:szCs w:val="22"/>
        <w:lang w:val="en-US"/>
      </w:rPr>
      <w:fldChar w:fldCharType="begin"/>
    </w:r>
    <w:r w:rsidRPr="00CE54D8">
      <w:rPr>
        <w:rFonts w:ascii="Calibri" w:eastAsia="Calibri" w:hAnsi="Calibri"/>
        <w:sz w:val="22"/>
        <w:szCs w:val="22"/>
        <w:lang w:val="es-PR"/>
      </w:rPr>
      <w:instrText xml:space="preserve"> PAGE   \* MERGEFORMAT </w:instrText>
    </w:r>
    <w:r w:rsidRPr="00CE54D8">
      <w:rPr>
        <w:rFonts w:ascii="Calibri" w:eastAsia="Calibri" w:hAnsi="Calibri"/>
        <w:sz w:val="22"/>
        <w:szCs w:val="22"/>
        <w:lang w:val="en-US"/>
      </w:rPr>
      <w:fldChar w:fldCharType="separate"/>
    </w:r>
    <w:r w:rsidR="000F67BD" w:rsidRPr="000F67BD">
      <w:rPr>
        <w:rFonts w:ascii="Calibri" w:eastAsia="Calibri" w:hAnsi="Calibri"/>
        <w:b/>
        <w:bCs/>
        <w:noProof/>
        <w:sz w:val="22"/>
        <w:szCs w:val="22"/>
        <w:lang w:val="es-PR"/>
      </w:rPr>
      <w:t>5</w:t>
    </w:r>
    <w:r w:rsidRPr="00CE54D8">
      <w:rPr>
        <w:rFonts w:ascii="Calibri" w:eastAsia="Calibri" w:hAnsi="Calibri"/>
        <w:sz w:val="22"/>
        <w:szCs w:val="22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02F83"/>
    <w:multiLevelType w:val="hybridMultilevel"/>
    <w:tmpl w:val="C232ACF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E5D12"/>
    <w:multiLevelType w:val="hybridMultilevel"/>
    <w:tmpl w:val="2AE4D2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E25A1"/>
    <w:multiLevelType w:val="hybridMultilevel"/>
    <w:tmpl w:val="814A9C02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0DD6F52"/>
    <w:multiLevelType w:val="hybridMultilevel"/>
    <w:tmpl w:val="F75AD9E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4CE24B7"/>
    <w:multiLevelType w:val="hybridMultilevel"/>
    <w:tmpl w:val="5B7071D4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D37D0E"/>
    <w:multiLevelType w:val="hybridMultilevel"/>
    <w:tmpl w:val="985CA244"/>
    <w:lvl w:ilvl="0" w:tplc="AE1E54D8">
      <w:start w:val="40"/>
      <w:numFmt w:val="decimal"/>
      <w:lvlText w:val="%1"/>
      <w:lvlJc w:val="left"/>
      <w:pPr>
        <w:ind w:left="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superscript"/>
      </w:rPr>
    </w:lvl>
    <w:lvl w:ilvl="1" w:tplc="76F4EE02">
      <w:start w:val="1"/>
      <w:numFmt w:val="lowerLetter"/>
      <w:lvlText w:val="%2"/>
      <w:lvlJc w:val="left"/>
      <w:pPr>
        <w:ind w:left="1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superscript"/>
      </w:rPr>
    </w:lvl>
    <w:lvl w:ilvl="2" w:tplc="4C78E854">
      <w:start w:val="1"/>
      <w:numFmt w:val="lowerRoman"/>
      <w:lvlText w:val="%3"/>
      <w:lvlJc w:val="left"/>
      <w:pPr>
        <w:ind w:left="1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superscript"/>
      </w:rPr>
    </w:lvl>
    <w:lvl w:ilvl="3" w:tplc="6B900874">
      <w:start w:val="1"/>
      <w:numFmt w:val="decimal"/>
      <w:lvlText w:val="%4"/>
      <w:lvlJc w:val="left"/>
      <w:pPr>
        <w:ind w:left="2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superscript"/>
      </w:rPr>
    </w:lvl>
    <w:lvl w:ilvl="4" w:tplc="CCD8094C">
      <w:start w:val="1"/>
      <w:numFmt w:val="lowerLetter"/>
      <w:lvlText w:val="%5"/>
      <w:lvlJc w:val="left"/>
      <w:pPr>
        <w:ind w:left="3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superscript"/>
      </w:rPr>
    </w:lvl>
    <w:lvl w:ilvl="5" w:tplc="2084D7DE">
      <w:start w:val="1"/>
      <w:numFmt w:val="lowerRoman"/>
      <w:lvlText w:val="%6"/>
      <w:lvlJc w:val="left"/>
      <w:pPr>
        <w:ind w:left="3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superscript"/>
      </w:rPr>
    </w:lvl>
    <w:lvl w:ilvl="6" w:tplc="12B2B4A0">
      <w:start w:val="1"/>
      <w:numFmt w:val="decimal"/>
      <w:lvlText w:val="%7"/>
      <w:lvlJc w:val="left"/>
      <w:pPr>
        <w:ind w:left="4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superscript"/>
      </w:rPr>
    </w:lvl>
    <w:lvl w:ilvl="7" w:tplc="F6526066">
      <w:start w:val="1"/>
      <w:numFmt w:val="lowerLetter"/>
      <w:lvlText w:val="%8"/>
      <w:lvlJc w:val="left"/>
      <w:pPr>
        <w:ind w:left="5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superscript"/>
      </w:rPr>
    </w:lvl>
    <w:lvl w:ilvl="8" w:tplc="9538267A">
      <w:start w:val="1"/>
      <w:numFmt w:val="lowerRoman"/>
      <w:lvlText w:val="%9"/>
      <w:lvlJc w:val="left"/>
      <w:pPr>
        <w:ind w:left="6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superscript"/>
      </w:rPr>
    </w:lvl>
  </w:abstractNum>
  <w:abstractNum w:abstractNumId="6" w15:restartNumberingAfterBreak="0">
    <w:nsid w:val="283D74F1"/>
    <w:multiLevelType w:val="hybridMultilevel"/>
    <w:tmpl w:val="18B89CB6"/>
    <w:lvl w:ilvl="0" w:tplc="85CA1E9C">
      <w:start w:val="1"/>
      <w:numFmt w:val="decimal"/>
      <w:lvlText w:val="%1."/>
      <w:lvlJc w:val="left"/>
      <w:pPr>
        <w:ind w:left="1428" w:hanging="361"/>
        <w:jc w:val="left"/>
      </w:pPr>
      <w:rPr>
        <w:rFonts w:hint="default"/>
        <w:spacing w:val="0"/>
        <w:w w:val="99"/>
        <w:lang w:val="es-ES" w:eastAsia="en-US" w:bidi="ar-SA"/>
      </w:rPr>
    </w:lvl>
    <w:lvl w:ilvl="1" w:tplc="C16494F8">
      <w:numFmt w:val="bullet"/>
      <w:lvlText w:val="•"/>
      <w:lvlJc w:val="left"/>
      <w:pPr>
        <w:ind w:left="2394" w:hanging="361"/>
      </w:pPr>
      <w:rPr>
        <w:rFonts w:hint="default"/>
        <w:lang w:val="es-ES" w:eastAsia="en-US" w:bidi="ar-SA"/>
      </w:rPr>
    </w:lvl>
    <w:lvl w:ilvl="2" w:tplc="5E3ECAE2">
      <w:numFmt w:val="bullet"/>
      <w:lvlText w:val="•"/>
      <w:lvlJc w:val="left"/>
      <w:pPr>
        <w:ind w:left="3368" w:hanging="361"/>
      </w:pPr>
      <w:rPr>
        <w:rFonts w:hint="default"/>
        <w:lang w:val="es-ES" w:eastAsia="en-US" w:bidi="ar-SA"/>
      </w:rPr>
    </w:lvl>
    <w:lvl w:ilvl="3" w:tplc="EB56F5A8">
      <w:numFmt w:val="bullet"/>
      <w:lvlText w:val="•"/>
      <w:lvlJc w:val="left"/>
      <w:pPr>
        <w:ind w:left="4342" w:hanging="361"/>
      </w:pPr>
      <w:rPr>
        <w:rFonts w:hint="default"/>
        <w:lang w:val="es-ES" w:eastAsia="en-US" w:bidi="ar-SA"/>
      </w:rPr>
    </w:lvl>
    <w:lvl w:ilvl="4" w:tplc="DCA683D6">
      <w:numFmt w:val="bullet"/>
      <w:lvlText w:val="•"/>
      <w:lvlJc w:val="left"/>
      <w:pPr>
        <w:ind w:left="5316" w:hanging="361"/>
      </w:pPr>
      <w:rPr>
        <w:rFonts w:hint="default"/>
        <w:lang w:val="es-ES" w:eastAsia="en-US" w:bidi="ar-SA"/>
      </w:rPr>
    </w:lvl>
    <w:lvl w:ilvl="5" w:tplc="18362CB4">
      <w:numFmt w:val="bullet"/>
      <w:lvlText w:val="•"/>
      <w:lvlJc w:val="left"/>
      <w:pPr>
        <w:ind w:left="6290" w:hanging="361"/>
      </w:pPr>
      <w:rPr>
        <w:rFonts w:hint="default"/>
        <w:lang w:val="es-ES" w:eastAsia="en-US" w:bidi="ar-SA"/>
      </w:rPr>
    </w:lvl>
    <w:lvl w:ilvl="6" w:tplc="786080E2">
      <w:numFmt w:val="bullet"/>
      <w:lvlText w:val="•"/>
      <w:lvlJc w:val="left"/>
      <w:pPr>
        <w:ind w:left="7264" w:hanging="361"/>
      </w:pPr>
      <w:rPr>
        <w:rFonts w:hint="default"/>
        <w:lang w:val="es-ES" w:eastAsia="en-US" w:bidi="ar-SA"/>
      </w:rPr>
    </w:lvl>
    <w:lvl w:ilvl="7" w:tplc="F79246EE">
      <w:numFmt w:val="bullet"/>
      <w:lvlText w:val="•"/>
      <w:lvlJc w:val="left"/>
      <w:pPr>
        <w:ind w:left="8238" w:hanging="361"/>
      </w:pPr>
      <w:rPr>
        <w:rFonts w:hint="default"/>
        <w:lang w:val="es-ES" w:eastAsia="en-US" w:bidi="ar-SA"/>
      </w:rPr>
    </w:lvl>
    <w:lvl w:ilvl="8" w:tplc="8C062E14">
      <w:numFmt w:val="bullet"/>
      <w:lvlText w:val="•"/>
      <w:lvlJc w:val="left"/>
      <w:pPr>
        <w:ind w:left="9212" w:hanging="361"/>
      </w:pPr>
      <w:rPr>
        <w:rFonts w:hint="default"/>
        <w:lang w:val="es-ES" w:eastAsia="en-US" w:bidi="ar-SA"/>
      </w:rPr>
    </w:lvl>
  </w:abstractNum>
  <w:abstractNum w:abstractNumId="7" w15:restartNumberingAfterBreak="0">
    <w:nsid w:val="2B3A7C3A"/>
    <w:multiLevelType w:val="hybridMultilevel"/>
    <w:tmpl w:val="8C88BD86"/>
    <w:lvl w:ilvl="0" w:tplc="397489B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B853D85"/>
    <w:multiLevelType w:val="hybridMultilevel"/>
    <w:tmpl w:val="8F08A0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73323C"/>
    <w:multiLevelType w:val="hybridMultilevel"/>
    <w:tmpl w:val="E79C1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A1063E"/>
    <w:multiLevelType w:val="hybridMultilevel"/>
    <w:tmpl w:val="EE0CCFC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B048E0"/>
    <w:multiLevelType w:val="hybridMultilevel"/>
    <w:tmpl w:val="8EB0931E"/>
    <w:lvl w:ilvl="0" w:tplc="13449160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4BE248D"/>
    <w:multiLevelType w:val="hybridMultilevel"/>
    <w:tmpl w:val="D7A0B9C8"/>
    <w:lvl w:ilvl="0" w:tplc="76CAC282">
      <w:start w:val="1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8DC711E"/>
    <w:multiLevelType w:val="multilevel"/>
    <w:tmpl w:val="D0DC45DC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 w15:restartNumberingAfterBreak="0">
    <w:nsid w:val="4B5E24DD"/>
    <w:multiLevelType w:val="hybridMultilevel"/>
    <w:tmpl w:val="F88C9B3C"/>
    <w:lvl w:ilvl="0" w:tplc="20245298">
      <w:start w:val="507"/>
      <w:numFmt w:val="bullet"/>
      <w:lvlText w:val="-"/>
      <w:lvlJc w:val="left"/>
      <w:pPr>
        <w:ind w:left="720" w:hanging="360"/>
      </w:pPr>
      <w:rPr>
        <w:rFonts w:ascii="Book Antiqua" w:eastAsia="Book Antiqua" w:hAnsi="Book Antiqua" w:cs="Book Antiqu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996B4F"/>
    <w:multiLevelType w:val="hybridMultilevel"/>
    <w:tmpl w:val="B2D4F600"/>
    <w:lvl w:ilvl="0" w:tplc="451E04B4">
      <w:start w:val="9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E5D7248"/>
    <w:multiLevelType w:val="hybridMultilevel"/>
    <w:tmpl w:val="2AAA1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695C0B"/>
    <w:multiLevelType w:val="hybridMultilevel"/>
    <w:tmpl w:val="A1BACF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2C369EC"/>
    <w:multiLevelType w:val="hybridMultilevel"/>
    <w:tmpl w:val="4914EEE6"/>
    <w:lvl w:ilvl="0" w:tplc="F09E9688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B836C0"/>
    <w:multiLevelType w:val="hybridMultilevel"/>
    <w:tmpl w:val="C232ACF4"/>
    <w:lvl w:ilvl="0" w:tplc="5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2842CC"/>
    <w:multiLevelType w:val="hybridMultilevel"/>
    <w:tmpl w:val="8E468146"/>
    <w:lvl w:ilvl="0" w:tplc="BCBC16EA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E166ABC"/>
    <w:multiLevelType w:val="hybridMultilevel"/>
    <w:tmpl w:val="E4146A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5515291">
    <w:abstractNumId w:val="13"/>
  </w:num>
  <w:num w:numId="2" w16cid:durableId="612249085">
    <w:abstractNumId w:val="2"/>
  </w:num>
  <w:num w:numId="3" w16cid:durableId="191654121">
    <w:abstractNumId w:val="7"/>
  </w:num>
  <w:num w:numId="4" w16cid:durableId="251549162">
    <w:abstractNumId w:val="3"/>
  </w:num>
  <w:num w:numId="5" w16cid:durableId="77214083">
    <w:abstractNumId w:val="11"/>
  </w:num>
  <w:num w:numId="6" w16cid:durableId="344096040">
    <w:abstractNumId w:val="17"/>
  </w:num>
  <w:num w:numId="7" w16cid:durableId="1113287001">
    <w:abstractNumId w:val="9"/>
  </w:num>
  <w:num w:numId="8" w16cid:durableId="1631401959">
    <w:abstractNumId w:val="15"/>
  </w:num>
  <w:num w:numId="9" w16cid:durableId="591201020">
    <w:abstractNumId w:val="12"/>
  </w:num>
  <w:num w:numId="10" w16cid:durableId="645204287">
    <w:abstractNumId w:val="21"/>
  </w:num>
  <w:num w:numId="11" w16cid:durableId="1508133352">
    <w:abstractNumId w:val="8"/>
  </w:num>
  <w:num w:numId="12" w16cid:durableId="1889679253">
    <w:abstractNumId w:val="16"/>
  </w:num>
  <w:num w:numId="13" w16cid:durableId="325980482">
    <w:abstractNumId w:val="10"/>
  </w:num>
  <w:num w:numId="14" w16cid:durableId="1607613887">
    <w:abstractNumId w:val="18"/>
  </w:num>
  <w:num w:numId="15" w16cid:durableId="1411585931">
    <w:abstractNumId w:val="19"/>
  </w:num>
  <w:num w:numId="16" w16cid:durableId="3963235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49052023">
    <w:abstractNumId w:val="1"/>
  </w:num>
  <w:num w:numId="18" w16cid:durableId="2136944254">
    <w:abstractNumId w:val="0"/>
  </w:num>
  <w:num w:numId="19" w16cid:durableId="1710840828">
    <w:abstractNumId w:val="4"/>
  </w:num>
  <w:num w:numId="20" w16cid:durableId="548958047">
    <w:abstractNumId w:val="6"/>
  </w:num>
  <w:num w:numId="21" w16cid:durableId="1362589133">
    <w:abstractNumId w:val="5"/>
  </w:num>
  <w:num w:numId="22" w16cid:durableId="1044448189">
    <w:abstractNumId w:val="14"/>
  </w:num>
  <w:num w:numId="23" w16cid:durableId="81456264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D86"/>
    <w:rsid w:val="00001075"/>
    <w:rsid w:val="00015228"/>
    <w:rsid w:val="000252FA"/>
    <w:rsid w:val="000264E5"/>
    <w:rsid w:val="000307E4"/>
    <w:rsid w:val="00031276"/>
    <w:rsid w:val="00041144"/>
    <w:rsid w:val="00042603"/>
    <w:rsid w:val="00042E4B"/>
    <w:rsid w:val="00050E9A"/>
    <w:rsid w:val="00060089"/>
    <w:rsid w:val="00065D7E"/>
    <w:rsid w:val="00066C47"/>
    <w:rsid w:val="00070288"/>
    <w:rsid w:val="000710E8"/>
    <w:rsid w:val="000747FA"/>
    <w:rsid w:val="000869BE"/>
    <w:rsid w:val="0009035A"/>
    <w:rsid w:val="00090AC9"/>
    <w:rsid w:val="000910ED"/>
    <w:rsid w:val="00091898"/>
    <w:rsid w:val="000968F0"/>
    <w:rsid w:val="00096FCA"/>
    <w:rsid w:val="000A0600"/>
    <w:rsid w:val="000A114E"/>
    <w:rsid w:val="000A4C87"/>
    <w:rsid w:val="000A5113"/>
    <w:rsid w:val="000A6E42"/>
    <w:rsid w:val="000B0D43"/>
    <w:rsid w:val="000B2D03"/>
    <w:rsid w:val="000B521B"/>
    <w:rsid w:val="000B6B0E"/>
    <w:rsid w:val="000C13C2"/>
    <w:rsid w:val="000C35E9"/>
    <w:rsid w:val="000C66A9"/>
    <w:rsid w:val="000D2BDF"/>
    <w:rsid w:val="000D3E47"/>
    <w:rsid w:val="000D5F7E"/>
    <w:rsid w:val="000D68FC"/>
    <w:rsid w:val="000E30B7"/>
    <w:rsid w:val="000E5D36"/>
    <w:rsid w:val="000F67BD"/>
    <w:rsid w:val="00100A6D"/>
    <w:rsid w:val="001015D5"/>
    <w:rsid w:val="001017DC"/>
    <w:rsid w:val="00101C99"/>
    <w:rsid w:val="001049CF"/>
    <w:rsid w:val="001070BB"/>
    <w:rsid w:val="00111EFA"/>
    <w:rsid w:val="0011393E"/>
    <w:rsid w:val="00115575"/>
    <w:rsid w:val="001209AD"/>
    <w:rsid w:val="001216B5"/>
    <w:rsid w:val="00124911"/>
    <w:rsid w:val="00126659"/>
    <w:rsid w:val="0012698D"/>
    <w:rsid w:val="00127E9E"/>
    <w:rsid w:val="001311BA"/>
    <w:rsid w:val="00135121"/>
    <w:rsid w:val="00140F2B"/>
    <w:rsid w:val="00141334"/>
    <w:rsid w:val="00141605"/>
    <w:rsid w:val="00141703"/>
    <w:rsid w:val="00153D68"/>
    <w:rsid w:val="00156A2B"/>
    <w:rsid w:val="001601C3"/>
    <w:rsid w:val="00161B0F"/>
    <w:rsid w:val="00164AE2"/>
    <w:rsid w:val="00164E0B"/>
    <w:rsid w:val="0017100B"/>
    <w:rsid w:val="001711E6"/>
    <w:rsid w:val="00171CF8"/>
    <w:rsid w:val="00171FDF"/>
    <w:rsid w:val="00174EB3"/>
    <w:rsid w:val="001812F1"/>
    <w:rsid w:val="001821D9"/>
    <w:rsid w:val="00182C32"/>
    <w:rsid w:val="00186AD3"/>
    <w:rsid w:val="00186D37"/>
    <w:rsid w:val="001925F8"/>
    <w:rsid w:val="00192850"/>
    <w:rsid w:val="001A2296"/>
    <w:rsid w:val="001A5A3D"/>
    <w:rsid w:val="001A735D"/>
    <w:rsid w:val="001A76F7"/>
    <w:rsid w:val="001B2109"/>
    <w:rsid w:val="001B32C7"/>
    <w:rsid w:val="001C73EE"/>
    <w:rsid w:val="001D5EE7"/>
    <w:rsid w:val="001D6791"/>
    <w:rsid w:val="001E4FEC"/>
    <w:rsid w:val="001E7C2B"/>
    <w:rsid w:val="001F5243"/>
    <w:rsid w:val="001F6C16"/>
    <w:rsid w:val="00203D0D"/>
    <w:rsid w:val="00206D79"/>
    <w:rsid w:val="00210715"/>
    <w:rsid w:val="002126FF"/>
    <w:rsid w:val="0021372D"/>
    <w:rsid w:val="00216AC7"/>
    <w:rsid w:val="00221403"/>
    <w:rsid w:val="00222012"/>
    <w:rsid w:val="00222C01"/>
    <w:rsid w:val="00225B46"/>
    <w:rsid w:val="00227846"/>
    <w:rsid w:val="00231245"/>
    <w:rsid w:val="00231F20"/>
    <w:rsid w:val="0023302B"/>
    <w:rsid w:val="00233158"/>
    <w:rsid w:val="00237B77"/>
    <w:rsid w:val="00250E7B"/>
    <w:rsid w:val="00256D8F"/>
    <w:rsid w:val="00257C59"/>
    <w:rsid w:val="00260977"/>
    <w:rsid w:val="0027134B"/>
    <w:rsid w:val="00275876"/>
    <w:rsid w:val="0028343B"/>
    <w:rsid w:val="002858EF"/>
    <w:rsid w:val="002864AF"/>
    <w:rsid w:val="00291E04"/>
    <w:rsid w:val="002939AA"/>
    <w:rsid w:val="00295469"/>
    <w:rsid w:val="00297E9D"/>
    <w:rsid w:val="002A1454"/>
    <w:rsid w:val="002A1680"/>
    <w:rsid w:val="002A4FBE"/>
    <w:rsid w:val="002A795A"/>
    <w:rsid w:val="002B5EF6"/>
    <w:rsid w:val="002C0EB4"/>
    <w:rsid w:val="002C150D"/>
    <w:rsid w:val="002D2AD0"/>
    <w:rsid w:val="002D56FF"/>
    <w:rsid w:val="002E247F"/>
    <w:rsid w:val="002E3B1E"/>
    <w:rsid w:val="002E4267"/>
    <w:rsid w:val="002F16BF"/>
    <w:rsid w:val="002F6B8F"/>
    <w:rsid w:val="002F74B7"/>
    <w:rsid w:val="00304248"/>
    <w:rsid w:val="00304A5A"/>
    <w:rsid w:val="00307E6C"/>
    <w:rsid w:val="0031766F"/>
    <w:rsid w:val="00323B0D"/>
    <w:rsid w:val="00324DEF"/>
    <w:rsid w:val="0033035E"/>
    <w:rsid w:val="003308DC"/>
    <w:rsid w:val="003344C6"/>
    <w:rsid w:val="003361A3"/>
    <w:rsid w:val="0034229A"/>
    <w:rsid w:val="00342992"/>
    <w:rsid w:val="00346CD5"/>
    <w:rsid w:val="00354EC7"/>
    <w:rsid w:val="00356EE6"/>
    <w:rsid w:val="003600C7"/>
    <w:rsid w:val="00363448"/>
    <w:rsid w:val="00364147"/>
    <w:rsid w:val="00371331"/>
    <w:rsid w:val="00377EA0"/>
    <w:rsid w:val="00382AD9"/>
    <w:rsid w:val="00382F43"/>
    <w:rsid w:val="00383A2A"/>
    <w:rsid w:val="0038510E"/>
    <w:rsid w:val="00392CEF"/>
    <w:rsid w:val="00393ADF"/>
    <w:rsid w:val="003978F6"/>
    <w:rsid w:val="003A286E"/>
    <w:rsid w:val="003A36C6"/>
    <w:rsid w:val="003B2BD4"/>
    <w:rsid w:val="003B38A4"/>
    <w:rsid w:val="003B3DEE"/>
    <w:rsid w:val="003C2FC0"/>
    <w:rsid w:val="003D01F1"/>
    <w:rsid w:val="003D0B2A"/>
    <w:rsid w:val="003D38A5"/>
    <w:rsid w:val="003D601E"/>
    <w:rsid w:val="003E4335"/>
    <w:rsid w:val="003E529E"/>
    <w:rsid w:val="003E6E10"/>
    <w:rsid w:val="003E7648"/>
    <w:rsid w:val="003F10BB"/>
    <w:rsid w:val="003F2674"/>
    <w:rsid w:val="00400F6F"/>
    <w:rsid w:val="00407674"/>
    <w:rsid w:val="0041310A"/>
    <w:rsid w:val="0042168B"/>
    <w:rsid w:val="0042378B"/>
    <w:rsid w:val="00431F68"/>
    <w:rsid w:val="00441684"/>
    <w:rsid w:val="00447224"/>
    <w:rsid w:val="0045061E"/>
    <w:rsid w:val="004512E8"/>
    <w:rsid w:val="00451F27"/>
    <w:rsid w:val="004523CD"/>
    <w:rsid w:val="00452D84"/>
    <w:rsid w:val="00452DCE"/>
    <w:rsid w:val="0045537D"/>
    <w:rsid w:val="00455DB5"/>
    <w:rsid w:val="00462545"/>
    <w:rsid w:val="004626A0"/>
    <w:rsid w:val="00462FE2"/>
    <w:rsid w:val="00464403"/>
    <w:rsid w:val="00467CB0"/>
    <w:rsid w:val="00471B96"/>
    <w:rsid w:val="00471DF3"/>
    <w:rsid w:val="00472935"/>
    <w:rsid w:val="0047478B"/>
    <w:rsid w:val="00490398"/>
    <w:rsid w:val="00496A93"/>
    <w:rsid w:val="004A5A18"/>
    <w:rsid w:val="004A6A4F"/>
    <w:rsid w:val="004B4977"/>
    <w:rsid w:val="004B6881"/>
    <w:rsid w:val="004C5B1C"/>
    <w:rsid w:val="004D28B0"/>
    <w:rsid w:val="004D4D0A"/>
    <w:rsid w:val="004E0720"/>
    <w:rsid w:val="004E356B"/>
    <w:rsid w:val="004E7F19"/>
    <w:rsid w:val="004F3AEE"/>
    <w:rsid w:val="004F4A0B"/>
    <w:rsid w:val="004F5C31"/>
    <w:rsid w:val="004F5E56"/>
    <w:rsid w:val="004F6DE0"/>
    <w:rsid w:val="004F79AB"/>
    <w:rsid w:val="00501594"/>
    <w:rsid w:val="005037FE"/>
    <w:rsid w:val="00506E31"/>
    <w:rsid w:val="0051056C"/>
    <w:rsid w:val="00516AB2"/>
    <w:rsid w:val="00521A10"/>
    <w:rsid w:val="0052569A"/>
    <w:rsid w:val="0052624F"/>
    <w:rsid w:val="00530CA5"/>
    <w:rsid w:val="00532F3A"/>
    <w:rsid w:val="005432C2"/>
    <w:rsid w:val="00546182"/>
    <w:rsid w:val="00555361"/>
    <w:rsid w:val="00556F74"/>
    <w:rsid w:val="00560814"/>
    <w:rsid w:val="00563407"/>
    <w:rsid w:val="00566B83"/>
    <w:rsid w:val="00566BF6"/>
    <w:rsid w:val="00566DDA"/>
    <w:rsid w:val="005701CE"/>
    <w:rsid w:val="00574EF4"/>
    <w:rsid w:val="0057537F"/>
    <w:rsid w:val="00582CE9"/>
    <w:rsid w:val="00584753"/>
    <w:rsid w:val="00591C6D"/>
    <w:rsid w:val="00592D59"/>
    <w:rsid w:val="00596033"/>
    <w:rsid w:val="005A14D9"/>
    <w:rsid w:val="005A1F13"/>
    <w:rsid w:val="005B0091"/>
    <w:rsid w:val="005B19F7"/>
    <w:rsid w:val="005B42F2"/>
    <w:rsid w:val="005B69A9"/>
    <w:rsid w:val="005B750B"/>
    <w:rsid w:val="005C5C89"/>
    <w:rsid w:val="005D2AB9"/>
    <w:rsid w:val="005D456F"/>
    <w:rsid w:val="005D5018"/>
    <w:rsid w:val="005D61F2"/>
    <w:rsid w:val="005D7358"/>
    <w:rsid w:val="005E48CD"/>
    <w:rsid w:val="005E5CB1"/>
    <w:rsid w:val="005F628D"/>
    <w:rsid w:val="00601B65"/>
    <w:rsid w:val="00602E29"/>
    <w:rsid w:val="00603FE4"/>
    <w:rsid w:val="00610C72"/>
    <w:rsid w:val="006116B9"/>
    <w:rsid w:val="00611979"/>
    <w:rsid w:val="006155AE"/>
    <w:rsid w:val="00615A62"/>
    <w:rsid w:val="00626141"/>
    <w:rsid w:val="00633335"/>
    <w:rsid w:val="00637856"/>
    <w:rsid w:val="006430D4"/>
    <w:rsid w:val="006442F3"/>
    <w:rsid w:val="00655187"/>
    <w:rsid w:val="006620D1"/>
    <w:rsid w:val="00665E35"/>
    <w:rsid w:val="0066649B"/>
    <w:rsid w:val="00675201"/>
    <w:rsid w:val="0067566B"/>
    <w:rsid w:val="0069232E"/>
    <w:rsid w:val="006931CC"/>
    <w:rsid w:val="0069342C"/>
    <w:rsid w:val="00694718"/>
    <w:rsid w:val="006976A9"/>
    <w:rsid w:val="006A53F8"/>
    <w:rsid w:val="006A742B"/>
    <w:rsid w:val="006B2BC8"/>
    <w:rsid w:val="006B2F9D"/>
    <w:rsid w:val="006B4F55"/>
    <w:rsid w:val="006B5716"/>
    <w:rsid w:val="006C7F9F"/>
    <w:rsid w:val="006E19C8"/>
    <w:rsid w:val="006E649B"/>
    <w:rsid w:val="006E6BEB"/>
    <w:rsid w:val="006F18DC"/>
    <w:rsid w:val="006F2A4F"/>
    <w:rsid w:val="006F4935"/>
    <w:rsid w:val="006F4FA9"/>
    <w:rsid w:val="006F6951"/>
    <w:rsid w:val="007021A1"/>
    <w:rsid w:val="0070305E"/>
    <w:rsid w:val="0070319D"/>
    <w:rsid w:val="007034D0"/>
    <w:rsid w:val="007100C8"/>
    <w:rsid w:val="00712592"/>
    <w:rsid w:val="00713C5E"/>
    <w:rsid w:val="00714D6B"/>
    <w:rsid w:val="00715272"/>
    <w:rsid w:val="00715AB6"/>
    <w:rsid w:val="00720087"/>
    <w:rsid w:val="0072499B"/>
    <w:rsid w:val="007250C9"/>
    <w:rsid w:val="00732427"/>
    <w:rsid w:val="00732A4B"/>
    <w:rsid w:val="00733C1D"/>
    <w:rsid w:val="00733E40"/>
    <w:rsid w:val="00744264"/>
    <w:rsid w:val="00757365"/>
    <w:rsid w:val="0076029D"/>
    <w:rsid w:val="00760D00"/>
    <w:rsid w:val="007628B5"/>
    <w:rsid w:val="00766476"/>
    <w:rsid w:val="0076738C"/>
    <w:rsid w:val="007674A5"/>
    <w:rsid w:val="0077131A"/>
    <w:rsid w:val="00771553"/>
    <w:rsid w:val="00773FDD"/>
    <w:rsid w:val="0077444F"/>
    <w:rsid w:val="007761C9"/>
    <w:rsid w:val="00777CDD"/>
    <w:rsid w:val="007824CE"/>
    <w:rsid w:val="00782A64"/>
    <w:rsid w:val="007842E6"/>
    <w:rsid w:val="0078548C"/>
    <w:rsid w:val="00794ED4"/>
    <w:rsid w:val="00795DB8"/>
    <w:rsid w:val="007965B1"/>
    <w:rsid w:val="00797FEF"/>
    <w:rsid w:val="007B257D"/>
    <w:rsid w:val="007B2F4F"/>
    <w:rsid w:val="007B4FE1"/>
    <w:rsid w:val="007C25E7"/>
    <w:rsid w:val="007C5122"/>
    <w:rsid w:val="007C66FD"/>
    <w:rsid w:val="007D0FF9"/>
    <w:rsid w:val="007D22F5"/>
    <w:rsid w:val="007D79C4"/>
    <w:rsid w:val="007E2AC1"/>
    <w:rsid w:val="007E50D1"/>
    <w:rsid w:val="007E6834"/>
    <w:rsid w:val="00800BCC"/>
    <w:rsid w:val="00801B1B"/>
    <w:rsid w:val="00802900"/>
    <w:rsid w:val="00804B7D"/>
    <w:rsid w:val="008142DA"/>
    <w:rsid w:val="008162A8"/>
    <w:rsid w:val="00821551"/>
    <w:rsid w:val="00822FEF"/>
    <w:rsid w:val="00826766"/>
    <w:rsid w:val="008270AA"/>
    <w:rsid w:val="008326DB"/>
    <w:rsid w:val="0083385F"/>
    <w:rsid w:val="0083492B"/>
    <w:rsid w:val="0083499E"/>
    <w:rsid w:val="00841B92"/>
    <w:rsid w:val="0084232D"/>
    <w:rsid w:val="00844E45"/>
    <w:rsid w:val="00844F91"/>
    <w:rsid w:val="00851B0E"/>
    <w:rsid w:val="00851E49"/>
    <w:rsid w:val="00862B38"/>
    <w:rsid w:val="00862D04"/>
    <w:rsid w:val="008632A3"/>
    <w:rsid w:val="008714C1"/>
    <w:rsid w:val="00871F4E"/>
    <w:rsid w:val="00877968"/>
    <w:rsid w:val="00884545"/>
    <w:rsid w:val="00885D3E"/>
    <w:rsid w:val="00886FD4"/>
    <w:rsid w:val="00887F45"/>
    <w:rsid w:val="00891B9E"/>
    <w:rsid w:val="0089536A"/>
    <w:rsid w:val="008970C4"/>
    <w:rsid w:val="008A268E"/>
    <w:rsid w:val="008A66E0"/>
    <w:rsid w:val="008B2313"/>
    <w:rsid w:val="008B25F8"/>
    <w:rsid w:val="008B4BCC"/>
    <w:rsid w:val="008B701E"/>
    <w:rsid w:val="008C1517"/>
    <w:rsid w:val="008C5A1D"/>
    <w:rsid w:val="008C6BB3"/>
    <w:rsid w:val="008D41FE"/>
    <w:rsid w:val="008D490A"/>
    <w:rsid w:val="008F1AA4"/>
    <w:rsid w:val="008F7755"/>
    <w:rsid w:val="008F798E"/>
    <w:rsid w:val="00900740"/>
    <w:rsid w:val="0090114E"/>
    <w:rsid w:val="00910DF8"/>
    <w:rsid w:val="00920871"/>
    <w:rsid w:val="00924CE6"/>
    <w:rsid w:val="00926C28"/>
    <w:rsid w:val="00931537"/>
    <w:rsid w:val="009347CF"/>
    <w:rsid w:val="009412C4"/>
    <w:rsid w:val="00942E14"/>
    <w:rsid w:val="009440BF"/>
    <w:rsid w:val="00950E91"/>
    <w:rsid w:val="009535ED"/>
    <w:rsid w:val="00954C22"/>
    <w:rsid w:val="00961168"/>
    <w:rsid w:val="009620C0"/>
    <w:rsid w:val="009676D2"/>
    <w:rsid w:val="0097085B"/>
    <w:rsid w:val="00977DC2"/>
    <w:rsid w:val="00980342"/>
    <w:rsid w:val="0098038A"/>
    <w:rsid w:val="00986649"/>
    <w:rsid w:val="00986C18"/>
    <w:rsid w:val="009914BF"/>
    <w:rsid w:val="00994EA2"/>
    <w:rsid w:val="009970E2"/>
    <w:rsid w:val="009971DC"/>
    <w:rsid w:val="009A2843"/>
    <w:rsid w:val="009A4B72"/>
    <w:rsid w:val="009A6C55"/>
    <w:rsid w:val="009A77DA"/>
    <w:rsid w:val="009B02C7"/>
    <w:rsid w:val="009B40CF"/>
    <w:rsid w:val="009B5319"/>
    <w:rsid w:val="009B56D7"/>
    <w:rsid w:val="009C7042"/>
    <w:rsid w:val="009D6D72"/>
    <w:rsid w:val="009E55BD"/>
    <w:rsid w:val="009E5945"/>
    <w:rsid w:val="009E66CF"/>
    <w:rsid w:val="009E724B"/>
    <w:rsid w:val="009E7C72"/>
    <w:rsid w:val="009F35E7"/>
    <w:rsid w:val="009F364C"/>
    <w:rsid w:val="009F5A85"/>
    <w:rsid w:val="009F659C"/>
    <w:rsid w:val="00A00B06"/>
    <w:rsid w:val="00A02E26"/>
    <w:rsid w:val="00A10981"/>
    <w:rsid w:val="00A11658"/>
    <w:rsid w:val="00A1240D"/>
    <w:rsid w:val="00A22725"/>
    <w:rsid w:val="00A26824"/>
    <w:rsid w:val="00A40E96"/>
    <w:rsid w:val="00A45537"/>
    <w:rsid w:val="00A47DEB"/>
    <w:rsid w:val="00A50CA1"/>
    <w:rsid w:val="00A77BD5"/>
    <w:rsid w:val="00A8684B"/>
    <w:rsid w:val="00A87BAA"/>
    <w:rsid w:val="00A87C62"/>
    <w:rsid w:val="00A97256"/>
    <w:rsid w:val="00AA34ED"/>
    <w:rsid w:val="00AA3A37"/>
    <w:rsid w:val="00AB220C"/>
    <w:rsid w:val="00AB70A8"/>
    <w:rsid w:val="00AC164C"/>
    <w:rsid w:val="00AC3E49"/>
    <w:rsid w:val="00AD2768"/>
    <w:rsid w:val="00AE4D11"/>
    <w:rsid w:val="00AE5181"/>
    <w:rsid w:val="00AF0CE8"/>
    <w:rsid w:val="00AF10DE"/>
    <w:rsid w:val="00AF14D0"/>
    <w:rsid w:val="00AF17B1"/>
    <w:rsid w:val="00AF3E3C"/>
    <w:rsid w:val="00AF449A"/>
    <w:rsid w:val="00B01031"/>
    <w:rsid w:val="00B16378"/>
    <w:rsid w:val="00B212AF"/>
    <w:rsid w:val="00B2348F"/>
    <w:rsid w:val="00B241A8"/>
    <w:rsid w:val="00B254A8"/>
    <w:rsid w:val="00B31532"/>
    <w:rsid w:val="00B33A97"/>
    <w:rsid w:val="00B34F68"/>
    <w:rsid w:val="00B36153"/>
    <w:rsid w:val="00B4018B"/>
    <w:rsid w:val="00B40369"/>
    <w:rsid w:val="00B45797"/>
    <w:rsid w:val="00B5035B"/>
    <w:rsid w:val="00B51406"/>
    <w:rsid w:val="00B51E98"/>
    <w:rsid w:val="00B55DDB"/>
    <w:rsid w:val="00B57A18"/>
    <w:rsid w:val="00B629E3"/>
    <w:rsid w:val="00B62EFA"/>
    <w:rsid w:val="00B64640"/>
    <w:rsid w:val="00B6734D"/>
    <w:rsid w:val="00B67472"/>
    <w:rsid w:val="00B70A53"/>
    <w:rsid w:val="00B7745D"/>
    <w:rsid w:val="00B85B25"/>
    <w:rsid w:val="00B92004"/>
    <w:rsid w:val="00B9503B"/>
    <w:rsid w:val="00BA0B5D"/>
    <w:rsid w:val="00BA27FF"/>
    <w:rsid w:val="00BA4A48"/>
    <w:rsid w:val="00BB6CAC"/>
    <w:rsid w:val="00BC0B39"/>
    <w:rsid w:val="00BC108E"/>
    <w:rsid w:val="00BD28BD"/>
    <w:rsid w:val="00BD2AE9"/>
    <w:rsid w:val="00BE2D33"/>
    <w:rsid w:val="00BF4F7B"/>
    <w:rsid w:val="00BF5BE0"/>
    <w:rsid w:val="00C05583"/>
    <w:rsid w:val="00C07866"/>
    <w:rsid w:val="00C17189"/>
    <w:rsid w:val="00C20218"/>
    <w:rsid w:val="00C24FEB"/>
    <w:rsid w:val="00C25592"/>
    <w:rsid w:val="00C43FB3"/>
    <w:rsid w:val="00C47244"/>
    <w:rsid w:val="00C50A72"/>
    <w:rsid w:val="00C54AD6"/>
    <w:rsid w:val="00C651D0"/>
    <w:rsid w:val="00C74836"/>
    <w:rsid w:val="00C8403D"/>
    <w:rsid w:val="00C87850"/>
    <w:rsid w:val="00C9100A"/>
    <w:rsid w:val="00C94CBD"/>
    <w:rsid w:val="00C9696E"/>
    <w:rsid w:val="00C97BB5"/>
    <w:rsid w:val="00CA1A5E"/>
    <w:rsid w:val="00CA31A0"/>
    <w:rsid w:val="00CA508A"/>
    <w:rsid w:val="00CB2B9A"/>
    <w:rsid w:val="00CC1984"/>
    <w:rsid w:val="00CC26FF"/>
    <w:rsid w:val="00CC39E1"/>
    <w:rsid w:val="00CC6626"/>
    <w:rsid w:val="00CD58D8"/>
    <w:rsid w:val="00CE1153"/>
    <w:rsid w:val="00CE16EE"/>
    <w:rsid w:val="00CE2077"/>
    <w:rsid w:val="00CE38ED"/>
    <w:rsid w:val="00CE54D8"/>
    <w:rsid w:val="00CE7486"/>
    <w:rsid w:val="00CE7C5B"/>
    <w:rsid w:val="00CF2FE6"/>
    <w:rsid w:val="00CF3456"/>
    <w:rsid w:val="00D00F5B"/>
    <w:rsid w:val="00D054DE"/>
    <w:rsid w:val="00D06CD1"/>
    <w:rsid w:val="00D2288F"/>
    <w:rsid w:val="00D27F4D"/>
    <w:rsid w:val="00D30E0A"/>
    <w:rsid w:val="00D44A4A"/>
    <w:rsid w:val="00D45B15"/>
    <w:rsid w:val="00D50870"/>
    <w:rsid w:val="00D5157A"/>
    <w:rsid w:val="00D51A50"/>
    <w:rsid w:val="00D52A63"/>
    <w:rsid w:val="00D57362"/>
    <w:rsid w:val="00D60D6E"/>
    <w:rsid w:val="00D60DA4"/>
    <w:rsid w:val="00D61A4E"/>
    <w:rsid w:val="00D6227D"/>
    <w:rsid w:val="00D62A5D"/>
    <w:rsid w:val="00D7288F"/>
    <w:rsid w:val="00D84FD0"/>
    <w:rsid w:val="00D85064"/>
    <w:rsid w:val="00D86878"/>
    <w:rsid w:val="00D86F2E"/>
    <w:rsid w:val="00D93990"/>
    <w:rsid w:val="00D95C66"/>
    <w:rsid w:val="00D973EB"/>
    <w:rsid w:val="00DB6542"/>
    <w:rsid w:val="00DC00A3"/>
    <w:rsid w:val="00DC2214"/>
    <w:rsid w:val="00DC2703"/>
    <w:rsid w:val="00DC738B"/>
    <w:rsid w:val="00DD5184"/>
    <w:rsid w:val="00DE0A2C"/>
    <w:rsid w:val="00DE2789"/>
    <w:rsid w:val="00DE5DAA"/>
    <w:rsid w:val="00DE75C1"/>
    <w:rsid w:val="00DF245E"/>
    <w:rsid w:val="00DF647F"/>
    <w:rsid w:val="00DF7D86"/>
    <w:rsid w:val="00DF7F63"/>
    <w:rsid w:val="00E00B87"/>
    <w:rsid w:val="00E05E49"/>
    <w:rsid w:val="00E16F4C"/>
    <w:rsid w:val="00E271CF"/>
    <w:rsid w:val="00E434BC"/>
    <w:rsid w:val="00E4699B"/>
    <w:rsid w:val="00E50D55"/>
    <w:rsid w:val="00E542CD"/>
    <w:rsid w:val="00E5593E"/>
    <w:rsid w:val="00E60768"/>
    <w:rsid w:val="00E63120"/>
    <w:rsid w:val="00E638A7"/>
    <w:rsid w:val="00E81568"/>
    <w:rsid w:val="00E84C3D"/>
    <w:rsid w:val="00E94262"/>
    <w:rsid w:val="00E9522A"/>
    <w:rsid w:val="00E97D41"/>
    <w:rsid w:val="00EA1B3B"/>
    <w:rsid w:val="00EA3579"/>
    <w:rsid w:val="00EA3A79"/>
    <w:rsid w:val="00EB2D33"/>
    <w:rsid w:val="00EB3484"/>
    <w:rsid w:val="00EB5319"/>
    <w:rsid w:val="00EC38D0"/>
    <w:rsid w:val="00EC4423"/>
    <w:rsid w:val="00EC72DF"/>
    <w:rsid w:val="00EC7D5C"/>
    <w:rsid w:val="00ED7F90"/>
    <w:rsid w:val="00EE5460"/>
    <w:rsid w:val="00EE5E81"/>
    <w:rsid w:val="00EF4946"/>
    <w:rsid w:val="00EF69E9"/>
    <w:rsid w:val="00F00CBF"/>
    <w:rsid w:val="00F0476A"/>
    <w:rsid w:val="00F05A90"/>
    <w:rsid w:val="00F15FEC"/>
    <w:rsid w:val="00F1651D"/>
    <w:rsid w:val="00F169E1"/>
    <w:rsid w:val="00F17F1C"/>
    <w:rsid w:val="00F248D5"/>
    <w:rsid w:val="00F25FE5"/>
    <w:rsid w:val="00F31C38"/>
    <w:rsid w:val="00F35B3A"/>
    <w:rsid w:val="00F41AC8"/>
    <w:rsid w:val="00F525B3"/>
    <w:rsid w:val="00F52F26"/>
    <w:rsid w:val="00F53669"/>
    <w:rsid w:val="00F53BAA"/>
    <w:rsid w:val="00F54BBC"/>
    <w:rsid w:val="00F57138"/>
    <w:rsid w:val="00F571FE"/>
    <w:rsid w:val="00F6329A"/>
    <w:rsid w:val="00F65C51"/>
    <w:rsid w:val="00F66656"/>
    <w:rsid w:val="00F75150"/>
    <w:rsid w:val="00F769AE"/>
    <w:rsid w:val="00F80750"/>
    <w:rsid w:val="00F8237D"/>
    <w:rsid w:val="00F82809"/>
    <w:rsid w:val="00F91378"/>
    <w:rsid w:val="00F91857"/>
    <w:rsid w:val="00F91B1D"/>
    <w:rsid w:val="00F9450C"/>
    <w:rsid w:val="00FA1532"/>
    <w:rsid w:val="00FA4D54"/>
    <w:rsid w:val="00FB4D4E"/>
    <w:rsid w:val="00FB75F5"/>
    <w:rsid w:val="00FC1E84"/>
    <w:rsid w:val="00FC6E48"/>
    <w:rsid w:val="00FD6179"/>
    <w:rsid w:val="00FD7F39"/>
    <w:rsid w:val="00FE1B6F"/>
    <w:rsid w:val="00FE2BD2"/>
    <w:rsid w:val="00FE4E67"/>
    <w:rsid w:val="00FE5EC3"/>
    <w:rsid w:val="00FE7780"/>
    <w:rsid w:val="00FE7A0A"/>
    <w:rsid w:val="00FF40BD"/>
    <w:rsid w:val="00FF59B3"/>
    <w:rsid w:val="00FF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E1D6F4"/>
  <w15:docId w15:val="{B0BD1501-3802-4BEE-B3E4-903351449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  <w:lang w:val="es-ES_tradnl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FA1532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712592"/>
    <w:rPr>
      <w:sz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12592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712592"/>
    <w:rPr>
      <w:vertAlign w:val="superscript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F8237D"/>
    <w:pPr>
      <w:spacing w:after="160"/>
    </w:pPr>
    <w:rPr>
      <w:rFonts w:asciiTheme="minorHAnsi" w:eastAsia="MS Mincho" w:hAnsiTheme="minorHAnsi" w:cstheme="minorBidi"/>
      <w:sz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sid w:val="00F8237D"/>
    <w:rPr>
      <w:rFonts w:asciiTheme="minorHAnsi" w:eastAsia="MS Mincho" w:hAnsiTheme="minorHAnsi" w:cstheme="minorBidi"/>
      <w:sz w:val="20"/>
      <w:szCs w:val="20"/>
      <w:lang w:val="en-US"/>
    </w:rPr>
  </w:style>
  <w:style w:type="paragraph" w:customStyle="1" w:styleId="footnotedescription">
    <w:name w:val="footnote description"/>
    <w:next w:val="Normal"/>
    <w:link w:val="footnotedescriptionChar"/>
    <w:hidden/>
    <w:rsid w:val="00D054DE"/>
    <w:pPr>
      <w:spacing w:line="259" w:lineRule="auto"/>
      <w:ind w:left="33"/>
    </w:pPr>
    <w:rPr>
      <w:color w:val="000000"/>
      <w:kern w:val="2"/>
      <w:sz w:val="22"/>
      <w:lang w:val="en-US"/>
      <w14:ligatures w14:val="standardContextual"/>
    </w:rPr>
  </w:style>
  <w:style w:type="character" w:customStyle="1" w:styleId="footnotedescriptionChar">
    <w:name w:val="footnote description Char"/>
    <w:link w:val="footnotedescription"/>
    <w:rsid w:val="00D054DE"/>
    <w:rPr>
      <w:color w:val="000000"/>
      <w:kern w:val="2"/>
      <w:sz w:val="22"/>
      <w:lang w:val="en-US"/>
      <w14:ligatures w14:val="standardContextual"/>
    </w:rPr>
  </w:style>
  <w:style w:type="character" w:customStyle="1" w:styleId="footnotemark">
    <w:name w:val="footnote mark"/>
    <w:hidden/>
    <w:rsid w:val="00D054DE"/>
    <w:rPr>
      <w:rFonts w:ascii="Times New Roman" w:eastAsia="Times New Roman" w:hAnsi="Times New Roman" w:cs="Times New Roman"/>
      <w:color w:val="000000"/>
      <w:sz w:val="16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5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7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88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09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6162">
                      <w:blockQuote w:val="1"/>
                      <w:marLeft w:val="300"/>
                      <w:marRight w:val="30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211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526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86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66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706432">
                      <w:blockQuote w:val="1"/>
                      <w:marLeft w:val="300"/>
                      <w:marRight w:val="30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157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53156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790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17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35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927188">
                      <w:blockQuote w:val="1"/>
                      <w:marLeft w:val="300"/>
                      <w:marRight w:val="30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673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1343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23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23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770586">
                      <w:blockQuote w:val="1"/>
                      <w:marLeft w:val="300"/>
                      <w:marRight w:val="30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5184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9652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0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J/PAJHcphl+aOKL+MDyaKVwvgg==">AMUW2mVJGkVif2c7DnMvYSnUsjiTH77BrzEe0TUsF2AoRvrE35M9cs6uY90hO6RjZ0YCJXmkxSRdF2bureosVWuQ0/U8ChJc0H20Q3rH7VrDjil9Pfo1CMJjFENhf5q/SNwlYLZk3JDMG0ZwMuC/cwOAA9fsEhPHjtqr8j+4czSp2F80DOMITOeYKltaxzwddg4AGAUjsWws</go:docsCustomData>
</go:gDocsCustomXmlDataStorage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9484cdd10eef6821e7a2116adad4312d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c7ec3bc38ad9f4e43066aab6f090bf11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FA5204A-FFE3-43F9-ABCE-A43C203B1C4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E6BDCFE0-9650-4D1F-A08D-558ADABB5F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6913849-C343-4A28-BCFA-859AC0DF1C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86A1827-AC6E-4689-A048-AD2A8E693742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782</Words>
  <Characters>3981</Characters>
  <Application>Microsoft Office Word</Application>
  <DocSecurity>4</DocSecurity>
  <Lines>82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Yadira Saavedra</dc:creator>
  <cp:keywords/>
  <dc:description/>
  <cp:lastModifiedBy>Camyl Moreno Pantojas</cp:lastModifiedBy>
  <cp:revision>2</cp:revision>
  <cp:lastPrinted>2026-02-12T13:21:00Z</cp:lastPrinted>
  <dcterms:created xsi:type="dcterms:W3CDTF">2026-03-19T17:50:00Z</dcterms:created>
  <dcterms:modified xsi:type="dcterms:W3CDTF">2026-03-19T17:50:00Z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</Properties>
</file>