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74C5D" w14:textId="77777777" w:rsidR="00A80022" w:rsidRPr="00C76F69" w:rsidRDefault="009D110C">
      <w:pPr>
        <w:jc w:val="center"/>
        <w:rPr>
          <w:rFonts w:ascii="Book Antiqua" w:hAnsi="Book Antiqua"/>
          <w:sz w:val="28"/>
          <w:szCs w:val="28"/>
          <w:lang w:val="es-PR"/>
        </w:rPr>
      </w:pPr>
      <w:r w:rsidRPr="00C76F69">
        <w:rPr>
          <w:rFonts w:ascii="Book Antiqua" w:hAnsi="Book Antiqua"/>
          <w:sz w:val="28"/>
          <w:szCs w:val="28"/>
          <w:lang w:val="es-PR"/>
        </w:rPr>
        <w:t>GOBIERNO DE PUERTO RICO</w:t>
      </w:r>
    </w:p>
    <w:p w14:paraId="47274C5E" w14:textId="77777777" w:rsidR="00A80022" w:rsidRPr="00C76F69" w:rsidRDefault="00A80022">
      <w:pPr>
        <w:jc w:val="center"/>
        <w:rPr>
          <w:rFonts w:ascii="Book Antiqua" w:hAnsi="Book Antiqua"/>
          <w:lang w:val="es-PR"/>
        </w:rPr>
      </w:pPr>
    </w:p>
    <w:p w14:paraId="47274C5F" w14:textId="56958DCD" w:rsidR="00A80022" w:rsidRPr="00C76F69" w:rsidRDefault="009D110C">
      <w:pPr>
        <w:pStyle w:val="Title2"/>
        <w:tabs>
          <w:tab w:val="clear" w:pos="648"/>
          <w:tab w:val="clear" w:pos="7776"/>
          <w:tab w:val="clear" w:pos="7848"/>
        </w:tabs>
        <w:rPr>
          <w:rFonts w:ascii="Book Antiqua" w:hAnsi="Book Antiqua"/>
          <w:lang w:val="es-PR"/>
        </w:rPr>
      </w:pPr>
      <w:r w:rsidRPr="00C76F69">
        <w:rPr>
          <w:rFonts w:ascii="Book Antiqua" w:hAnsi="Book Antiqua"/>
          <w:lang w:val="es-PR"/>
        </w:rPr>
        <w:t>20ma. Asamblea</w:t>
      </w:r>
      <w:r w:rsidRPr="00C76F69">
        <w:rPr>
          <w:rFonts w:ascii="Book Antiqua" w:hAnsi="Book Antiqua"/>
          <w:lang w:val="es-PR"/>
        </w:rPr>
        <w:tab/>
        <w:t xml:space="preserve"> </w:t>
      </w:r>
      <w:r w:rsidRPr="00C76F69">
        <w:rPr>
          <w:rFonts w:ascii="Book Antiqua" w:hAnsi="Book Antiqua"/>
          <w:lang w:val="es-PR"/>
        </w:rPr>
        <w:tab/>
        <w:t xml:space="preserve">                                                                                   </w:t>
      </w:r>
      <w:r w:rsidR="00EE135B">
        <w:rPr>
          <w:rFonts w:ascii="Book Antiqua" w:hAnsi="Book Antiqua"/>
          <w:lang w:val="es-PR"/>
        </w:rPr>
        <w:t>3r</w:t>
      </w:r>
      <w:r w:rsidRPr="00C76F69">
        <w:rPr>
          <w:rFonts w:ascii="Book Antiqua" w:hAnsi="Book Antiqua"/>
          <w:lang w:val="es-PR"/>
        </w:rPr>
        <w:t>a. Sesión</w:t>
      </w:r>
    </w:p>
    <w:p w14:paraId="47274C60" w14:textId="77777777" w:rsidR="00A80022" w:rsidRPr="00C76F69" w:rsidRDefault="009D110C">
      <w:pPr>
        <w:pStyle w:val="Title2"/>
        <w:tabs>
          <w:tab w:val="clear" w:pos="648"/>
          <w:tab w:val="clear" w:pos="7776"/>
          <w:tab w:val="clear" w:pos="7848"/>
          <w:tab w:val="left" w:pos="540"/>
        </w:tabs>
        <w:rPr>
          <w:rFonts w:ascii="Book Antiqua" w:hAnsi="Book Antiqua"/>
          <w:lang w:val="es-PR"/>
        </w:rPr>
      </w:pPr>
      <w:r w:rsidRPr="00C76F69">
        <w:rPr>
          <w:rFonts w:ascii="Book Antiqua" w:hAnsi="Book Antiqua"/>
          <w:lang w:val="es-PR"/>
        </w:rPr>
        <w:tab/>
        <w:t xml:space="preserve">  Legislativa</w:t>
      </w:r>
      <w:r w:rsidRPr="00C76F69">
        <w:rPr>
          <w:rFonts w:ascii="Book Antiqua" w:hAnsi="Book Antiqua"/>
          <w:lang w:val="es-PR"/>
        </w:rPr>
        <w:tab/>
      </w:r>
      <w:r w:rsidRPr="00C76F69">
        <w:rPr>
          <w:rFonts w:ascii="Book Antiqua" w:hAnsi="Book Antiqua"/>
          <w:lang w:val="es-PR"/>
        </w:rPr>
        <w:tab/>
        <w:t xml:space="preserve">                                                                                          Ordinaria</w:t>
      </w:r>
    </w:p>
    <w:p w14:paraId="47274C61" w14:textId="77777777" w:rsidR="00A80022" w:rsidRPr="00C76F69" w:rsidRDefault="00A80022">
      <w:pPr>
        <w:jc w:val="center"/>
        <w:rPr>
          <w:rFonts w:ascii="Book Antiqua" w:hAnsi="Book Antiqua"/>
          <w:lang w:val="es-PR"/>
        </w:rPr>
      </w:pPr>
    </w:p>
    <w:p w14:paraId="47274C62" w14:textId="77777777" w:rsidR="00A80022" w:rsidRPr="00C76F69" w:rsidRDefault="009D110C">
      <w:pPr>
        <w:jc w:val="center"/>
        <w:rPr>
          <w:rFonts w:ascii="Book Antiqua" w:hAnsi="Book Antiqua"/>
          <w:b/>
          <w:sz w:val="36"/>
          <w:szCs w:val="36"/>
          <w:lang w:val="es-PR"/>
        </w:rPr>
      </w:pPr>
      <w:r w:rsidRPr="00C76F69">
        <w:rPr>
          <w:rFonts w:ascii="Book Antiqua" w:hAnsi="Book Antiqua"/>
          <w:b/>
          <w:sz w:val="36"/>
          <w:szCs w:val="36"/>
          <w:lang w:val="es-PR"/>
        </w:rPr>
        <w:t>CÁMARA DE REPRESENTANTES</w:t>
      </w:r>
    </w:p>
    <w:p w14:paraId="47274C63" w14:textId="77777777" w:rsidR="00A80022" w:rsidRPr="00C76F69" w:rsidRDefault="00A80022">
      <w:pPr>
        <w:jc w:val="center"/>
        <w:rPr>
          <w:rFonts w:ascii="Book Antiqua" w:hAnsi="Book Antiqua"/>
          <w:b/>
          <w:lang w:val="es-PR"/>
        </w:rPr>
      </w:pPr>
    </w:p>
    <w:p w14:paraId="47274C64" w14:textId="27387763" w:rsidR="00A80022" w:rsidRPr="00C76F69" w:rsidRDefault="009D110C">
      <w:pPr>
        <w:jc w:val="center"/>
        <w:rPr>
          <w:rFonts w:ascii="Book Antiqua" w:hAnsi="Book Antiqua"/>
          <w:b/>
          <w:sz w:val="52"/>
          <w:szCs w:val="52"/>
          <w:lang w:val="es-PR"/>
        </w:rPr>
      </w:pPr>
      <w:r w:rsidRPr="00C76F69">
        <w:rPr>
          <w:rFonts w:ascii="Book Antiqua" w:hAnsi="Book Antiqua"/>
          <w:b/>
          <w:sz w:val="52"/>
          <w:szCs w:val="52"/>
          <w:lang w:val="es-PR"/>
        </w:rPr>
        <w:t>P. de la C.</w:t>
      </w:r>
      <w:r w:rsidR="00B33FF9">
        <w:rPr>
          <w:rFonts w:ascii="Book Antiqua" w:hAnsi="Book Antiqua"/>
          <w:b/>
          <w:sz w:val="52"/>
          <w:szCs w:val="52"/>
          <w:lang w:val="es-PR"/>
        </w:rPr>
        <w:t xml:space="preserve"> 1030</w:t>
      </w:r>
    </w:p>
    <w:p w14:paraId="47274C65" w14:textId="77777777" w:rsidR="00A80022" w:rsidRPr="00C76F69" w:rsidRDefault="00A80022">
      <w:pPr>
        <w:jc w:val="center"/>
        <w:rPr>
          <w:rFonts w:ascii="Book Antiqua" w:hAnsi="Book Antiqua"/>
          <w:lang w:val="es-PR"/>
        </w:rPr>
      </w:pPr>
    </w:p>
    <w:p w14:paraId="47274C66" w14:textId="22445115" w:rsidR="00A80022" w:rsidRPr="00C76F69" w:rsidRDefault="008052C8">
      <w:pPr>
        <w:jc w:val="center"/>
        <w:rPr>
          <w:rFonts w:ascii="Book Antiqua" w:hAnsi="Book Antiqua"/>
          <w:lang w:val="es-PR"/>
        </w:rPr>
      </w:pPr>
      <w:r>
        <w:rPr>
          <w:rFonts w:ascii="Book Antiqua" w:hAnsi="Book Antiqua"/>
          <w:lang w:val="es-PR"/>
        </w:rPr>
        <w:t xml:space="preserve">12 </w:t>
      </w:r>
      <w:r w:rsidRPr="00C76F69">
        <w:rPr>
          <w:rFonts w:ascii="Book Antiqua" w:hAnsi="Book Antiqua"/>
          <w:lang w:val="es-PR"/>
        </w:rPr>
        <w:t xml:space="preserve">DE </w:t>
      </w:r>
      <w:r>
        <w:rPr>
          <w:rFonts w:ascii="Book Antiqua" w:hAnsi="Book Antiqua"/>
          <w:lang w:val="es-PR"/>
        </w:rPr>
        <w:t>ENERO</w:t>
      </w:r>
      <w:r w:rsidRPr="00C76F69">
        <w:rPr>
          <w:rFonts w:ascii="Book Antiqua" w:hAnsi="Book Antiqua"/>
          <w:lang w:val="es-PR"/>
        </w:rPr>
        <w:t xml:space="preserve"> DE 202</w:t>
      </w:r>
      <w:r>
        <w:rPr>
          <w:rFonts w:ascii="Book Antiqua" w:hAnsi="Book Antiqua"/>
          <w:lang w:val="es-PR"/>
        </w:rPr>
        <w:t>6</w:t>
      </w:r>
    </w:p>
    <w:p w14:paraId="47274C67" w14:textId="77777777" w:rsidR="00A80022" w:rsidRPr="00C76F69" w:rsidRDefault="00A80022">
      <w:pPr>
        <w:jc w:val="center"/>
        <w:rPr>
          <w:rFonts w:ascii="Book Antiqua" w:hAnsi="Book Antiqua"/>
          <w:lang w:val="es-PR"/>
        </w:rPr>
      </w:pPr>
    </w:p>
    <w:p w14:paraId="47274C69" w14:textId="4860A722" w:rsidR="00A80022" w:rsidRDefault="008052C8" w:rsidP="008052C8">
      <w:pPr>
        <w:ind w:left="720" w:hanging="720"/>
        <w:jc w:val="both"/>
        <w:rPr>
          <w:rFonts w:ascii="Book Antiqua" w:eastAsia="Book Antiqua" w:hAnsi="Book Antiqua" w:cs="Book Antiqua"/>
          <w:i/>
          <w:iCs/>
          <w:color w:val="000000" w:themeColor="text1"/>
          <w:lang w:val="es-PR"/>
        </w:rPr>
      </w:pPr>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r w:rsidRPr="00124644">
        <w:rPr>
          <w:rFonts w:ascii="Book Antiqua" w:eastAsia="Book Antiqua" w:hAnsi="Book Antiqua" w:cs="Book Antiqua"/>
          <w:i/>
          <w:iCs/>
          <w:color w:val="000000" w:themeColor="text1"/>
          <w:lang w:val="es-PR"/>
        </w:rPr>
        <w:t>  </w:t>
      </w:r>
    </w:p>
    <w:p w14:paraId="74952996" w14:textId="77777777" w:rsidR="008052C8" w:rsidRPr="00C76F69" w:rsidRDefault="008052C8" w:rsidP="008052C8">
      <w:pPr>
        <w:ind w:left="720" w:hanging="720"/>
        <w:jc w:val="both"/>
        <w:rPr>
          <w:rFonts w:ascii="Book Antiqua" w:hAnsi="Book Antiqua"/>
          <w:lang w:val="es-PR"/>
        </w:rPr>
      </w:pPr>
    </w:p>
    <w:p w14:paraId="47274C6A" w14:textId="3B01D6BB" w:rsidR="00A80022" w:rsidRPr="00C76F69" w:rsidRDefault="0052522A">
      <w:pPr>
        <w:jc w:val="center"/>
        <w:rPr>
          <w:rFonts w:ascii="Book Antiqua" w:hAnsi="Book Antiqua"/>
          <w:lang w:val="es-PR"/>
        </w:rPr>
      </w:pPr>
      <w:r w:rsidRPr="0052522A">
        <w:rPr>
          <w:rFonts w:ascii="Book Antiqua" w:hAnsi="Book Antiqua"/>
          <w:lang w:val="es-PR"/>
        </w:rPr>
        <w:t xml:space="preserve">Referido a la Comisión de </w:t>
      </w:r>
      <w:r w:rsidR="00F268B3">
        <w:rPr>
          <w:rFonts w:ascii="Book Antiqua" w:hAnsi="Book Antiqua"/>
          <w:lang w:val="es-PR"/>
        </w:rPr>
        <w:t>Gobierno</w:t>
      </w:r>
    </w:p>
    <w:p w14:paraId="47274C6B" w14:textId="77777777" w:rsidR="00A80022" w:rsidRPr="00C76F69" w:rsidRDefault="00A80022">
      <w:pPr>
        <w:suppressLineNumbers/>
        <w:tabs>
          <w:tab w:val="left" w:pos="-720"/>
          <w:tab w:val="left" w:pos="0"/>
          <w:tab w:val="left" w:pos="2880"/>
          <w:tab w:val="left" w:pos="8100"/>
        </w:tabs>
        <w:ind w:right="720"/>
        <w:jc w:val="center"/>
        <w:rPr>
          <w:rFonts w:ascii="Book Antiqua" w:hAnsi="Book Antiqua"/>
          <w:lang w:val="es-PR"/>
        </w:rPr>
      </w:pPr>
    </w:p>
    <w:p w14:paraId="47274C6C" w14:textId="318D25A6" w:rsidR="00A80022" w:rsidRPr="00C76F69" w:rsidRDefault="008052C8">
      <w:pPr>
        <w:pStyle w:val="Heading6"/>
        <w:rPr>
          <w:rFonts w:ascii="Book Antiqua" w:hAnsi="Book Antiqua"/>
          <w:b/>
          <w:szCs w:val="28"/>
          <w:lang w:val="es-PR"/>
        </w:rPr>
      </w:pPr>
      <w:r>
        <w:rPr>
          <w:rFonts w:ascii="Book Antiqua" w:hAnsi="Book Antiqua"/>
          <w:b/>
          <w:szCs w:val="28"/>
          <w:lang w:val="es-PR"/>
        </w:rPr>
        <w:tab/>
      </w:r>
      <w:r w:rsidR="009D110C" w:rsidRPr="00C76F69">
        <w:rPr>
          <w:rFonts w:ascii="Book Antiqua" w:hAnsi="Book Antiqua"/>
          <w:b/>
          <w:szCs w:val="28"/>
          <w:lang w:val="es-PR"/>
        </w:rPr>
        <w:t>LEY</w:t>
      </w:r>
    </w:p>
    <w:p w14:paraId="47274C6D" w14:textId="77777777" w:rsidR="00A80022" w:rsidRPr="00C76F69" w:rsidRDefault="00A80022">
      <w:pPr>
        <w:ind w:left="720"/>
        <w:jc w:val="both"/>
        <w:rPr>
          <w:rFonts w:ascii="Book Antiqua" w:hAnsi="Book Antiqua"/>
          <w:lang w:val="es-PR"/>
        </w:rPr>
      </w:pPr>
    </w:p>
    <w:p w14:paraId="47274C6E" w14:textId="04ABC8EE" w:rsidR="00A80022" w:rsidRPr="00C76F69" w:rsidRDefault="009D110C">
      <w:pPr>
        <w:ind w:left="540" w:hanging="540"/>
        <w:jc w:val="both"/>
        <w:rPr>
          <w:rFonts w:ascii="Book Antiqua" w:hAnsi="Book Antiqua"/>
          <w:lang w:val="es-PR"/>
        </w:rPr>
      </w:pPr>
      <w:r w:rsidRPr="00C76F69">
        <w:rPr>
          <w:rFonts w:ascii="Book Antiqua" w:hAnsi="Book Antiqua"/>
          <w:lang w:val="es-PR"/>
        </w:rPr>
        <w:t xml:space="preserve">Para </w:t>
      </w:r>
      <w:r w:rsidR="002B045B">
        <w:rPr>
          <w:rFonts w:ascii="Book Antiqua" w:hAnsi="Book Antiqua"/>
          <w:lang w:val="es-PR"/>
        </w:rPr>
        <w:t>crear</w:t>
      </w:r>
      <w:r w:rsidRPr="00C76F69">
        <w:rPr>
          <w:rFonts w:ascii="Book Antiqua" w:hAnsi="Book Antiqua"/>
          <w:lang w:val="es-PR"/>
        </w:rPr>
        <w:t xml:space="preserve"> la Ley de Reflexión y Meditación en los Departamentos, Agencias, Negociados, Oficinas y Corporaciones Públicas del Gobierno de Puerto Rico; establecer </w:t>
      </w:r>
      <w:r w:rsidR="002B045B">
        <w:rPr>
          <w:rFonts w:ascii="Book Antiqua" w:hAnsi="Book Antiqua"/>
          <w:lang w:val="es-PR"/>
        </w:rPr>
        <w:t xml:space="preserve">la política pública del Gobierno de Puerto Rico; </w:t>
      </w:r>
      <w:r w:rsidRPr="00C76F69">
        <w:rPr>
          <w:rFonts w:ascii="Book Antiqua" w:hAnsi="Book Antiqua"/>
          <w:lang w:val="es-PR"/>
        </w:rPr>
        <w:t>disposiciones administrativas</w:t>
      </w:r>
      <w:r w:rsidR="00E8612E">
        <w:rPr>
          <w:rFonts w:ascii="Book Antiqua" w:hAnsi="Book Antiqua"/>
          <w:lang w:val="es-PR"/>
        </w:rPr>
        <w:t>;</w:t>
      </w:r>
      <w:r w:rsidRPr="00C76F69">
        <w:rPr>
          <w:rFonts w:ascii="Book Antiqua" w:hAnsi="Book Antiqua"/>
          <w:lang w:val="es-PR"/>
        </w:rPr>
        <w:t xml:space="preserve"> y para otros fines relacionados. </w:t>
      </w:r>
    </w:p>
    <w:p w14:paraId="47274C6F" w14:textId="77777777" w:rsidR="00A80022" w:rsidRPr="00C76F69" w:rsidRDefault="00A80022">
      <w:pPr>
        <w:rPr>
          <w:rFonts w:ascii="Book Antiqua" w:hAnsi="Book Antiqua"/>
          <w:lang w:val="es-PR"/>
        </w:rPr>
      </w:pPr>
    </w:p>
    <w:p w14:paraId="47274C71" w14:textId="2B56A3C8" w:rsidR="00A80022" w:rsidRDefault="009D110C">
      <w:pPr>
        <w:jc w:val="center"/>
        <w:rPr>
          <w:rFonts w:ascii="Book Antiqua" w:hAnsi="Book Antiqua"/>
          <w:lang w:val="es-PR"/>
        </w:rPr>
      </w:pPr>
      <w:r w:rsidRPr="00C76F69">
        <w:rPr>
          <w:rFonts w:ascii="Book Antiqua" w:hAnsi="Book Antiqua"/>
          <w:lang w:val="es-PR"/>
        </w:rPr>
        <w:t>EXPOSICIÓN DE MOTIVOS</w:t>
      </w:r>
    </w:p>
    <w:p w14:paraId="6BE44516" w14:textId="77777777" w:rsidR="0052522A" w:rsidRPr="00C76F69" w:rsidRDefault="0052522A">
      <w:pPr>
        <w:jc w:val="center"/>
        <w:rPr>
          <w:rFonts w:ascii="Book Antiqua" w:hAnsi="Book Antiqua"/>
          <w:lang w:val="es-PR"/>
        </w:rPr>
      </w:pPr>
    </w:p>
    <w:p w14:paraId="47274C72" w14:textId="0EEA0FB9" w:rsidR="00A80022" w:rsidRPr="00C76F69" w:rsidRDefault="008052C8">
      <w:pPr>
        <w:jc w:val="both"/>
        <w:rPr>
          <w:rFonts w:ascii="Book Antiqua" w:hAnsi="Book Antiqua"/>
          <w:lang w:val="es-PR"/>
        </w:rPr>
      </w:pPr>
      <w:bookmarkStart w:id="0" w:name="_Hlk206434827"/>
      <w:r>
        <w:rPr>
          <w:rFonts w:ascii="Book Antiqua" w:hAnsi="Book Antiqua"/>
          <w:lang w:val="es-PR"/>
        </w:rPr>
        <w:tab/>
      </w:r>
      <w:r w:rsidR="009D110C" w:rsidRPr="00C76F69">
        <w:rPr>
          <w:rFonts w:ascii="Book Antiqua" w:hAnsi="Book Antiqua"/>
          <w:lang w:val="es-PR"/>
        </w:rPr>
        <w:t>Esta Administración tiene el compromiso firme de fomentar una convivencia armoniosa y de respeto a la ley, a la vida y los valores de nuestra sociedad de forma compatible con los derechos constitucionales de nuestros ciudadanos.</w:t>
      </w:r>
    </w:p>
    <w:p w14:paraId="47274C73" w14:textId="77777777" w:rsidR="00A80022" w:rsidRPr="00C76F69" w:rsidRDefault="00A80022">
      <w:pPr>
        <w:jc w:val="both"/>
        <w:rPr>
          <w:rFonts w:ascii="Book Antiqua" w:hAnsi="Book Antiqua"/>
          <w:lang w:val="es-PR"/>
        </w:rPr>
      </w:pPr>
    </w:p>
    <w:p w14:paraId="47274C74" w14:textId="4469EB72"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 xml:space="preserve">A esos efectos, esta Administración cumplió con su promesa de campaña de establecer la “Ley del Derecho Fundamental a la Libertad Religiosa en Puerto Rico”, Ley 14-2025. Dicha ley reconoce el derecho fundamental que cobija a todo ciudadano, incluyendo empleados y funcionarios de las tres ramas de Gobierno, profesionales </w:t>
      </w:r>
      <w:r w:rsidR="009D110C" w:rsidRPr="00C76F69">
        <w:rPr>
          <w:rFonts w:ascii="Book Antiqua" w:hAnsi="Book Antiqua"/>
          <w:lang w:val="es-PR"/>
        </w:rPr>
        <w:lastRenderedPageBreak/>
        <w:t xml:space="preserve">regulados y licenciados por el estado y estudiantes, padres, tutores o encargados de éstos en el sistema público de enseñanza. </w:t>
      </w:r>
    </w:p>
    <w:p w14:paraId="47274C77" w14:textId="77777777" w:rsidR="00A80022" w:rsidRPr="00C76F69" w:rsidRDefault="00A80022">
      <w:pPr>
        <w:jc w:val="both"/>
        <w:rPr>
          <w:rFonts w:ascii="Book Antiqua" w:hAnsi="Book Antiqua"/>
          <w:lang w:val="es-PR"/>
        </w:rPr>
      </w:pPr>
    </w:p>
    <w:p w14:paraId="47274C78" w14:textId="2E7A59F1"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La Constitución de Puerto Rico consagra el derecho de liberta</w:t>
      </w:r>
      <w:r w:rsidR="0098137E">
        <w:rPr>
          <w:rFonts w:ascii="Book Antiqua" w:hAnsi="Book Antiqua"/>
          <w:lang w:val="es-PR"/>
        </w:rPr>
        <w:t>d</w:t>
      </w:r>
      <w:r w:rsidR="009D110C" w:rsidRPr="00C76F69">
        <w:rPr>
          <w:rFonts w:ascii="Book Antiqua" w:hAnsi="Book Antiqua"/>
          <w:lang w:val="es-PR"/>
        </w:rPr>
        <w:t xml:space="preserve"> de expresión, libertad de culto, prohibición del establecimiento de cualquier religión y la separación de derecho y estado. Ello, sin embargo, no descarta el deber y la facultad del Gobierno de fomentar el respeto y la educación de valores en nuestra sociedad con propósitos seculares. </w:t>
      </w:r>
    </w:p>
    <w:p w14:paraId="47274C79" w14:textId="77777777" w:rsidR="00A80022" w:rsidRPr="00C76F69" w:rsidRDefault="00A80022">
      <w:pPr>
        <w:jc w:val="both"/>
        <w:rPr>
          <w:rFonts w:ascii="Book Antiqua" w:hAnsi="Book Antiqua"/>
          <w:lang w:val="es-PR"/>
        </w:rPr>
      </w:pPr>
    </w:p>
    <w:p w14:paraId="47274C7A" w14:textId="26D9511D"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 xml:space="preserve">La presente medida pretende regular en Puerto Rico un espacio de reflexión para que nuestros empleados públicos puedan tener un tiempo de conexión y reflexión sin imponer un credo religioso. Este proyecto establece una regulación neutral y general en sintonía con la jurisprudencia federal y local. Véase, </w:t>
      </w:r>
      <w:r w:rsidR="009D110C" w:rsidRPr="00C76F69">
        <w:rPr>
          <w:rFonts w:ascii="Book Antiqua" w:hAnsi="Book Antiqua"/>
          <w:u w:val="single"/>
          <w:lang w:val="es-PR"/>
        </w:rPr>
        <w:t>Church of the Lukumi Babalu Aye v. City of Hialeah</w:t>
      </w:r>
      <w:r w:rsidR="009D110C" w:rsidRPr="00C76F69">
        <w:rPr>
          <w:rFonts w:ascii="Book Antiqua" w:hAnsi="Book Antiqua"/>
          <w:lang w:val="es-PR"/>
        </w:rPr>
        <w:t xml:space="preserve">, 508 U.S. 520 (1993); </w:t>
      </w:r>
      <w:r w:rsidR="009D110C" w:rsidRPr="00C76F69">
        <w:rPr>
          <w:rFonts w:ascii="Book Antiqua" w:hAnsi="Book Antiqua"/>
          <w:u w:val="single"/>
          <w:lang w:val="es-PR"/>
        </w:rPr>
        <w:t>Lemon v. Kurzman</w:t>
      </w:r>
      <w:r w:rsidR="009D110C" w:rsidRPr="00C76F69">
        <w:rPr>
          <w:rFonts w:ascii="Book Antiqua" w:hAnsi="Book Antiqua"/>
          <w:lang w:val="es-PR"/>
        </w:rPr>
        <w:t xml:space="preserve">, 403 U.S. 602 (1971); </w:t>
      </w:r>
      <w:r w:rsidR="009D110C" w:rsidRPr="00C76F69">
        <w:rPr>
          <w:rFonts w:ascii="Book Antiqua" w:hAnsi="Book Antiqua"/>
          <w:u w:val="single"/>
          <w:lang w:val="es-PR"/>
        </w:rPr>
        <w:t>Mercado Rivera v. U.C.P.R.</w:t>
      </w:r>
      <w:r w:rsidR="009D110C" w:rsidRPr="00C76F69">
        <w:rPr>
          <w:rFonts w:ascii="Book Antiqua" w:hAnsi="Book Antiqua"/>
          <w:lang w:val="es-PR"/>
        </w:rPr>
        <w:t xml:space="preserve">, 143 D.P.R. 610 (1997); </w:t>
      </w:r>
      <w:r w:rsidR="009D110C" w:rsidRPr="00C76F69">
        <w:rPr>
          <w:rFonts w:ascii="Book Antiqua" w:hAnsi="Book Antiqua"/>
          <w:u w:val="single"/>
          <w:lang w:val="es-PR"/>
        </w:rPr>
        <w:t>Asoc. de Academias y Colegios Cristianos de P.R. v. E.L.A.</w:t>
      </w:r>
      <w:r w:rsidR="009D110C" w:rsidRPr="00C76F69">
        <w:rPr>
          <w:rFonts w:ascii="Book Antiqua" w:hAnsi="Book Antiqua"/>
          <w:lang w:val="es-PR"/>
        </w:rPr>
        <w:t xml:space="preserve">, 135 D.P.R. 150 (1994); </w:t>
      </w:r>
      <w:r w:rsidR="009D110C" w:rsidRPr="00C76F69">
        <w:rPr>
          <w:rFonts w:ascii="Book Antiqua" w:hAnsi="Book Antiqua"/>
          <w:u w:val="single"/>
          <w:lang w:val="es-PR"/>
        </w:rPr>
        <w:t>Díaz v. Colegio Nuestro Señora del Pilar</w:t>
      </w:r>
      <w:r w:rsidR="009D110C" w:rsidRPr="00C76F69">
        <w:rPr>
          <w:rFonts w:ascii="Book Antiqua" w:hAnsi="Book Antiqua"/>
          <w:lang w:val="es-PR"/>
        </w:rPr>
        <w:t>, 123 D.P.R. 765 (1989).</w:t>
      </w:r>
    </w:p>
    <w:p w14:paraId="47274C7B" w14:textId="77777777" w:rsidR="00A80022" w:rsidRPr="00C76F69" w:rsidRDefault="00A80022">
      <w:pPr>
        <w:jc w:val="both"/>
        <w:rPr>
          <w:rFonts w:ascii="Book Antiqua" w:hAnsi="Book Antiqua"/>
          <w:lang w:val="es-PR"/>
        </w:rPr>
      </w:pPr>
    </w:p>
    <w:p w14:paraId="47274C7C" w14:textId="7A0981D9"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Si algún empleado del Gobierno entiende que la aplicación de esta ley infringe su libertad de culto, los departamentos, agencias, negociados, oficinas y corporaciones públicas del Gobierno de Puerto Rico deberán desarrollar un proceso de acomodo razonable compatible con dicha lesión.</w:t>
      </w:r>
    </w:p>
    <w:p w14:paraId="47274C7D" w14:textId="77777777" w:rsidR="00A80022" w:rsidRPr="00C76F69" w:rsidRDefault="00A80022">
      <w:pPr>
        <w:jc w:val="both"/>
        <w:rPr>
          <w:rFonts w:ascii="Book Antiqua" w:hAnsi="Book Antiqua"/>
          <w:lang w:val="es-PR"/>
        </w:rPr>
      </w:pPr>
    </w:p>
    <w:p w14:paraId="47274C7E" w14:textId="59C76A80"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 xml:space="preserve">La presente ley tiene el propósito de fomentar en nuestros empleados una cultura de respeto y valores y no persigue un propósito religioso. Tampoco persigue establecer o repudiar una religión en particular o afectar el derecho de libertad de culto de nuestros funcionarios públicos. Este Gobierno es fiel creyente que permitir un espacio de reflexión y meditación fomenta en todo empleado público comience sus labores con la actitud correcta para servir eficientemente al Pueblo. </w:t>
      </w:r>
    </w:p>
    <w:p w14:paraId="47274C7F" w14:textId="77777777" w:rsidR="00A80022" w:rsidRPr="00C76F69" w:rsidRDefault="00A80022">
      <w:pPr>
        <w:jc w:val="both"/>
        <w:rPr>
          <w:rFonts w:ascii="Book Antiqua" w:hAnsi="Book Antiqua"/>
          <w:lang w:val="es-PR"/>
        </w:rPr>
      </w:pPr>
    </w:p>
    <w:p w14:paraId="47274C80" w14:textId="524D9654"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 xml:space="preserve">En </w:t>
      </w:r>
      <w:r w:rsidR="009D110C" w:rsidRPr="00C76F69">
        <w:rPr>
          <w:rFonts w:ascii="Book Antiqua" w:hAnsi="Book Antiqua"/>
          <w:u w:val="single"/>
          <w:lang w:val="es-PR"/>
        </w:rPr>
        <w:t>Wallace v. Jeffree</w:t>
      </w:r>
      <w:r w:rsidR="009D110C" w:rsidRPr="00C76F69">
        <w:rPr>
          <w:rFonts w:ascii="Book Antiqua" w:hAnsi="Book Antiqua"/>
          <w:lang w:val="es-PR"/>
        </w:rPr>
        <w:t xml:space="preserve">, 472 U.S. 38 (1985), el Tribunal Supremo de los Estados Unidos reconoció la validez de establecer minutos de silencio para reflexionar o meditar si el estatuto no tiene motivos religiosos. Véase, además, </w:t>
      </w:r>
      <w:r w:rsidR="009D110C" w:rsidRPr="00C76F69">
        <w:rPr>
          <w:rFonts w:ascii="Book Antiqua" w:hAnsi="Book Antiqua"/>
          <w:u w:val="single"/>
          <w:lang w:val="es-PR"/>
        </w:rPr>
        <w:t>Kennedy v. Bremerton Sch. Dist.</w:t>
      </w:r>
      <w:r w:rsidR="009D110C" w:rsidRPr="00C76F69">
        <w:rPr>
          <w:rFonts w:ascii="Book Antiqua" w:hAnsi="Book Antiqua"/>
          <w:lang w:val="es-PR"/>
        </w:rPr>
        <w:t xml:space="preserve">, 597 U.S. 507 (2022). </w:t>
      </w:r>
    </w:p>
    <w:p w14:paraId="47274C81" w14:textId="77777777" w:rsidR="00A80022" w:rsidRPr="00C76F69" w:rsidRDefault="00A80022">
      <w:pPr>
        <w:jc w:val="both"/>
        <w:rPr>
          <w:rFonts w:ascii="Book Antiqua" w:hAnsi="Book Antiqua"/>
          <w:lang w:val="es-PR"/>
        </w:rPr>
      </w:pPr>
    </w:p>
    <w:p w14:paraId="47274C84" w14:textId="125EF0F8" w:rsidR="00A80022" w:rsidRPr="00C76F69" w:rsidRDefault="008052C8">
      <w:pPr>
        <w:jc w:val="both"/>
        <w:rPr>
          <w:rFonts w:ascii="Book Antiqua" w:hAnsi="Book Antiqua"/>
          <w:lang w:val="es-PR"/>
        </w:rPr>
      </w:pPr>
      <w:r>
        <w:rPr>
          <w:rFonts w:ascii="Book Antiqua" w:hAnsi="Book Antiqua"/>
          <w:lang w:val="es-PR"/>
        </w:rPr>
        <w:tab/>
      </w:r>
      <w:r w:rsidR="009D110C" w:rsidRPr="00C76F69">
        <w:rPr>
          <w:rFonts w:ascii="Book Antiqua" w:hAnsi="Book Antiqua"/>
          <w:lang w:val="es-PR"/>
        </w:rPr>
        <w:t>Por ello, y en cumplimiento con la política pública de esta Administración, se presenta esta medida legislativa para establecer cinco minutos de reflexión voluntaria en nuestros empleados públicos.</w:t>
      </w:r>
    </w:p>
    <w:p w14:paraId="47274C85" w14:textId="77777777" w:rsidR="00A80022" w:rsidRPr="00C76F69" w:rsidRDefault="00A80022">
      <w:pPr>
        <w:jc w:val="both"/>
        <w:rPr>
          <w:rFonts w:ascii="Book Antiqua" w:hAnsi="Book Antiqua"/>
          <w:i/>
          <w:lang w:val="es-PR"/>
        </w:rPr>
      </w:pPr>
    </w:p>
    <w:bookmarkEnd w:id="0"/>
    <w:p w14:paraId="47274C86" w14:textId="77777777" w:rsidR="00A80022" w:rsidRPr="00C76F69" w:rsidRDefault="009D110C">
      <w:pPr>
        <w:jc w:val="both"/>
        <w:rPr>
          <w:rFonts w:ascii="Book Antiqua" w:hAnsi="Book Antiqua"/>
          <w:i/>
          <w:lang w:val="es-PR"/>
        </w:rPr>
      </w:pPr>
      <w:r w:rsidRPr="00C76F69">
        <w:rPr>
          <w:rFonts w:ascii="Book Antiqua" w:hAnsi="Book Antiqua"/>
          <w:i/>
          <w:lang w:val="es-PR"/>
        </w:rPr>
        <w:t>DECRÉTASE POR LA ASAMBLEA LEGISLATIVA DE PUERTO RICO:</w:t>
      </w:r>
    </w:p>
    <w:p w14:paraId="47274C87" w14:textId="77777777" w:rsidR="00A80022" w:rsidRPr="00C76F69" w:rsidRDefault="00A80022">
      <w:pPr>
        <w:pStyle w:val="BodyText"/>
        <w:rPr>
          <w:rFonts w:ascii="Book Antiqua" w:hAnsi="Book Antiqua"/>
          <w:lang w:val="es-PR"/>
        </w:rPr>
      </w:pPr>
    </w:p>
    <w:p w14:paraId="47274C88" w14:textId="77777777" w:rsidR="00A80022" w:rsidRPr="00C76F69" w:rsidRDefault="00A80022">
      <w:pPr>
        <w:pStyle w:val="BodyText"/>
        <w:rPr>
          <w:rFonts w:ascii="Book Antiqua" w:hAnsi="Book Antiqua"/>
          <w:lang w:val="es-PR"/>
        </w:rPr>
        <w:sectPr w:rsidR="00A80022" w:rsidRPr="00C76F69">
          <w:headerReference w:type="even" r:id="rId7"/>
          <w:headerReference w:type="default" r:id="rId8"/>
          <w:headerReference w:type="first" r:id="rId9"/>
          <w:type w:val="continuous"/>
          <w:pgSz w:w="12240" w:h="15840"/>
          <w:pgMar w:top="1440" w:right="1440" w:bottom="1440" w:left="1440" w:header="720" w:footer="720" w:gutter="0"/>
          <w:cols w:space="720"/>
          <w:titlePg/>
          <w:docGrid w:linePitch="360"/>
        </w:sectPr>
      </w:pPr>
    </w:p>
    <w:p w14:paraId="57F011FE" w14:textId="194176F9" w:rsidR="00B3641A" w:rsidRDefault="00B3641A">
      <w:pPr>
        <w:spacing w:line="480" w:lineRule="auto"/>
        <w:ind w:firstLine="360"/>
        <w:jc w:val="both"/>
        <w:rPr>
          <w:rFonts w:ascii="Book Antiqua" w:hAnsi="Book Antiqua"/>
          <w:lang w:val="es-PR"/>
        </w:rPr>
      </w:pPr>
      <w:bookmarkStart w:id="1" w:name="_Hlk206434876"/>
      <w:r>
        <w:rPr>
          <w:rFonts w:ascii="Book Antiqua" w:hAnsi="Book Antiqua"/>
          <w:lang w:val="es-PR"/>
        </w:rPr>
        <w:t>Artículo 1.- Título.</w:t>
      </w:r>
    </w:p>
    <w:p w14:paraId="436F7022" w14:textId="615DE1B9" w:rsidR="00B3641A" w:rsidRDefault="00AE2621">
      <w:pPr>
        <w:spacing w:line="480" w:lineRule="auto"/>
        <w:ind w:firstLine="360"/>
        <w:jc w:val="both"/>
        <w:rPr>
          <w:rFonts w:ascii="Book Antiqua" w:hAnsi="Book Antiqua"/>
          <w:lang w:val="es-PR"/>
        </w:rPr>
      </w:pPr>
      <w:r>
        <w:rPr>
          <w:rFonts w:ascii="Book Antiqua" w:hAnsi="Book Antiqua"/>
          <w:lang w:val="es-PR"/>
        </w:rPr>
        <w:lastRenderedPageBreak/>
        <w:tab/>
        <w:t xml:space="preserve">Esta Ley se conocerá y podrá ser citada como </w:t>
      </w:r>
      <w:r w:rsidR="00E8612E">
        <w:rPr>
          <w:rFonts w:ascii="Book Antiqua" w:hAnsi="Book Antiqua"/>
          <w:lang w:val="es-PR"/>
        </w:rPr>
        <w:t>“</w:t>
      </w:r>
      <w:r w:rsidR="00E8612E" w:rsidRPr="00C76F69">
        <w:rPr>
          <w:rFonts w:ascii="Book Antiqua" w:hAnsi="Book Antiqua"/>
          <w:lang w:val="es-PR"/>
        </w:rPr>
        <w:t>Ley de Reflexión y Meditación en los Departamentos, Agencias, Negociados, Oficinas y Corporaciones Públicas del Gobierno de Puerto Rico</w:t>
      </w:r>
      <w:r w:rsidR="00E8612E">
        <w:rPr>
          <w:rFonts w:ascii="Book Antiqua" w:hAnsi="Book Antiqua"/>
          <w:lang w:val="es-PR"/>
        </w:rPr>
        <w:t>.”</w:t>
      </w:r>
    </w:p>
    <w:p w14:paraId="47274C89" w14:textId="1798B1F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Artículo </w:t>
      </w:r>
      <w:r w:rsidR="00B3641A">
        <w:rPr>
          <w:rFonts w:ascii="Book Antiqua" w:hAnsi="Book Antiqua"/>
          <w:lang w:val="es-PR"/>
        </w:rPr>
        <w:t>2</w:t>
      </w:r>
      <w:r w:rsidRPr="00C76F69">
        <w:rPr>
          <w:rFonts w:ascii="Book Antiqua" w:hAnsi="Book Antiqua"/>
          <w:lang w:val="es-PR"/>
        </w:rPr>
        <w:t xml:space="preserve">.- Política pública. </w:t>
      </w:r>
    </w:p>
    <w:p w14:paraId="47274C8A" w14:textId="59565DAE"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Se reconoce el derecho de todo empleado público del Gobierno de Puerto Rico de </w:t>
      </w:r>
      <w:r w:rsidR="00E8612E">
        <w:rPr>
          <w:rFonts w:ascii="Book Antiqua" w:hAnsi="Book Antiqua"/>
          <w:lang w:val="es-PR"/>
        </w:rPr>
        <w:t>usar</w:t>
      </w:r>
      <w:r w:rsidRPr="00C76F69">
        <w:rPr>
          <w:rFonts w:ascii="Book Antiqua" w:hAnsi="Book Antiqua"/>
          <w:lang w:val="es-PR"/>
        </w:rPr>
        <w:t xml:space="preserve"> cinco (5) minutos al inicio de su jornada laboral para reflexionar y meditar sobre su cualidad de ser humano y servidor público. Se dispone que diariamente, en todos los Departamentos, Agencias, Negociados, Oficinas y Corporaciones Públicas del Gobierno de Puerto Rico, lleven a cabo un periodo de reflexión, independientemente de la hora de comienzo del día de trabajo que no interrumpa las labores o la prestación de servicios.  El periodo de reflexión </w:t>
      </w:r>
      <w:r w:rsidR="008A26E6">
        <w:rPr>
          <w:rFonts w:ascii="Book Antiqua" w:hAnsi="Book Antiqua"/>
          <w:lang w:val="es-PR"/>
        </w:rPr>
        <w:t xml:space="preserve">no podrá ser mayor a </w:t>
      </w:r>
      <w:r w:rsidRPr="00C76F69">
        <w:rPr>
          <w:rFonts w:ascii="Book Antiqua" w:hAnsi="Book Antiqua"/>
          <w:lang w:val="es-PR"/>
        </w:rPr>
        <w:t>cinco (5) minutos.  Se dispone, además, que el mismo no será de carácter sectario y no podrá ser utilizado para actividades o reflexiones de índole político partidista o para otros fines ajenos al servicio público. </w:t>
      </w:r>
    </w:p>
    <w:p w14:paraId="47274C8B"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Artículo 2.- Definición. </w:t>
      </w:r>
    </w:p>
    <w:p w14:paraId="47274C8C"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Para efectos de esta Ley, se define el término “reflexión” como el acto de pensar y analizar detenidamente sobre un tema o cosa en particular. El producto de esta reflexión resulta en un juicio valorativo que hace la persona sobre temas de interés para la mayor convivencia y calidad de vida, así como para brindar su servicio público acorde con nuestros valores gubernamentales de respeto, honradez, decencia y transparencia.</w:t>
      </w:r>
    </w:p>
    <w:p w14:paraId="47274C8D"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Artículo 3.- Protocolo de Reflexión. </w:t>
      </w:r>
    </w:p>
    <w:p w14:paraId="47274C8E"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Se dispone, además, que bajo ningún concepto se debe utilizar estos cinco (5) minutos de reflexión para adelantar o fomentar ninguna idea religiosa o política de corte partidista </w:t>
      </w:r>
      <w:r w:rsidRPr="00C76F69">
        <w:rPr>
          <w:rFonts w:ascii="Book Antiqua" w:hAnsi="Book Antiqua"/>
          <w:lang w:val="es-PR"/>
        </w:rPr>
        <w:lastRenderedPageBreak/>
        <w:t>o ideológico. Para ello, la entidad gubernamental deberá desarrollar un protocolo contra la utilización de este derecho para fines ajenos a lo permitido por esta ley. Además, deberá utilizarse este periodo de forma que no afecte el funcionamiento del servicio público y la atención a nuestro Pueblo en las distintas entidades del Gobierno de Puerto Rico.</w:t>
      </w:r>
    </w:p>
    <w:p w14:paraId="47274C8F"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Artículo 4.- Voluntariedad.</w:t>
      </w:r>
    </w:p>
    <w:p w14:paraId="47274C90"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La participación de los empleados públicos del periodo de reflexión diaria de cinco (5) minutos será totalmente voluntaria. Las autoridades nominadoras no podrán obligar a los empleados públicos a dirigir o participar de este periodo. La no participación de los empleados públicos no será razón para que sean penalizados o que las condiciones de sus empleos sean alteradas.</w:t>
      </w:r>
    </w:p>
    <w:p w14:paraId="47274C91"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ab/>
        <w:t xml:space="preserve">Artículo 5.- Periodo de Reflexión. </w:t>
      </w:r>
    </w:p>
    <w:p w14:paraId="47274C92"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El periodo de reflexión diaria de cinco (5) minutos formará parte de la jornada laboral diaria de todos los empleados públicos. De igual forma, dicho periodo será considerado como tiempo trabajado para todos los fines legales, sin menoscabar el derecho de estos a decidir voluntariamente su participación o no en dicho periodo. </w:t>
      </w:r>
    </w:p>
    <w:p w14:paraId="47274C93"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Artículo 6. Normas Administrativas. </w:t>
      </w:r>
    </w:p>
    <w:p w14:paraId="47274C94"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Las autoridades nominadoras promulgarán aquellas reglas, reglamentos, cartas circulares, memorandos y disposiciones administrativas que estimen pertinentes para poner en vigor las disposiciones de esta Ley.</w:t>
      </w:r>
    </w:p>
    <w:p w14:paraId="47274C95"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Artículo 7.- Separabilidad. </w:t>
      </w:r>
    </w:p>
    <w:p w14:paraId="47274C96"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lastRenderedPageBreak/>
        <w:t>Si cualquier cláusula, párrafo, artículo, inciso o parte de esta Ley fuere declarada nula o inconstitucional por un tribunal competente, la sentencia a tal efecto dictada no afectará, perjudicará, ni invalidará el resto de esta Ley, incluso ni de los incisos del mismo artículo, o parte de la misma que así hubiera sido declarada nula o inconstitucional.</w:t>
      </w:r>
    </w:p>
    <w:p w14:paraId="47274C97"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Artículo  8.- Vigencia.</w:t>
      </w:r>
    </w:p>
    <w:p w14:paraId="47274C98" w14:textId="77777777" w:rsidR="00A80022" w:rsidRPr="00C76F69" w:rsidRDefault="009D110C">
      <w:pPr>
        <w:spacing w:line="480" w:lineRule="auto"/>
        <w:ind w:firstLine="360"/>
        <w:jc w:val="both"/>
        <w:rPr>
          <w:rFonts w:ascii="Book Antiqua" w:hAnsi="Book Antiqua"/>
          <w:lang w:val="es-PR"/>
        </w:rPr>
      </w:pPr>
      <w:r w:rsidRPr="00C76F69">
        <w:rPr>
          <w:rFonts w:ascii="Book Antiqua" w:hAnsi="Book Antiqua"/>
          <w:lang w:val="es-PR"/>
        </w:rPr>
        <w:t xml:space="preserve">Esta Ley comenzará a regir inmediatamente después de su aprobación. </w:t>
      </w:r>
      <w:bookmarkEnd w:id="1"/>
    </w:p>
    <w:sectPr w:rsidR="00A80022" w:rsidRPr="00C76F6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3D8E" w14:textId="77777777" w:rsidR="00446692" w:rsidRDefault="00446692">
      <w:r>
        <w:separator/>
      </w:r>
    </w:p>
  </w:endnote>
  <w:endnote w:type="continuationSeparator" w:id="0">
    <w:p w14:paraId="5FD54A81" w14:textId="77777777" w:rsidR="00446692" w:rsidRDefault="00446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E8B80" w14:textId="77777777" w:rsidR="00446692" w:rsidRDefault="00446692">
      <w:r>
        <w:separator/>
      </w:r>
    </w:p>
  </w:footnote>
  <w:footnote w:type="continuationSeparator" w:id="0">
    <w:p w14:paraId="66BE8D21" w14:textId="77777777" w:rsidR="00446692" w:rsidRDefault="004466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4C99" w14:textId="77777777" w:rsidR="00A80022" w:rsidRDefault="009D11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274C9A" w14:textId="77777777" w:rsidR="00A80022" w:rsidRDefault="00A80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4C9B" w14:textId="77777777" w:rsidR="00A80022" w:rsidRDefault="009D11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47274C9C" w14:textId="77777777" w:rsidR="00A80022" w:rsidRDefault="00A80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4C9D" w14:textId="765ECE60" w:rsidR="00A80022" w:rsidRDefault="009D110C">
    <w:pPr>
      <w:pStyle w:val="Header"/>
      <w:jc w:val="right"/>
    </w:pPr>
    <w:r w:rsidRPr="005D7056">
      <w:t>A</w:t>
    </w:r>
    <w:r w:rsidR="005D7056" w:rsidRPr="005D7056">
      <w:t>-</w:t>
    </w:r>
    <w:r w:rsidR="005D7056">
      <w:t>10</w:t>
    </w:r>
    <w:r w:rsidR="00052CC2">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089A"/>
    <w:rsid w:val="00051094"/>
    <w:rsid w:val="00052CC2"/>
    <w:rsid w:val="0005448D"/>
    <w:rsid w:val="00054EB9"/>
    <w:rsid w:val="00055BB7"/>
    <w:rsid w:val="00057EEF"/>
    <w:rsid w:val="00061AA1"/>
    <w:rsid w:val="00064DEF"/>
    <w:rsid w:val="00065104"/>
    <w:rsid w:val="00065F91"/>
    <w:rsid w:val="00071BF8"/>
    <w:rsid w:val="0007291C"/>
    <w:rsid w:val="00076E0D"/>
    <w:rsid w:val="00077286"/>
    <w:rsid w:val="00080A7C"/>
    <w:rsid w:val="0008364C"/>
    <w:rsid w:val="0009212F"/>
    <w:rsid w:val="000936A2"/>
    <w:rsid w:val="0009466B"/>
    <w:rsid w:val="00094FAC"/>
    <w:rsid w:val="00095503"/>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0F2"/>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E72"/>
    <w:rsid w:val="00147AF3"/>
    <w:rsid w:val="0015013E"/>
    <w:rsid w:val="00151691"/>
    <w:rsid w:val="0015275B"/>
    <w:rsid w:val="00153B1D"/>
    <w:rsid w:val="0016152A"/>
    <w:rsid w:val="00161808"/>
    <w:rsid w:val="0016594B"/>
    <w:rsid w:val="00170B79"/>
    <w:rsid w:val="001722AA"/>
    <w:rsid w:val="001729D4"/>
    <w:rsid w:val="00174387"/>
    <w:rsid w:val="001808BA"/>
    <w:rsid w:val="00182CFE"/>
    <w:rsid w:val="001841CA"/>
    <w:rsid w:val="00185C0E"/>
    <w:rsid w:val="0018673B"/>
    <w:rsid w:val="001924D5"/>
    <w:rsid w:val="001A2932"/>
    <w:rsid w:val="001B040E"/>
    <w:rsid w:val="001B0621"/>
    <w:rsid w:val="001B2F8C"/>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E6C9C"/>
    <w:rsid w:val="001F1218"/>
    <w:rsid w:val="001F241E"/>
    <w:rsid w:val="001F4747"/>
    <w:rsid w:val="001F6BF6"/>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A5DCE"/>
    <w:rsid w:val="002A7498"/>
    <w:rsid w:val="002B0198"/>
    <w:rsid w:val="002B045B"/>
    <w:rsid w:val="002B12CB"/>
    <w:rsid w:val="002B36AE"/>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A0FB5"/>
    <w:rsid w:val="003A5D19"/>
    <w:rsid w:val="003A62C3"/>
    <w:rsid w:val="003A755E"/>
    <w:rsid w:val="003B07CB"/>
    <w:rsid w:val="003B1B11"/>
    <w:rsid w:val="003B219E"/>
    <w:rsid w:val="003B2639"/>
    <w:rsid w:val="003B2F41"/>
    <w:rsid w:val="003B4A77"/>
    <w:rsid w:val="003B4FF1"/>
    <w:rsid w:val="003B6404"/>
    <w:rsid w:val="003B75B2"/>
    <w:rsid w:val="003C45E7"/>
    <w:rsid w:val="003C4FAE"/>
    <w:rsid w:val="003C6692"/>
    <w:rsid w:val="003D5D81"/>
    <w:rsid w:val="003D6674"/>
    <w:rsid w:val="003D69CF"/>
    <w:rsid w:val="003D6A53"/>
    <w:rsid w:val="003D7CEA"/>
    <w:rsid w:val="003E421D"/>
    <w:rsid w:val="003E57A6"/>
    <w:rsid w:val="003E62E7"/>
    <w:rsid w:val="003F103A"/>
    <w:rsid w:val="003F2C1F"/>
    <w:rsid w:val="003F360D"/>
    <w:rsid w:val="003F4CDF"/>
    <w:rsid w:val="003F5F10"/>
    <w:rsid w:val="003F73CB"/>
    <w:rsid w:val="0040413F"/>
    <w:rsid w:val="00405D49"/>
    <w:rsid w:val="0040762B"/>
    <w:rsid w:val="00410F45"/>
    <w:rsid w:val="00411822"/>
    <w:rsid w:val="00412205"/>
    <w:rsid w:val="00412627"/>
    <w:rsid w:val="00417AB7"/>
    <w:rsid w:val="00421994"/>
    <w:rsid w:val="004279C6"/>
    <w:rsid w:val="00427A0A"/>
    <w:rsid w:val="00431AB9"/>
    <w:rsid w:val="00433F4C"/>
    <w:rsid w:val="004343A1"/>
    <w:rsid w:val="00434B84"/>
    <w:rsid w:val="00435152"/>
    <w:rsid w:val="00436544"/>
    <w:rsid w:val="004404C2"/>
    <w:rsid w:val="00442DCB"/>
    <w:rsid w:val="00446692"/>
    <w:rsid w:val="00454E3E"/>
    <w:rsid w:val="00455EBF"/>
    <w:rsid w:val="0045604F"/>
    <w:rsid w:val="004600C3"/>
    <w:rsid w:val="0046338A"/>
    <w:rsid w:val="00466434"/>
    <w:rsid w:val="0046663E"/>
    <w:rsid w:val="004674CF"/>
    <w:rsid w:val="00475EDC"/>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22A"/>
    <w:rsid w:val="0052583D"/>
    <w:rsid w:val="00525AFF"/>
    <w:rsid w:val="00526694"/>
    <w:rsid w:val="005327D8"/>
    <w:rsid w:val="00535527"/>
    <w:rsid w:val="00540F6C"/>
    <w:rsid w:val="0054180E"/>
    <w:rsid w:val="005440CF"/>
    <w:rsid w:val="00550069"/>
    <w:rsid w:val="0055116F"/>
    <w:rsid w:val="00551568"/>
    <w:rsid w:val="005535EB"/>
    <w:rsid w:val="00561787"/>
    <w:rsid w:val="005638DB"/>
    <w:rsid w:val="00566FC8"/>
    <w:rsid w:val="00571293"/>
    <w:rsid w:val="00574841"/>
    <w:rsid w:val="005748EA"/>
    <w:rsid w:val="00574B8F"/>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089C"/>
    <w:rsid w:val="005C4BA0"/>
    <w:rsid w:val="005C6269"/>
    <w:rsid w:val="005D11F8"/>
    <w:rsid w:val="005D5738"/>
    <w:rsid w:val="005D7056"/>
    <w:rsid w:val="005D7069"/>
    <w:rsid w:val="005E2BCB"/>
    <w:rsid w:val="005E72E3"/>
    <w:rsid w:val="005E742C"/>
    <w:rsid w:val="005F28E3"/>
    <w:rsid w:val="005F30FC"/>
    <w:rsid w:val="005F4DEB"/>
    <w:rsid w:val="005F5B4A"/>
    <w:rsid w:val="005F78F3"/>
    <w:rsid w:val="006007ED"/>
    <w:rsid w:val="006036EF"/>
    <w:rsid w:val="00604C4B"/>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2DB9"/>
    <w:rsid w:val="00655E17"/>
    <w:rsid w:val="00660004"/>
    <w:rsid w:val="00660AB3"/>
    <w:rsid w:val="00663CA2"/>
    <w:rsid w:val="00665516"/>
    <w:rsid w:val="00666596"/>
    <w:rsid w:val="00667DCC"/>
    <w:rsid w:val="006707E3"/>
    <w:rsid w:val="0067159D"/>
    <w:rsid w:val="00672DB7"/>
    <w:rsid w:val="0067304B"/>
    <w:rsid w:val="00673E5D"/>
    <w:rsid w:val="006777C4"/>
    <w:rsid w:val="00686BF0"/>
    <w:rsid w:val="00687F13"/>
    <w:rsid w:val="006913C6"/>
    <w:rsid w:val="00693294"/>
    <w:rsid w:val="00695F7B"/>
    <w:rsid w:val="00696D06"/>
    <w:rsid w:val="006A03D3"/>
    <w:rsid w:val="006A1EC3"/>
    <w:rsid w:val="006A36A5"/>
    <w:rsid w:val="006A3F94"/>
    <w:rsid w:val="006A459F"/>
    <w:rsid w:val="006A5CEB"/>
    <w:rsid w:val="006A6A44"/>
    <w:rsid w:val="006A7108"/>
    <w:rsid w:val="006A7B6D"/>
    <w:rsid w:val="006B2B67"/>
    <w:rsid w:val="006B4829"/>
    <w:rsid w:val="006B56C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37982"/>
    <w:rsid w:val="007436F2"/>
    <w:rsid w:val="007450BA"/>
    <w:rsid w:val="00746E5D"/>
    <w:rsid w:val="007505D9"/>
    <w:rsid w:val="00752937"/>
    <w:rsid w:val="00753922"/>
    <w:rsid w:val="00754D83"/>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2C8"/>
    <w:rsid w:val="00805B5D"/>
    <w:rsid w:val="00806BA1"/>
    <w:rsid w:val="00807747"/>
    <w:rsid w:val="00807B52"/>
    <w:rsid w:val="00810FA0"/>
    <w:rsid w:val="00813EB0"/>
    <w:rsid w:val="008164FB"/>
    <w:rsid w:val="00816A57"/>
    <w:rsid w:val="00821D98"/>
    <w:rsid w:val="008239CF"/>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0696"/>
    <w:rsid w:val="00861E47"/>
    <w:rsid w:val="008637C0"/>
    <w:rsid w:val="0086420F"/>
    <w:rsid w:val="008677E9"/>
    <w:rsid w:val="00871B20"/>
    <w:rsid w:val="0087427B"/>
    <w:rsid w:val="00874FB4"/>
    <w:rsid w:val="0087571F"/>
    <w:rsid w:val="00876C64"/>
    <w:rsid w:val="0087727F"/>
    <w:rsid w:val="00882A14"/>
    <w:rsid w:val="00883DCC"/>
    <w:rsid w:val="00891657"/>
    <w:rsid w:val="008933C6"/>
    <w:rsid w:val="008954F0"/>
    <w:rsid w:val="008A26E6"/>
    <w:rsid w:val="008A4EF1"/>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3FC"/>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50F20"/>
    <w:rsid w:val="00950FA3"/>
    <w:rsid w:val="00951E7C"/>
    <w:rsid w:val="009541C4"/>
    <w:rsid w:val="00956F87"/>
    <w:rsid w:val="00960BEC"/>
    <w:rsid w:val="00961B8F"/>
    <w:rsid w:val="00963D59"/>
    <w:rsid w:val="009751DC"/>
    <w:rsid w:val="00976ECA"/>
    <w:rsid w:val="0098137E"/>
    <w:rsid w:val="009866DC"/>
    <w:rsid w:val="00986CC7"/>
    <w:rsid w:val="00992996"/>
    <w:rsid w:val="00994F05"/>
    <w:rsid w:val="00997099"/>
    <w:rsid w:val="0099763D"/>
    <w:rsid w:val="009A081E"/>
    <w:rsid w:val="009A3DE6"/>
    <w:rsid w:val="009A41D4"/>
    <w:rsid w:val="009A5154"/>
    <w:rsid w:val="009B006A"/>
    <w:rsid w:val="009B054C"/>
    <w:rsid w:val="009B084E"/>
    <w:rsid w:val="009B44DD"/>
    <w:rsid w:val="009B666A"/>
    <w:rsid w:val="009B686A"/>
    <w:rsid w:val="009C485F"/>
    <w:rsid w:val="009D110C"/>
    <w:rsid w:val="009D1BDA"/>
    <w:rsid w:val="009D2141"/>
    <w:rsid w:val="009D3DC9"/>
    <w:rsid w:val="009D420A"/>
    <w:rsid w:val="009D4942"/>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CED"/>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3B20"/>
    <w:rsid w:val="00A54C84"/>
    <w:rsid w:val="00A56839"/>
    <w:rsid w:val="00A60206"/>
    <w:rsid w:val="00A70676"/>
    <w:rsid w:val="00A72351"/>
    <w:rsid w:val="00A7276D"/>
    <w:rsid w:val="00A74347"/>
    <w:rsid w:val="00A80022"/>
    <w:rsid w:val="00A806D2"/>
    <w:rsid w:val="00A83201"/>
    <w:rsid w:val="00A84976"/>
    <w:rsid w:val="00A85FBC"/>
    <w:rsid w:val="00A91F3F"/>
    <w:rsid w:val="00A93C42"/>
    <w:rsid w:val="00A94B05"/>
    <w:rsid w:val="00A951EA"/>
    <w:rsid w:val="00AA0B8E"/>
    <w:rsid w:val="00AA0E2B"/>
    <w:rsid w:val="00AA1018"/>
    <w:rsid w:val="00AB36A0"/>
    <w:rsid w:val="00AB3F4E"/>
    <w:rsid w:val="00AB3FF7"/>
    <w:rsid w:val="00AC2576"/>
    <w:rsid w:val="00AC48C8"/>
    <w:rsid w:val="00AD6A51"/>
    <w:rsid w:val="00AD7338"/>
    <w:rsid w:val="00AE08FA"/>
    <w:rsid w:val="00AE2621"/>
    <w:rsid w:val="00AE4859"/>
    <w:rsid w:val="00AE62F1"/>
    <w:rsid w:val="00AF29E2"/>
    <w:rsid w:val="00AF3779"/>
    <w:rsid w:val="00B00232"/>
    <w:rsid w:val="00B0114A"/>
    <w:rsid w:val="00B021A8"/>
    <w:rsid w:val="00B03CFD"/>
    <w:rsid w:val="00B119EC"/>
    <w:rsid w:val="00B11CDB"/>
    <w:rsid w:val="00B14ED9"/>
    <w:rsid w:val="00B210D4"/>
    <w:rsid w:val="00B33543"/>
    <w:rsid w:val="00B33FF9"/>
    <w:rsid w:val="00B3641A"/>
    <w:rsid w:val="00B37D90"/>
    <w:rsid w:val="00B41852"/>
    <w:rsid w:val="00B47E8D"/>
    <w:rsid w:val="00B542AA"/>
    <w:rsid w:val="00B551CE"/>
    <w:rsid w:val="00B557C4"/>
    <w:rsid w:val="00B55EAD"/>
    <w:rsid w:val="00B6186F"/>
    <w:rsid w:val="00B62A8C"/>
    <w:rsid w:val="00B63D0C"/>
    <w:rsid w:val="00B64242"/>
    <w:rsid w:val="00B70D25"/>
    <w:rsid w:val="00B70FB7"/>
    <w:rsid w:val="00B77AEA"/>
    <w:rsid w:val="00B80D14"/>
    <w:rsid w:val="00B82E7E"/>
    <w:rsid w:val="00B8423D"/>
    <w:rsid w:val="00B86D16"/>
    <w:rsid w:val="00B91826"/>
    <w:rsid w:val="00B93319"/>
    <w:rsid w:val="00B95EEE"/>
    <w:rsid w:val="00BA07AF"/>
    <w:rsid w:val="00BA1AD8"/>
    <w:rsid w:val="00BA4C1B"/>
    <w:rsid w:val="00BA4D14"/>
    <w:rsid w:val="00BB0A02"/>
    <w:rsid w:val="00BB0DB7"/>
    <w:rsid w:val="00BB245E"/>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6F69"/>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62C"/>
    <w:rsid w:val="00CC266D"/>
    <w:rsid w:val="00CC32C3"/>
    <w:rsid w:val="00CC39D0"/>
    <w:rsid w:val="00CD0024"/>
    <w:rsid w:val="00CD402A"/>
    <w:rsid w:val="00CD4847"/>
    <w:rsid w:val="00CD731B"/>
    <w:rsid w:val="00CE15FD"/>
    <w:rsid w:val="00CE3E3F"/>
    <w:rsid w:val="00CE7315"/>
    <w:rsid w:val="00CF0654"/>
    <w:rsid w:val="00CF2416"/>
    <w:rsid w:val="00CF268B"/>
    <w:rsid w:val="00CF42D5"/>
    <w:rsid w:val="00CF5996"/>
    <w:rsid w:val="00CF6BE5"/>
    <w:rsid w:val="00D018E1"/>
    <w:rsid w:val="00D022F5"/>
    <w:rsid w:val="00D023CB"/>
    <w:rsid w:val="00D049B9"/>
    <w:rsid w:val="00D05158"/>
    <w:rsid w:val="00D053BB"/>
    <w:rsid w:val="00D05A00"/>
    <w:rsid w:val="00D064AA"/>
    <w:rsid w:val="00D06FA4"/>
    <w:rsid w:val="00D071A2"/>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D1006"/>
    <w:rsid w:val="00DD368D"/>
    <w:rsid w:val="00DD3F07"/>
    <w:rsid w:val="00DE3DB8"/>
    <w:rsid w:val="00DE5FA1"/>
    <w:rsid w:val="00DE6F6C"/>
    <w:rsid w:val="00DE79E8"/>
    <w:rsid w:val="00DF4C09"/>
    <w:rsid w:val="00E021BE"/>
    <w:rsid w:val="00E03AD2"/>
    <w:rsid w:val="00E0469E"/>
    <w:rsid w:val="00E04AA9"/>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3056"/>
    <w:rsid w:val="00E673D6"/>
    <w:rsid w:val="00E7117B"/>
    <w:rsid w:val="00E73BE1"/>
    <w:rsid w:val="00E74473"/>
    <w:rsid w:val="00E82AE0"/>
    <w:rsid w:val="00E836F7"/>
    <w:rsid w:val="00E8612E"/>
    <w:rsid w:val="00E94104"/>
    <w:rsid w:val="00E952CB"/>
    <w:rsid w:val="00E958C9"/>
    <w:rsid w:val="00E95F22"/>
    <w:rsid w:val="00E9690B"/>
    <w:rsid w:val="00E97ACB"/>
    <w:rsid w:val="00EA3553"/>
    <w:rsid w:val="00EA4F02"/>
    <w:rsid w:val="00EA5D7D"/>
    <w:rsid w:val="00EA5FE8"/>
    <w:rsid w:val="00EB08F2"/>
    <w:rsid w:val="00EB317D"/>
    <w:rsid w:val="00EB5A35"/>
    <w:rsid w:val="00EC4FD5"/>
    <w:rsid w:val="00EC73F2"/>
    <w:rsid w:val="00ED4F98"/>
    <w:rsid w:val="00EE10EF"/>
    <w:rsid w:val="00EE135B"/>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68B3"/>
    <w:rsid w:val="00F270AE"/>
    <w:rsid w:val="00F30B30"/>
    <w:rsid w:val="00F30B65"/>
    <w:rsid w:val="00F33659"/>
    <w:rsid w:val="00F34633"/>
    <w:rsid w:val="00F36196"/>
    <w:rsid w:val="00F40EE8"/>
    <w:rsid w:val="00F41B79"/>
    <w:rsid w:val="00F422B0"/>
    <w:rsid w:val="00F4319E"/>
    <w:rsid w:val="00F45C45"/>
    <w:rsid w:val="00F45E30"/>
    <w:rsid w:val="00F45E74"/>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E16F8"/>
    <w:rsid w:val="00FE2CF3"/>
    <w:rsid w:val="00FE3E10"/>
    <w:rsid w:val="00FE6C00"/>
    <w:rsid w:val="00FE776E"/>
    <w:rsid w:val="00FF2EFD"/>
    <w:rsid w:val="00FF4086"/>
    <w:rsid w:val="00FF6694"/>
    <w:rsid w:val="00FF73A0"/>
    <w:rsid w:val="09DC14EB"/>
    <w:rsid w:val="0B7C8863"/>
    <w:rsid w:val="0FF56A3E"/>
    <w:rsid w:val="102C2666"/>
    <w:rsid w:val="3055D983"/>
    <w:rsid w:val="3903DCAA"/>
    <w:rsid w:val="4C56856B"/>
    <w:rsid w:val="50C22A6D"/>
    <w:rsid w:val="5FFC3909"/>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74C5D"/>
  <w15:docId w15:val="{9B321D59-39EB-45E2-94E7-E8B79584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1205</Words>
  <Characters>6740</Characters>
  <Application>Microsoft Office Word</Application>
  <DocSecurity>0</DocSecurity>
  <Lines>137</Lines>
  <Paragraphs>45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Gladys J. Burgos Torres</cp:lastModifiedBy>
  <cp:revision>5</cp:revision>
  <cp:lastPrinted>2025-09-17T19:29:00Z</cp:lastPrinted>
  <dcterms:created xsi:type="dcterms:W3CDTF">2026-01-12T15:46:00Z</dcterms:created>
  <dcterms:modified xsi:type="dcterms:W3CDTF">2026-01-14T15:37:00Z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066FFB69AE4D44DD90C3D5AF995E4BA5_13</vt:lpwstr>
  </property>
</Properties>
</file>