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833070" w:rsidRDefault="00714C19" w:rsidP="00CC2F2D">
      <w:pPr>
        <w:jc w:val="center"/>
        <w:rPr>
          <w:rFonts w:ascii="Book Antiqua" w:hAnsi="Book Antiqua"/>
          <w:sz w:val="28"/>
          <w:lang w:val="es-ES"/>
        </w:rPr>
      </w:pPr>
      <w:r w:rsidRPr="00833070">
        <w:rPr>
          <w:rFonts w:ascii="Book Antiqua" w:hAnsi="Book Antiqua"/>
          <w:sz w:val="28"/>
          <w:lang w:val="es-ES"/>
        </w:rPr>
        <w:t>GOBIERNO</w:t>
      </w:r>
      <w:r w:rsidR="00CC2F2D" w:rsidRPr="00833070">
        <w:rPr>
          <w:rFonts w:ascii="Book Antiqua" w:hAnsi="Book Antiqua"/>
          <w:sz w:val="28"/>
          <w:lang w:val="es-ES"/>
        </w:rPr>
        <w:t xml:space="preserve"> DE PUERTO RICO</w:t>
      </w:r>
    </w:p>
    <w:p w14:paraId="26EE8772" w14:textId="27CEE55A" w:rsidR="0020062C" w:rsidRPr="00833070" w:rsidRDefault="0020062C" w:rsidP="0020062C">
      <w:pPr>
        <w:jc w:val="center"/>
        <w:rPr>
          <w:rFonts w:ascii="Book Antiqua" w:hAnsi="Book Antiqua"/>
          <w:sz w:val="28"/>
          <w:lang w:val="es-ES"/>
        </w:rPr>
      </w:pPr>
    </w:p>
    <w:p w14:paraId="4741655E" w14:textId="01888B3E" w:rsidR="0020062C" w:rsidRPr="00833070" w:rsidRDefault="005B52C9" w:rsidP="00B51EAF">
      <w:pPr>
        <w:pStyle w:val="Title2"/>
        <w:tabs>
          <w:tab w:val="clear" w:pos="648"/>
          <w:tab w:val="clear" w:pos="7776"/>
          <w:tab w:val="clear" w:pos="7848"/>
        </w:tabs>
        <w:rPr>
          <w:rFonts w:ascii="Book Antiqua" w:hAnsi="Book Antiqua"/>
          <w:lang w:val="es-ES"/>
        </w:rPr>
      </w:pPr>
      <w:r w:rsidRPr="00833070">
        <w:rPr>
          <w:rFonts w:ascii="Book Antiqua" w:hAnsi="Book Antiqua"/>
          <w:lang w:val="es-ES"/>
        </w:rPr>
        <w:t>20m</w:t>
      </w:r>
      <w:r w:rsidR="0020062C" w:rsidRPr="00833070">
        <w:rPr>
          <w:rFonts w:ascii="Book Antiqua" w:hAnsi="Book Antiqua"/>
          <w:lang w:val="es-ES"/>
        </w:rPr>
        <w:t>a. Asamblea</w:t>
      </w:r>
      <w:r w:rsidR="0020062C" w:rsidRPr="00833070">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t xml:space="preserve">           </w:t>
      </w:r>
      <w:r w:rsidR="00767DB1" w:rsidRPr="00833070">
        <w:rPr>
          <w:rFonts w:ascii="Book Antiqua" w:hAnsi="Book Antiqua"/>
          <w:lang w:val="es-ES"/>
        </w:rPr>
        <w:t>3r</w:t>
      </w:r>
      <w:r w:rsidR="0020062C" w:rsidRPr="00833070">
        <w:rPr>
          <w:rFonts w:ascii="Book Antiqua" w:hAnsi="Book Antiqua"/>
          <w:lang w:val="es-ES"/>
        </w:rPr>
        <w:t>a. Sesión</w:t>
      </w:r>
    </w:p>
    <w:p w14:paraId="388F4E31" w14:textId="63E2D8A8" w:rsidR="0020062C" w:rsidRPr="00833070" w:rsidRDefault="0020062C" w:rsidP="00B51EAF">
      <w:pPr>
        <w:pStyle w:val="Title2"/>
        <w:tabs>
          <w:tab w:val="clear" w:pos="648"/>
          <w:tab w:val="clear" w:pos="7776"/>
          <w:tab w:val="clear" w:pos="7848"/>
        </w:tabs>
        <w:rPr>
          <w:rFonts w:ascii="Book Antiqua" w:hAnsi="Book Antiqua"/>
          <w:lang w:val="es-ES"/>
        </w:rPr>
      </w:pPr>
      <w:r w:rsidRPr="00833070">
        <w:rPr>
          <w:rFonts w:ascii="Book Antiqua" w:hAnsi="Book Antiqua"/>
          <w:lang w:val="es-ES"/>
        </w:rPr>
        <w:tab/>
        <w:t>Legislativa</w:t>
      </w:r>
      <w:r w:rsidRPr="00833070">
        <w:rPr>
          <w:rFonts w:ascii="Book Antiqua" w:hAnsi="Book Antiqua"/>
          <w:lang w:val="es-ES"/>
        </w:rPr>
        <w:tab/>
      </w:r>
      <w:r w:rsidRPr="00833070">
        <w:rPr>
          <w:rFonts w:ascii="Book Antiqua" w:hAnsi="Book Antiqua"/>
          <w:lang w:val="es-ES"/>
        </w:rPr>
        <w:tab/>
      </w:r>
      <w:r w:rsidR="00B51EAF">
        <w:rPr>
          <w:rFonts w:ascii="Book Antiqua" w:hAnsi="Book Antiqua"/>
          <w:lang w:val="es-ES"/>
        </w:rPr>
        <w:t xml:space="preserve">      </w:t>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r>
      <w:r w:rsidR="00B51EAF">
        <w:rPr>
          <w:rFonts w:ascii="Book Antiqua" w:hAnsi="Book Antiqua"/>
          <w:lang w:val="es-ES"/>
        </w:rPr>
        <w:tab/>
        <w:t xml:space="preserve">      </w:t>
      </w:r>
      <w:r w:rsidRPr="00833070">
        <w:rPr>
          <w:rFonts w:ascii="Book Antiqua" w:hAnsi="Book Antiqua"/>
          <w:lang w:val="es-ES"/>
        </w:rPr>
        <w:t>Ordinaria</w:t>
      </w:r>
    </w:p>
    <w:p w14:paraId="7CB5A1DB" w14:textId="5F0F4219" w:rsidR="0020062C" w:rsidRPr="00B51EAF" w:rsidRDefault="0020062C" w:rsidP="0020062C">
      <w:pPr>
        <w:rPr>
          <w:rFonts w:ascii="Book Antiqua" w:hAnsi="Book Antiqua"/>
          <w:lang w:val="es-ES"/>
        </w:rPr>
      </w:pPr>
    </w:p>
    <w:p w14:paraId="67679684" w14:textId="64E6FEEC" w:rsidR="0020062C" w:rsidRPr="00833070" w:rsidRDefault="0020062C" w:rsidP="00B51EAF">
      <w:pPr>
        <w:jc w:val="center"/>
        <w:rPr>
          <w:rFonts w:ascii="Book Antiqua" w:hAnsi="Book Antiqua"/>
          <w:b/>
          <w:sz w:val="36"/>
          <w:lang w:val="es-ES"/>
        </w:rPr>
      </w:pPr>
      <w:r w:rsidRPr="00833070">
        <w:rPr>
          <w:rFonts w:ascii="Book Antiqua" w:hAnsi="Book Antiqua"/>
          <w:b/>
          <w:sz w:val="36"/>
          <w:lang w:val="es-ES"/>
        </w:rPr>
        <w:t>CÁMARA DE REPRESENTANTES</w:t>
      </w:r>
    </w:p>
    <w:p w14:paraId="22D7E45E" w14:textId="77777777" w:rsidR="00B51EAF" w:rsidRPr="00B51EAF" w:rsidRDefault="00B51EAF" w:rsidP="00B51EAF">
      <w:pPr>
        <w:jc w:val="center"/>
        <w:rPr>
          <w:rFonts w:ascii="Book Antiqua" w:hAnsi="Book Antiqua"/>
          <w:b/>
          <w:szCs w:val="24"/>
          <w:lang w:val="es-ES"/>
        </w:rPr>
      </w:pPr>
    </w:p>
    <w:p w14:paraId="03B8D501" w14:textId="433D544D" w:rsidR="0020062C" w:rsidRPr="00833070" w:rsidRDefault="0020062C" w:rsidP="00B51EAF">
      <w:pPr>
        <w:jc w:val="center"/>
        <w:rPr>
          <w:rFonts w:ascii="Book Antiqua" w:hAnsi="Book Antiqua"/>
          <w:b/>
          <w:sz w:val="52"/>
          <w:lang w:val="es-ES"/>
        </w:rPr>
      </w:pPr>
      <w:r w:rsidRPr="00833070">
        <w:rPr>
          <w:rFonts w:ascii="Book Antiqua" w:hAnsi="Book Antiqua"/>
          <w:b/>
          <w:sz w:val="52"/>
          <w:lang w:val="es-ES"/>
        </w:rPr>
        <w:t xml:space="preserve">P. de la C. </w:t>
      </w:r>
      <w:r w:rsidR="001B46D0">
        <w:rPr>
          <w:rFonts w:ascii="Book Antiqua" w:hAnsi="Book Antiqua"/>
          <w:b/>
          <w:sz w:val="52"/>
          <w:lang w:val="es-ES"/>
        </w:rPr>
        <w:t>1031</w:t>
      </w:r>
    </w:p>
    <w:p w14:paraId="6EE8A1C3" w14:textId="77777777" w:rsidR="00B51EAF" w:rsidRDefault="00B51EAF" w:rsidP="00B51EAF">
      <w:pPr>
        <w:jc w:val="center"/>
        <w:rPr>
          <w:rFonts w:ascii="Book Antiqua" w:hAnsi="Book Antiqua"/>
          <w:lang w:val="es-ES"/>
        </w:rPr>
      </w:pPr>
    </w:p>
    <w:p w14:paraId="139C6125" w14:textId="102C8680" w:rsidR="0020062C" w:rsidRPr="00833070" w:rsidRDefault="001B46D0" w:rsidP="00B51EAF">
      <w:pPr>
        <w:jc w:val="center"/>
        <w:rPr>
          <w:rFonts w:ascii="Book Antiqua" w:hAnsi="Book Antiqua"/>
          <w:lang w:val="es-ES"/>
        </w:rPr>
      </w:pPr>
      <w:r>
        <w:rPr>
          <w:rFonts w:ascii="Book Antiqua" w:hAnsi="Book Antiqua"/>
          <w:lang w:val="es-ES"/>
        </w:rPr>
        <w:t xml:space="preserve">12 </w:t>
      </w:r>
      <w:r w:rsidR="00B51EAF">
        <w:rPr>
          <w:rFonts w:ascii="Book Antiqua" w:hAnsi="Book Antiqua"/>
          <w:lang w:val="es-ES"/>
        </w:rPr>
        <w:t>DE ENERO DE</w:t>
      </w:r>
      <w:r w:rsidR="00870710" w:rsidRPr="00833070">
        <w:rPr>
          <w:rFonts w:ascii="Book Antiqua" w:hAnsi="Book Antiqua"/>
          <w:lang w:val="es-ES"/>
        </w:rPr>
        <w:t xml:space="preserve"> 202</w:t>
      </w:r>
      <w:r w:rsidR="00767DB1" w:rsidRPr="00833070">
        <w:rPr>
          <w:rFonts w:ascii="Book Antiqua" w:hAnsi="Book Antiqua"/>
          <w:lang w:val="es-ES"/>
        </w:rPr>
        <w:t>6</w:t>
      </w:r>
    </w:p>
    <w:p w14:paraId="1F9FE396" w14:textId="77777777" w:rsidR="00B51EAF" w:rsidRDefault="00B51EAF" w:rsidP="00B51EAF">
      <w:pPr>
        <w:jc w:val="center"/>
        <w:rPr>
          <w:rFonts w:ascii="Book Antiqua" w:hAnsi="Book Antiqua"/>
          <w:lang w:val="es-ES"/>
        </w:rPr>
      </w:pPr>
    </w:p>
    <w:p w14:paraId="41CF12C4" w14:textId="05C5BC8D" w:rsidR="0020062C" w:rsidRPr="00833070" w:rsidRDefault="0020062C" w:rsidP="00B51EAF">
      <w:pPr>
        <w:jc w:val="center"/>
        <w:rPr>
          <w:rFonts w:ascii="Book Antiqua" w:hAnsi="Book Antiqua"/>
          <w:lang w:val="es-ES"/>
        </w:rPr>
      </w:pPr>
      <w:r w:rsidRPr="00833070">
        <w:rPr>
          <w:rFonts w:ascii="Book Antiqua" w:hAnsi="Book Antiqua"/>
          <w:lang w:val="es-ES"/>
        </w:rPr>
        <w:t xml:space="preserve">Presentado por </w:t>
      </w:r>
      <w:r w:rsidR="00B51EAF">
        <w:rPr>
          <w:rFonts w:ascii="Book Antiqua" w:hAnsi="Book Antiqua"/>
          <w:lang w:val="es-ES"/>
        </w:rPr>
        <w:t>los</w:t>
      </w:r>
      <w:r w:rsidRPr="00833070">
        <w:rPr>
          <w:rFonts w:ascii="Book Antiqua" w:hAnsi="Book Antiqua"/>
          <w:lang w:val="es-ES"/>
        </w:rPr>
        <w:t xml:space="preserve"> representante</w:t>
      </w:r>
      <w:r w:rsidR="00B51EAF">
        <w:rPr>
          <w:rFonts w:ascii="Book Antiqua" w:hAnsi="Book Antiqua"/>
          <w:lang w:val="es-ES"/>
        </w:rPr>
        <w:t>s</w:t>
      </w:r>
      <w:r w:rsidRPr="00833070">
        <w:rPr>
          <w:rFonts w:ascii="Book Antiqua" w:hAnsi="Book Antiqua"/>
          <w:lang w:val="es-ES"/>
        </w:rPr>
        <w:t xml:space="preserve"> </w:t>
      </w:r>
      <w:r w:rsidR="005E2039" w:rsidRPr="00833070">
        <w:rPr>
          <w:rFonts w:ascii="Book Antiqua" w:hAnsi="Book Antiqua"/>
          <w:i/>
          <w:lang w:val="es-ES"/>
        </w:rPr>
        <w:t>Navarro Suárez</w:t>
      </w:r>
      <w:r w:rsidR="00445793">
        <w:rPr>
          <w:rFonts w:ascii="Book Antiqua" w:hAnsi="Book Antiqua"/>
          <w:i/>
          <w:lang w:val="es-ES"/>
        </w:rPr>
        <w:t xml:space="preserve"> </w:t>
      </w:r>
      <w:r w:rsidR="00445793" w:rsidRPr="00B51EAF">
        <w:rPr>
          <w:rFonts w:ascii="Book Antiqua" w:hAnsi="Book Antiqua"/>
          <w:iCs/>
          <w:lang w:val="es-ES"/>
        </w:rPr>
        <w:t>y</w:t>
      </w:r>
      <w:r w:rsidR="00445793">
        <w:rPr>
          <w:rFonts w:ascii="Book Antiqua" w:hAnsi="Book Antiqua"/>
          <w:i/>
          <w:lang w:val="es-ES"/>
        </w:rPr>
        <w:t xml:space="preserve"> Robles</w:t>
      </w:r>
      <w:r w:rsidR="004E7366">
        <w:rPr>
          <w:rFonts w:ascii="Book Antiqua" w:hAnsi="Book Antiqua"/>
          <w:i/>
          <w:lang w:val="es-ES"/>
        </w:rPr>
        <w:t xml:space="preserve"> Rivera</w:t>
      </w:r>
    </w:p>
    <w:p w14:paraId="68970405" w14:textId="77777777" w:rsidR="00B51EAF" w:rsidRDefault="00B51EAF" w:rsidP="00B51EAF">
      <w:pPr>
        <w:jc w:val="center"/>
        <w:rPr>
          <w:rFonts w:ascii="Book Antiqua" w:hAnsi="Book Antiqua"/>
          <w:lang w:val="es-ES"/>
        </w:rPr>
      </w:pPr>
    </w:p>
    <w:p w14:paraId="331143FA" w14:textId="01605B30" w:rsidR="0020062C" w:rsidRPr="00833070" w:rsidRDefault="0020062C" w:rsidP="00B51EAF">
      <w:pPr>
        <w:jc w:val="center"/>
        <w:rPr>
          <w:rFonts w:ascii="Book Antiqua" w:hAnsi="Book Antiqua"/>
          <w:lang w:val="es-ES"/>
        </w:rPr>
      </w:pPr>
      <w:r w:rsidRPr="00833070">
        <w:rPr>
          <w:rFonts w:ascii="Book Antiqua" w:hAnsi="Book Antiqua"/>
          <w:lang w:val="es-ES"/>
        </w:rPr>
        <w:t xml:space="preserve">Referido a </w:t>
      </w:r>
      <w:r w:rsidR="001E7EBB" w:rsidRPr="00833070">
        <w:rPr>
          <w:rFonts w:ascii="Book Antiqua" w:hAnsi="Book Antiqua"/>
          <w:lang w:val="es-ES"/>
        </w:rPr>
        <w:t xml:space="preserve">la Comisión de </w:t>
      </w:r>
      <w:r w:rsidR="00B51EAF">
        <w:rPr>
          <w:rFonts w:ascii="Book Antiqua" w:hAnsi="Book Antiqua"/>
          <w:lang w:val="es-ES"/>
        </w:rPr>
        <w:t>Asuntos del Consumidor</w:t>
      </w:r>
    </w:p>
    <w:p w14:paraId="331A0A88" w14:textId="0912D947" w:rsidR="0020062C" w:rsidRPr="00833070" w:rsidRDefault="0020062C" w:rsidP="00B51EAF">
      <w:pPr>
        <w:jc w:val="both"/>
        <w:rPr>
          <w:rFonts w:ascii="Book Antiqua" w:hAnsi="Book Antiqua"/>
          <w:lang w:val="es-ES"/>
        </w:rPr>
      </w:pPr>
    </w:p>
    <w:p w14:paraId="3326326A" w14:textId="60852B15" w:rsidR="0020062C" w:rsidRPr="00833070" w:rsidRDefault="0020062C" w:rsidP="00B51EAF">
      <w:pPr>
        <w:jc w:val="center"/>
        <w:rPr>
          <w:rFonts w:ascii="Book Antiqua" w:hAnsi="Book Antiqua"/>
          <w:b/>
          <w:sz w:val="28"/>
          <w:lang w:val="es-ES"/>
        </w:rPr>
      </w:pPr>
      <w:r w:rsidRPr="00833070">
        <w:rPr>
          <w:rFonts w:ascii="Book Antiqua" w:hAnsi="Book Antiqua"/>
          <w:b/>
          <w:sz w:val="28"/>
          <w:lang w:val="es-ES"/>
        </w:rPr>
        <w:t>LEY</w:t>
      </w:r>
    </w:p>
    <w:p w14:paraId="6FD2B192" w14:textId="00F3324B" w:rsidR="0020062C" w:rsidRPr="00833070" w:rsidRDefault="0020062C" w:rsidP="00B51EAF">
      <w:pPr>
        <w:jc w:val="both"/>
        <w:rPr>
          <w:rFonts w:ascii="Book Antiqua" w:hAnsi="Book Antiqua"/>
          <w:lang w:val="es-ES"/>
        </w:rPr>
      </w:pPr>
    </w:p>
    <w:p w14:paraId="307B8BFB" w14:textId="7B8E9BB3" w:rsidR="00870710" w:rsidRPr="00833070" w:rsidRDefault="00765EF8" w:rsidP="00B51EAF">
      <w:pPr>
        <w:ind w:left="720" w:hanging="720"/>
        <w:jc w:val="both"/>
        <w:rPr>
          <w:rFonts w:ascii="Book Antiqua" w:hAnsi="Book Antiqua"/>
          <w:lang w:val="es-ES"/>
        </w:rPr>
      </w:pPr>
      <w:r w:rsidRPr="00833070">
        <w:rPr>
          <w:rFonts w:ascii="Book Antiqua" w:hAnsi="Book Antiqua"/>
          <w:lang w:val="es-ES"/>
        </w:rPr>
        <w:t>Para crear la "Ley de Transparencia en la Venta de Boletos de Espectáculos Públicos"; enmendar el Artículo 3 de la Ley Núm. 209-2016, conocida como "Ley para la Transparencia en el Recibo de Compra"; prohibir el cobro separado de cargos denominados "</w:t>
      </w:r>
      <w:proofErr w:type="spellStart"/>
      <w:r w:rsidRPr="00833070">
        <w:rPr>
          <w:rFonts w:ascii="Book Antiqua" w:hAnsi="Book Antiqua"/>
          <w:lang w:val="es-ES"/>
        </w:rPr>
        <w:t>promoter</w:t>
      </w:r>
      <w:proofErr w:type="spellEnd"/>
      <w:r w:rsidRPr="00833070">
        <w:rPr>
          <w:rFonts w:ascii="Book Antiqua" w:hAnsi="Book Antiqua"/>
          <w:lang w:val="es-ES"/>
        </w:rPr>
        <w:t xml:space="preserve"> fee" o tarifa del promotor a los consumidores; y para otros fines relacionados.</w:t>
      </w:r>
    </w:p>
    <w:p w14:paraId="2B8CB490" w14:textId="76920B81" w:rsidR="00D65009" w:rsidRPr="00833070" w:rsidRDefault="00D65009" w:rsidP="00B51EAF">
      <w:pPr>
        <w:jc w:val="both"/>
        <w:rPr>
          <w:rFonts w:ascii="Book Antiqua" w:hAnsi="Book Antiqua"/>
          <w:lang w:val="es-ES"/>
        </w:rPr>
      </w:pPr>
    </w:p>
    <w:p w14:paraId="602AFB97" w14:textId="6BB8CC91" w:rsidR="0020062C" w:rsidRPr="00833070" w:rsidRDefault="0020062C" w:rsidP="00CC2F2D">
      <w:pPr>
        <w:ind w:firstLine="360"/>
        <w:jc w:val="center"/>
        <w:rPr>
          <w:rFonts w:ascii="Book Antiqua" w:hAnsi="Book Antiqua"/>
          <w:lang w:val="es-ES"/>
        </w:rPr>
      </w:pPr>
      <w:r w:rsidRPr="00833070">
        <w:rPr>
          <w:rFonts w:ascii="Book Antiqua" w:hAnsi="Book Antiqua"/>
          <w:lang w:val="es-ES"/>
        </w:rPr>
        <w:t>EXPOSICIÓN DE MOTIVOS</w:t>
      </w:r>
    </w:p>
    <w:p w14:paraId="0267BD7A" w14:textId="77777777" w:rsidR="00075C88" w:rsidRPr="00833070" w:rsidRDefault="00075C88" w:rsidP="00266F60">
      <w:pPr>
        <w:jc w:val="both"/>
        <w:rPr>
          <w:rFonts w:ascii="Book Antiqua" w:hAnsi="Book Antiqua"/>
          <w:lang w:val="es-ES"/>
        </w:rPr>
      </w:pPr>
    </w:p>
    <w:p w14:paraId="147F4D25" w14:textId="1CD9387E" w:rsidR="000723DA" w:rsidRPr="00833070" w:rsidRDefault="000723DA" w:rsidP="00F14CA3">
      <w:pPr>
        <w:ind w:firstLine="720"/>
        <w:jc w:val="both"/>
        <w:rPr>
          <w:rFonts w:ascii="Book Antiqua" w:hAnsi="Book Antiqua"/>
          <w:lang w:val="es-ES"/>
        </w:rPr>
      </w:pPr>
      <w:r w:rsidRPr="00833070">
        <w:rPr>
          <w:rFonts w:ascii="Book Antiqua" w:hAnsi="Book Antiqua"/>
          <w:lang w:val="es-ES"/>
        </w:rPr>
        <w:t>En Puerto Rico, el precio de los boletos para eventos de entretenimiento ha aumentado significativamente, observándose la imposición de cargos adicionales que inflan el costo final para el consumidor. Tradicionalmente, cargos como el de servicio (</w:t>
      </w:r>
      <w:proofErr w:type="spellStart"/>
      <w:r w:rsidRPr="00833070">
        <w:rPr>
          <w:rFonts w:ascii="Book Antiqua" w:hAnsi="Book Antiqua"/>
          <w:lang w:val="es-ES"/>
        </w:rPr>
        <w:t>service</w:t>
      </w:r>
      <w:proofErr w:type="spellEnd"/>
      <w:r w:rsidRPr="00833070">
        <w:rPr>
          <w:rFonts w:ascii="Book Antiqua" w:hAnsi="Book Antiqua"/>
          <w:lang w:val="es-ES"/>
        </w:rPr>
        <w:t xml:space="preserve"> fee) y de facilidad (</w:t>
      </w:r>
      <w:proofErr w:type="spellStart"/>
      <w:r w:rsidRPr="00833070">
        <w:rPr>
          <w:rFonts w:ascii="Book Antiqua" w:hAnsi="Book Antiqua"/>
          <w:lang w:val="es-ES"/>
        </w:rPr>
        <w:t>facility</w:t>
      </w:r>
      <w:proofErr w:type="spellEnd"/>
      <w:r w:rsidRPr="00833070">
        <w:rPr>
          <w:rFonts w:ascii="Book Antiqua" w:hAnsi="Book Antiqua"/>
          <w:lang w:val="es-ES"/>
        </w:rPr>
        <w:t xml:space="preserve"> fee) se suman al precio base del boleto. Sin embargo, recientemente ha proliferado en la Isla la práctica de incluir un cargo adicional por boleto, conocido como </w:t>
      </w:r>
      <w:proofErr w:type="spellStart"/>
      <w:r w:rsidRPr="00833070">
        <w:rPr>
          <w:rFonts w:ascii="Book Antiqua" w:hAnsi="Book Antiqua"/>
          <w:lang w:val="es-ES"/>
        </w:rPr>
        <w:t>promoter</w:t>
      </w:r>
      <w:proofErr w:type="spellEnd"/>
      <w:r w:rsidRPr="00833070">
        <w:rPr>
          <w:rFonts w:ascii="Book Antiqua" w:hAnsi="Book Antiqua"/>
          <w:lang w:val="es-ES"/>
        </w:rPr>
        <w:t xml:space="preserve"> fee.</w:t>
      </w:r>
    </w:p>
    <w:p w14:paraId="72BF4088" w14:textId="77777777" w:rsidR="000723DA" w:rsidRPr="00833070" w:rsidRDefault="000723DA" w:rsidP="000723DA">
      <w:pPr>
        <w:ind w:firstLine="720"/>
        <w:jc w:val="both"/>
        <w:rPr>
          <w:rFonts w:ascii="Book Antiqua" w:hAnsi="Book Antiqua"/>
          <w:lang w:val="es-ES"/>
        </w:rPr>
      </w:pPr>
    </w:p>
    <w:p w14:paraId="733684E2" w14:textId="68D05247" w:rsidR="000723DA" w:rsidRPr="00833070" w:rsidRDefault="000723DA" w:rsidP="00F14CA3">
      <w:pPr>
        <w:ind w:firstLine="720"/>
        <w:jc w:val="both"/>
        <w:rPr>
          <w:rFonts w:ascii="Book Antiqua" w:hAnsi="Book Antiqua"/>
          <w:lang w:val="es-ES"/>
        </w:rPr>
      </w:pPr>
      <w:r w:rsidRPr="00833070">
        <w:rPr>
          <w:rFonts w:ascii="Book Antiqua" w:hAnsi="Book Antiqua"/>
          <w:lang w:val="es-ES"/>
        </w:rPr>
        <w:t xml:space="preserve">Este cargo se añade al precio base, elevando aún más el costo total para los consumidores y afectando directamente el bolsillo de las familias puertorriqueñas, limitando su acceso al arte, la cultura y el entretenimiento. Según determinaciones administrativas recientes del Departamento de Asuntos del Consumidor (DACO), el </w:t>
      </w:r>
      <w:proofErr w:type="spellStart"/>
      <w:r w:rsidRPr="00833070">
        <w:rPr>
          <w:rFonts w:ascii="Book Antiqua" w:hAnsi="Book Antiqua"/>
          <w:lang w:val="es-ES"/>
        </w:rPr>
        <w:t>promoter</w:t>
      </w:r>
      <w:proofErr w:type="spellEnd"/>
      <w:r w:rsidRPr="00833070">
        <w:rPr>
          <w:rFonts w:ascii="Book Antiqua" w:hAnsi="Book Antiqua"/>
          <w:lang w:val="es-ES"/>
        </w:rPr>
        <w:t xml:space="preserve"> fee es un cargo que el promotor impone adicional a su compensación pactada con los artistas y que se cobra directamente en la taquilla al consumidor, no siendo un costo que el promotor tenga que pagar a un tercero.</w:t>
      </w:r>
    </w:p>
    <w:p w14:paraId="0D94D262" w14:textId="77777777" w:rsidR="000723DA" w:rsidRPr="00833070" w:rsidRDefault="000723DA" w:rsidP="000723DA">
      <w:pPr>
        <w:ind w:firstLine="720"/>
        <w:jc w:val="both"/>
        <w:rPr>
          <w:rFonts w:ascii="Book Antiqua" w:hAnsi="Book Antiqua"/>
          <w:lang w:val="es-ES"/>
        </w:rPr>
      </w:pPr>
    </w:p>
    <w:p w14:paraId="3B69AC02" w14:textId="08C9B400" w:rsidR="000723DA" w:rsidRPr="00833070" w:rsidRDefault="000723DA" w:rsidP="00DE36C7">
      <w:pPr>
        <w:ind w:firstLine="720"/>
        <w:jc w:val="both"/>
        <w:rPr>
          <w:rFonts w:ascii="Book Antiqua" w:hAnsi="Book Antiqua"/>
          <w:lang w:val="es-ES"/>
        </w:rPr>
      </w:pPr>
      <w:r w:rsidRPr="00833070">
        <w:rPr>
          <w:rFonts w:ascii="Book Antiqua" w:hAnsi="Book Antiqua"/>
          <w:lang w:val="es-ES"/>
        </w:rPr>
        <w:lastRenderedPageBreak/>
        <w:t>Esta práctica tiene el efecto de distorsionar el precio promedio de taquilla acordado entre el promotor y el artista, alterando la expectativa económica del acuerdo y menoscabando la transparencia en el proceso de compra al presentarse como un cargo no optativo. Al evaluar las mejores prácticas en otras jurisdicciones como Florida, Texas y California, se observa que la tendencia es ubicar los costos administrativos dentro de la estructura del organizador y desalentar su transferencia como cargos separados al consumidor.</w:t>
      </w:r>
    </w:p>
    <w:p w14:paraId="5FF89753" w14:textId="77777777" w:rsidR="000723DA" w:rsidRPr="00833070" w:rsidRDefault="000723DA" w:rsidP="000723DA">
      <w:pPr>
        <w:ind w:firstLine="720"/>
        <w:jc w:val="both"/>
        <w:rPr>
          <w:rFonts w:ascii="Book Antiqua" w:hAnsi="Book Antiqua"/>
          <w:lang w:val="es-ES"/>
        </w:rPr>
      </w:pPr>
    </w:p>
    <w:p w14:paraId="54C7545A" w14:textId="5ED239BF" w:rsidR="00320CB2" w:rsidRPr="00833070" w:rsidRDefault="000723DA" w:rsidP="000723DA">
      <w:pPr>
        <w:ind w:firstLine="720"/>
        <w:jc w:val="both"/>
        <w:rPr>
          <w:rFonts w:ascii="Book Antiqua" w:hAnsi="Book Antiqua"/>
          <w:lang w:val="es-ES"/>
        </w:rPr>
      </w:pPr>
      <w:r w:rsidRPr="00833070">
        <w:rPr>
          <w:rFonts w:ascii="Book Antiqua" w:hAnsi="Book Antiqua"/>
          <w:lang w:val="es-ES"/>
        </w:rPr>
        <w:t xml:space="preserve">La Ley Núm. 209-2016 establece que no se pueden incluir en el recibo de compra cobros no optativos por servicios inexistentes o no susceptibles de ser corroborados por el consumidor. La imposición del </w:t>
      </w:r>
      <w:proofErr w:type="spellStart"/>
      <w:r w:rsidRPr="00833070">
        <w:rPr>
          <w:rFonts w:ascii="Book Antiqua" w:hAnsi="Book Antiqua"/>
          <w:lang w:val="es-ES"/>
        </w:rPr>
        <w:t>promoter</w:t>
      </w:r>
      <w:proofErr w:type="spellEnd"/>
      <w:r w:rsidRPr="00833070">
        <w:rPr>
          <w:rFonts w:ascii="Book Antiqua" w:hAnsi="Book Antiqua"/>
          <w:lang w:val="es-ES"/>
        </w:rPr>
        <w:t xml:space="preserve"> fee como un renglón separado no se encuentra dentro de las excepciones permitidas por dicha Ley. Por tanto, esta Asamblea Legislativa entiende necesario elevar a rango de ley la prohibición de esta práctica para garantizar la transparencia en el comercio.</w:t>
      </w:r>
    </w:p>
    <w:p w14:paraId="5E0EBCF6" w14:textId="77777777" w:rsidR="00C956B0" w:rsidRPr="00833070" w:rsidRDefault="00C956B0" w:rsidP="00320CB2">
      <w:pPr>
        <w:jc w:val="both"/>
        <w:rPr>
          <w:rFonts w:ascii="Book Antiqua" w:hAnsi="Book Antiqua"/>
          <w:lang w:val="es-ES"/>
        </w:rPr>
      </w:pPr>
    </w:p>
    <w:p w14:paraId="57033798" w14:textId="7BB7153B" w:rsidR="0020062C" w:rsidRPr="00833070" w:rsidRDefault="0020062C" w:rsidP="00CC2F2D">
      <w:pPr>
        <w:rPr>
          <w:rFonts w:ascii="Book Antiqua" w:hAnsi="Book Antiqua"/>
          <w:i/>
          <w:lang w:val="es-ES"/>
        </w:rPr>
      </w:pPr>
      <w:r w:rsidRPr="00833070">
        <w:rPr>
          <w:rFonts w:ascii="Book Antiqua" w:hAnsi="Book Antiqua"/>
          <w:i/>
          <w:lang w:val="es-ES"/>
        </w:rPr>
        <w:t>DECRÉTASE POR LA ASAMBLEA LEGISLATIVA DE PUERTO RICO:</w:t>
      </w:r>
    </w:p>
    <w:p w14:paraId="0A7FBF1D" w14:textId="77777777" w:rsidR="0020062C" w:rsidRPr="00833070" w:rsidRDefault="0020062C" w:rsidP="00CC2F2D">
      <w:pPr>
        <w:jc w:val="both"/>
        <w:rPr>
          <w:rFonts w:ascii="Book Antiqua" w:hAnsi="Book Antiqua"/>
          <w:lang w:val="es-ES"/>
        </w:rPr>
      </w:pPr>
    </w:p>
    <w:p w14:paraId="104ED132" w14:textId="231C29E3" w:rsidR="00CC2F2D" w:rsidRPr="00833070" w:rsidRDefault="00CC2F2D" w:rsidP="00CC2F2D">
      <w:pPr>
        <w:jc w:val="both"/>
        <w:rPr>
          <w:rFonts w:ascii="Book Antiqua" w:hAnsi="Book Antiqua"/>
          <w:lang w:val="es-ES"/>
        </w:rPr>
        <w:sectPr w:rsidR="00CC2F2D" w:rsidRPr="00833070" w:rsidSect="006E4DD9">
          <w:headerReference w:type="default" r:id="rId8"/>
          <w:type w:val="continuous"/>
          <w:pgSz w:w="12240" w:h="15840" w:code="1"/>
          <w:pgMar w:top="1440" w:right="1440" w:bottom="1440" w:left="1440" w:header="720" w:footer="720" w:gutter="0"/>
          <w:cols w:space="720"/>
          <w:titlePg/>
        </w:sectPr>
      </w:pPr>
    </w:p>
    <w:p w14:paraId="246F9020" w14:textId="77777777" w:rsidR="001D0E7D" w:rsidRPr="00833070" w:rsidRDefault="001D0E7D" w:rsidP="001D0E7D">
      <w:pPr>
        <w:spacing w:line="480" w:lineRule="auto"/>
        <w:ind w:firstLine="720"/>
        <w:jc w:val="both"/>
        <w:rPr>
          <w:rFonts w:ascii="Book Antiqua" w:hAnsi="Book Antiqua"/>
          <w:lang w:val="es-ES"/>
        </w:rPr>
      </w:pPr>
      <w:r w:rsidRPr="00833070">
        <w:rPr>
          <w:rFonts w:ascii="Book Antiqua" w:hAnsi="Book Antiqua"/>
          <w:lang w:val="es-ES"/>
        </w:rPr>
        <w:t>Artículo 1. — Título. Esta Ley se conocerá como la "Ley de Transparencia en la Venta de Boletos de Espectáculos Públicos".</w:t>
      </w:r>
    </w:p>
    <w:p w14:paraId="47DEA6CA" w14:textId="77777777" w:rsidR="0038710D" w:rsidRPr="00833070" w:rsidRDefault="001D0E7D" w:rsidP="0038710D">
      <w:pPr>
        <w:spacing w:line="480" w:lineRule="auto"/>
        <w:ind w:firstLine="720"/>
        <w:jc w:val="both"/>
        <w:rPr>
          <w:rFonts w:ascii="Book Antiqua" w:hAnsi="Book Antiqua"/>
          <w:lang w:val="es-ES"/>
        </w:rPr>
      </w:pPr>
      <w:r w:rsidRPr="00833070">
        <w:rPr>
          <w:rFonts w:ascii="Book Antiqua" w:hAnsi="Book Antiqua"/>
          <w:lang w:val="es-ES"/>
        </w:rPr>
        <w:t xml:space="preserve">Artículo 2. — Definición. </w:t>
      </w:r>
    </w:p>
    <w:p w14:paraId="75C5C0BB" w14:textId="01829E75" w:rsidR="001D0E7D" w:rsidRPr="00833070" w:rsidRDefault="001D0E7D" w:rsidP="0038710D">
      <w:pPr>
        <w:spacing w:line="480" w:lineRule="auto"/>
        <w:ind w:firstLine="720"/>
        <w:jc w:val="both"/>
        <w:rPr>
          <w:rFonts w:ascii="Book Antiqua" w:hAnsi="Book Antiqua"/>
          <w:lang w:val="es-ES"/>
        </w:rPr>
      </w:pPr>
      <w:r w:rsidRPr="00833070">
        <w:rPr>
          <w:rFonts w:ascii="Book Antiqua" w:hAnsi="Book Antiqua"/>
          <w:lang w:val="es-ES"/>
        </w:rPr>
        <w:t>Para fines de esta Ley, se define "</w:t>
      </w:r>
      <w:proofErr w:type="spellStart"/>
      <w:r w:rsidRPr="00833070">
        <w:rPr>
          <w:rFonts w:ascii="Book Antiqua" w:hAnsi="Book Antiqua"/>
          <w:lang w:val="es-ES"/>
        </w:rPr>
        <w:t>Promoter</w:t>
      </w:r>
      <w:proofErr w:type="spellEnd"/>
      <w:r w:rsidRPr="00833070">
        <w:rPr>
          <w:rFonts w:ascii="Book Antiqua" w:hAnsi="Book Antiqua"/>
          <w:lang w:val="es-ES"/>
        </w:rPr>
        <w:t xml:space="preserve"> Fee" o "Tarifa de Promotor" como aquel cargo que el promotor u organizador de un evento impone de forma adicional a su compensación regular o precio base del boleto, y que se cobra directamente al consumidor como una partida separada. Se entenderá como un cargo que no corresponde a un servicio prestado por un tercero que el promotor deba pagar, sino a un ingreso directo para el organizador</w:t>
      </w:r>
      <w:r w:rsidR="00C23C64">
        <w:rPr>
          <w:rFonts w:ascii="Book Antiqua" w:hAnsi="Book Antiqua"/>
          <w:lang w:val="es-ES"/>
        </w:rPr>
        <w:t xml:space="preserve"> y/o promotor</w:t>
      </w:r>
      <w:r w:rsidRPr="00833070">
        <w:rPr>
          <w:rFonts w:ascii="Book Antiqua" w:hAnsi="Book Antiqua"/>
          <w:lang w:val="es-ES"/>
        </w:rPr>
        <w:t>.</w:t>
      </w:r>
    </w:p>
    <w:p w14:paraId="445DC30F" w14:textId="77777777" w:rsidR="0038710D" w:rsidRPr="00833070" w:rsidRDefault="001D0E7D" w:rsidP="001D0E7D">
      <w:pPr>
        <w:spacing w:line="480" w:lineRule="auto"/>
        <w:ind w:firstLine="720"/>
        <w:jc w:val="both"/>
        <w:rPr>
          <w:rFonts w:ascii="Book Antiqua" w:hAnsi="Book Antiqua"/>
          <w:lang w:val="es-ES"/>
        </w:rPr>
      </w:pPr>
      <w:r w:rsidRPr="00833070">
        <w:rPr>
          <w:rFonts w:ascii="Book Antiqua" w:hAnsi="Book Antiqua"/>
          <w:lang w:val="es-ES"/>
        </w:rPr>
        <w:t xml:space="preserve">Artículo 3. — Prohibición. </w:t>
      </w:r>
    </w:p>
    <w:p w14:paraId="3E7FB74D" w14:textId="4C0A5B4F" w:rsidR="001D0E7D" w:rsidRPr="00833070" w:rsidRDefault="001D0E7D" w:rsidP="001D0E7D">
      <w:pPr>
        <w:spacing w:line="480" w:lineRule="auto"/>
        <w:ind w:firstLine="720"/>
        <w:jc w:val="both"/>
        <w:rPr>
          <w:rFonts w:ascii="Book Antiqua" w:hAnsi="Book Antiqua"/>
          <w:lang w:val="es-ES"/>
        </w:rPr>
      </w:pPr>
      <w:r w:rsidRPr="00833070">
        <w:rPr>
          <w:rFonts w:ascii="Book Antiqua" w:hAnsi="Book Antiqua"/>
          <w:lang w:val="es-ES"/>
        </w:rPr>
        <w:t>Se prohíbe a todo promotor, organizador de eventos o vendedor de boletos en Puerto Rico transferir el costo de la tarifa del promotor (</w:t>
      </w:r>
      <w:proofErr w:type="spellStart"/>
      <w:r w:rsidRPr="00833070">
        <w:rPr>
          <w:rFonts w:ascii="Book Antiqua" w:hAnsi="Book Antiqua"/>
          <w:i/>
          <w:iCs/>
          <w:lang w:val="es-ES"/>
        </w:rPr>
        <w:t>promoter</w:t>
      </w:r>
      <w:proofErr w:type="spellEnd"/>
      <w:r w:rsidRPr="00833070">
        <w:rPr>
          <w:rFonts w:ascii="Book Antiqua" w:hAnsi="Book Antiqua"/>
          <w:i/>
          <w:iCs/>
          <w:lang w:val="es-ES"/>
        </w:rPr>
        <w:t xml:space="preserve"> fee</w:t>
      </w:r>
      <w:r w:rsidRPr="00833070">
        <w:rPr>
          <w:rFonts w:ascii="Book Antiqua" w:hAnsi="Book Antiqua"/>
          <w:lang w:val="es-ES"/>
        </w:rPr>
        <w:t xml:space="preserve">) a los consumidores como un cargo adicional o separado del precio base del boleto. Cualquier costo </w:t>
      </w:r>
      <w:r w:rsidRPr="00833070">
        <w:rPr>
          <w:rFonts w:ascii="Book Antiqua" w:hAnsi="Book Antiqua"/>
          <w:lang w:val="es-ES"/>
        </w:rPr>
        <w:lastRenderedPageBreak/>
        <w:t>administrativo o de gestión del promotor deberá estar integrado en el precio de venta unitario del boleto y no podrá desglosarse como un cargo accesorio (</w:t>
      </w:r>
      <w:r w:rsidRPr="00833070">
        <w:rPr>
          <w:rFonts w:ascii="Book Antiqua" w:hAnsi="Book Antiqua"/>
          <w:i/>
          <w:iCs/>
          <w:lang w:val="es-ES"/>
        </w:rPr>
        <w:t>fee</w:t>
      </w:r>
      <w:r w:rsidRPr="00833070">
        <w:rPr>
          <w:rFonts w:ascii="Book Antiqua" w:hAnsi="Book Antiqua"/>
          <w:lang w:val="es-ES"/>
        </w:rPr>
        <w:t>).</w:t>
      </w:r>
    </w:p>
    <w:p w14:paraId="4CA08DA0" w14:textId="4B5E275B" w:rsidR="00233933" w:rsidRPr="00833070" w:rsidRDefault="00233933" w:rsidP="00233933">
      <w:pPr>
        <w:spacing w:line="480" w:lineRule="auto"/>
        <w:ind w:firstLine="720"/>
        <w:jc w:val="both"/>
        <w:rPr>
          <w:rFonts w:ascii="Book Antiqua" w:hAnsi="Book Antiqua"/>
          <w:lang w:val="es-ES"/>
        </w:rPr>
      </w:pPr>
      <w:r w:rsidRPr="00833070">
        <w:rPr>
          <w:rFonts w:ascii="Book Antiqua" w:hAnsi="Book Antiqua"/>
          <w:lang w:val="es-ES"/>
        </w:rPr>
        <w:t xml:space="preserve">Artículo 4. — </w:t>
      </w:r>
      <w:r w:rsidR="00F35C73" w:rsidRPr="00833070">
        <w:rPr>
          <w:rFonts w:ascii="Book Antiqua" w:hAnsi="Book Antiqua"/>
          <w:lang w:val="es-ES"/>
        </w:rPr>
        <w:t>Se enmienda el Artículo 3 de la Ley Núm. 209-2016, según enmendada, para que lea como sigue:</w:t>
      </w:r>
    </w:p>
    <w:p w14:paraId="7EE65A70" w14:textId="0B5496E5" w:rsidR="00233933" w:rsidRPr="00833070" w:rsidRDefault="0060233D" w:rsidP="00C40E95">
      <w:pPr>
        <w:spacing w:line="480" w:lineRule="auto"/>
        <w:ind w:firstLine="720"/>
        <w:jc w:val="both"/>
        <w:rPr>
          <w:rFonts w:ascii="Book Antiqua" w:hAnsi="Book Antiqua"/>
          <w:lang w:val="es-ES"/>
        </w:rPr>
      </w:pPr>
      <w:r w:rsidRPr="00833070">
        <w:rPr>
          <w:rFonts w:ascii="Book Antiqua" w:hAnsi="Book Antiqua"/>
          <w:lang w:val="es-ES"/>
        </w:rPr>
        <w:t>“</w:t>
      </w:r>
      <w:r w:rsidR="00233933" w:rsidRPr="00833070">
        <w:rPr>
          <w:rFonts w:ascii="Book Antiqua" w:hAnsi="Book Antiqua"/>
          <w:lang w:val="es-ES"/>
        </w:rPr>
        <w:t>El documento acreditativo o recibo de compra de los establecimientos comerciales que ofrezcan en venta, alquiler, permuta o traspaso de cualquier tipo de bienes o servicios que estén en</w:t>
      </w:r>
      <w:r w:rsidR="00C40E95" w:rsidRPr="00833070">
        <w:rPr>
          <w:rFonts w:ascii="Book Antiqua" w:hAnsi="Book Antiqua"/>
          <w:lang w:val="es-ES"/>
        </w:rPr>
        <w:t xml:space="preserve"> </w:t>
      </w:r>
      <w:r w:rsidR="00233933" w:rsidRPr="00833070">
        <w:rPr>
          <w:rFonts w:ascii="Book Antiqua" w:hAnsi="Book Antiqua"/>
          <w:lang w:val="es-ES"/>
        </w:rPr>
        <w:t>el comercio de las personas no podrá incluir la frase “cargo por servicio”, su denominación en</w:t>
      </w:r>
      <w:r w:rsidR="00C40E95" w:rsidRPr="00833070">
        <w:rPr>
          <w:rFonts w:ascii="Book Antiqua" w:hAnsi="Book Antiqua"/>
          <w:lang w:val="es-ES"/>
        </w:rPr>
        <w:t xml:space="preserve"> </w:t>
      </w:r>
      <w:r w:rsidR="00233933" w:rsidRPr="00833070">
        <w:rPr>
          <w:rFonts w:ascii="Book Antiqua" w:hAnsi="Book Antiqua"/>
          <w:lang w:val="es-ES"/>
        </w:rPr>
        <w:t>inglés o cualquier otro renglón que sea utilizado para incluir cobros no optativos, no opcionales y</w:t>
      </w:r>
      <w:r w:rsidR="00C40E95" w:rsidRPr="00833070">
        <w:rPr>
          <w:rFonts w:ascii="Book Antiqua" w:hAnsi="Book Antiqua"/>
          <w:lang w:val="es-ES"/>
        </w:rPr>
        <w:t xml:space="preserve"> </w:t>
      </w:r>
      <w:r w:rsidR="00233933" w:rsidRPr="00833070">
        <w:rPr>
          <w:rFonts w:ascii="Book Antiqua" w:hAnsi="Book Antiqua"/>
          <w:lang w:val="es-ES"/>
        </w:rPr>
        <w:t>que no hayan sido expresamente autorizados por el consumidor, ni disposiciones sobre cobrar una</w:t>
      </w:r>
      <w:r w:rsidR="00C40E95" w:rsidRPr="00833070">
        <w:rPr>
          <w:rFonts w:ascii="Book Antiqua" w:hAnsi="Book Antiqua"/>
          <w:lang w:val="es-ES"/>
        </w:rPr>
        <w:t xml:space="preserve"> </w:t>
      </w:r>
      <w:r w:rsidR="00233933" w:rsidRPr="00833070">
        <w:rPr>
          <w:rFonts w:ascii="Book Antiqua" w:hAnsi="Book Antiqua"/>
          <w:lang w:val="es-ES"/>
        </w:rPr>
        <w:t>cantidad de dinero por concepto de cargos por servicios, cuando dichos servicios son inexistentes</w:t>
      </w:r>
      <w:r w:rsidR="00C40E95" w:rsidRPr="00833070">
        <w:rPr>
          <w:rFonts w:ascii="Book Antiqua" w:hAnsi="Book Antiqua"/>
          <w:lang w:val="es-ES"/>
        </w:rPr>
        <w:t xml:space="preserve"> </w:t>
      </w:r>
      <w:r w:rsidR="00233933" w:rsidRPr="00833070">
        <w:rPr>
          <w:rFonts w:ascii="Book Antiqua" w:hAnsi="Book Antiqua"/>
          <w:lang w:val="es-ES"/>
        </w:rPr>
        <w:t>o no susceptibles de ser corroborados por el consumidor al momento de percibir el servicio o</w:t>
      </w:r>
      <w:r w:rsidRPr="00833070">
        <w:rPr>
          <w:rFonts w:ascii="Book Antiqua" w:hAnsi="Book Antiqua"/>
          <w:lang w:val="es-ES"/>
        </w:rPr>
        <w:t xml:space="preserve"> adquirir el bien. </w:t>
      </w:r>
      <w:r w:rsidR="00C72292" w:rsidRPr="00833070">
        <w:rPr>
          <w:rFonts w:ascii="Book Antiqua" w:hAnsi="Book Antiqua"/>
          <w:i/>
          <w:iCs/>
          <w:lang w:val="es-ES"/>
        </w:rPr>
        <w:t>Tampoco podrá incluirse el cargo conocido como '</w:t>
      </w:r>
      <w:proofErr w:type="spellStart"/>
      <w:r w:rsidR="00C72292" w:rsidRPr="00833070">
        <w:rPr>
          <w:rFonts w:ascii="Book Antiqua" w:hAnsi="Book Antiqua"/>
          <w:i/>
          <w:iCs/>
          <w:lang w:val="es-ES"/>
        </w:rPr>
        <w:t>promoter</w:t>
      </w:r>
      <w:proofErr w:type="spellEnd"/>
      <w:r w:rsidR="00C72292" w:rsidRPr="00833070">
        <w:rPr>
          <w:rFonts w:ascii="Book Antiqua" w:hAnsi="Book Antiqua"/>
          <w:i/>
          <w:iCs/>
          <w:lang w:val="es-ES"/>
        </w:rPr>
        <w:t xml:space="preserve"> fee' o tarifa de promotor, ni cargos similares que tengan el efecto de transferir costos operacionales del organizador al consumidor de forma separada al precio del bien o servicio.</w:t>
      </w:r>
      <w:r w:rsidR="00C72292" w:rsidRPr="00833070">
        <w:rPr>
          <w:rFonts w:ascii="Book Antiqua" w:hAnsi="Book Antiqua"/>
          <w:lang w:val="es-ES"/>
        </w:rPr>
        <w:t xml:space="preserve"> </w:t>
      </w:r>
      <w:proofErr w:type="gramStart"/>
      <w:r w:rsidRPr="00833070">
        <w:rPr>
          <w:rFonts w:ascii="Book Antiqua" w:hAnsi="Book Antiqua"/>
          <w:lang w:val="es-ES"/>
        </w:rPr>
        <w:t>En relación a</w:t>
      </w:r>
      <w:proofErr w:type="gramEnd"/>
      <w:r w:rsidRPr="00833070">
        <w:rPr>
          <w:rFonts w:ascii="Book Antiqua" w:hAnsi="Book Antiqua"/>
          <w:lang w:val="es-ES"/>
        </w:rPr>
        <w:t xml:space="preserve"> esto, no pueden gravarse con cargos adicionales separados del precio los servicios básicos accesorios cuando dichos servicios son necesarios y no operacionales que se ofrecen para que el consumidor reciba el bien o servicio principal que se ofrece. Cualquier cargo complementario o accesorio al bien o servicio principal objeto de una transacción comercial que no sea optativo u opcional deberá estar desglosado, explicado y detallado de la misma forma y tipo junto al bien o servicio principal objeto de la transacción comercial junto a su costo final para el consumidor en todo documento acreditativo dirigido al consumidor o con intención de </w:t>
      </w:r>
      <w:r w:rsidRPr="00833070">
        <w:rPr>
          <w:rFonts w:ascii="Book Antiqua" w:hAnsi="Book Antiqua"/>
          <w:lang w:val="es-ES"/>
        </w:rPr>
        <w:lastRenderedPageBreak/>
        <w:t xml:space="preserve">persuadirle en su decisión de compra. Lo anterior, también </w:t>
      </w:r>
      <w:proofErr w:type="gramStart"/>
      <w:r w:rsidRPr="00833070">
        <w:rPr>
          <w:rFonts w:ascii="Book Antiqua" w:hAnsi="Book Antiqua"/>
          <w:lang w:val="es-ES"/>
        </w:rPr>
        <w:t>será de aplicación</w:t>
      </w:r>
      <w:proofErr w:type="gramEnd"/>
      <w:r w:rsidRPr="00833070">
        <w:rPr>
          <w:rFonts w:ascii="Book Antiqua" w:hAnsi="Book Antiqua"/>
          <w:lang w:val="es-ES"/>
        </w:rPr>
        <w:t xml:space="preserve"> a las transacciones comerciales en páginas cibernéticas de venta en línea. Se prohíbe expresamente el cobro del cargo por servicio en los establecimientos comerciales dedicados a la venta de comida y/o bebidas alcohólicas, excepto cuando el servicio prestado sea requerido por el cliente.</w:t>
      </w:r>
      <w:r w:rsidR="00F40774">
        <w:rPr>
          <w:rFonts w:ascii="Book Antiqua" w:hAnsi="Book Antiqua"/>
          <w:lang w:val="es-ES"/>
        </w:rPr>
        <w:t>”</w:t>
      </w:r>
    </w:p>
    <w:p w14:paraId="1AE7084D" w14:textId="6DB94BCC" w:rsidR="00E7382E" w:rsidRPr="00833070" w:rsidRDefault="00E7382E" w:rsidP="00E7382E">
      <w:pPr>
        <w:spacing w:line="480" w:lineRule="auto"/>
        <w:ind w:firstLine="720"/>
        <w:jc w:val="both"/>
        <w:rPr>
          <w:rFonts w:ascii="Book Antiqua" w:hAnsi="Book Antiqua"/>
          <w:lang w:val="es-ES"/>
        </w:rPr>
      </w:pPr>
      <w:r w:rsidRPr="00833070">
        <w:rPr>
          <w:rFonts w:ascii="Book Antiqua" w:hAnsi="Book Antiqua"/>
          <w:lang w:val="es-ES"/>
        </w:rPr>
        <w:t xml:space="preserve">Artículo </w:t>
      </w:r>
      <w:r w:rsidR="007702B0" w:rsidRPr="00833070">
        <w:rPr>
          <w:rFonts w:ascii="Book Antiqua" w:hAnsi="Book Antiqua"/>
          <w:lang w:val="es-ES"/>
        </w:rPr>
        <w:t>5</w:t>
      </w:r>
      <w:r w:rsidRPr="00833070">
        <w:rPr>
          <w:rFonts w:ascii="Book Antiqua" w:hAnsi="Book Antiqua"/>
          <w:lang w:val="es-ES"/>
        </w:rPr>
        <w:t>. – Facultades reglamentarias y sanciones.</w:t>
      </w:r>
    </w:p>
    <w:p w14:paraId="2C3637CF" w14:textId="7D520DB4" w:rsidR="00E7382E" w:rsidRPr="00833070" w:rsidRDefault="00833070" w:rsidP="00E7382E">
      <w:pPr>
        <w:spacing w:line="480" w:lineRule="auto"/>
        <w:ind w:firstLine="720"/>
        <w:jc w:val="both"/>
        <w:rPr>
          <w:rFonts w:ascii="Book Antiqua" w:hAnsi="Book Antiqua"/>
          <w:lang w:val="es-ES"/>
        </w:rPr>
      </w:pPr>
      <w:r w:rsidRPr="00833070">
        <w:rPr>
          <w:rFonts w:ascii="Book Antiqua" w:hAnsi="Book Antiqua"/>
          <w:lang w:val="es-ES"/>
        </w:rPr>
        <w:t xml:space="preserve">El Departamento de Asuntos del Consumidor (DACO) utilizará todas las facultades establecidas en su ley orgánica para garantizar el cumplimiento de esta Ley. El DACO velará por que los precios anunciados no induzcan a error y que no se oculten cargos en la publicidad inicial. </w:t>
      </w:r>
      <w:r w:rsidR="00E7382E" w:rsidRPr="00833070">
        <w:rPr>
          <w:rFonts w:ascii="Book Antiqua" w:hAnsi="Book Antiqua"/>
          <w:lang w:val="es-ES"/>
        </w:rPr>
        <w:t xml:space="preserve">El incumplimiento de las disposiciones aquí contenidas conllevará la imposición de multas administrativas de hasta cincuenta mil dólares ($50,000) por infracción. </w:t>
      </w:r>
    </w:p>
    <w:p w14:paraId="2E945414" w14:textId="1B729CB7" w:rsidR="00E7382E" w:rsidRPr="00833070" w:rsidRDefault="00E7382E" w:rsidP="00E7382E">
      <w:pPr>
        <w:spacing w:line="480" w:lineRule="auto"/>
        <w:ind w:firstLine="720"/>
        <w:jc w:val="both"/>
        <w:rPr>
          <w:rFonts w:ascii="Book Antiqua" w:hAnsi="Book Antiqua"/>
          <w:lang w:val="es-ES"/>
        </w:rPr>
      </w:pPr>
      <w:r w:rsidRPr="00833070">
        <w:rPr>
          <w:rFonts w:ascii="Book Antiqua" w:hAnsi="Book Antiqua"/>
          <w:lang w:val="es-ES"/>
        </w:rPr>
        <w:t xml:space="preserve">Artículo </w:t>
      </w:r>
      <w:r w:rsidR="00833070">
        <w:rPr>
          <w:rFonts w:ascii="Book Antiqua" w:hAnsi="Book Antiqua"/>
          <w:lang w:val="es-ES"/>
        </w:rPr>
        <w:t>6</w:t>
      </w:r>
      <w:r w:rsidRPr="00833070">
        <w:rPr>
          <w:rFonts w:ascii="Book Antiqua" w:hAnsi="Book Antiqua"/>
          <w:lang w:val="es-ES"/>
        </w:rPr>
        <w:t>. – Cláusula de separabilidad</w:t>
      </w:r>
    </w:p>
    <w:p w14:paraId="0B6A5E62" w14:textId="77777777" w:rsidR="00E7382E" w:rsidRPr="00833070" w:rsidRDefault="00E7382E" w:rsidP="00E7382E">
      <w:pPr>
        <w:spacing w:line="480" w:lineRule="auto"/>
        <w:ind w:firstLine="720"/>
        <w:jc w:val="both"/>
        <w:rPr>
          <w:rFonts w:ascii="Book Antiqua" w:hAnsi="Book Antiqua"/>
          <w:lang w:val="es-ES"/>
        </w:rPr>
      </w:pPr>
      <w:r w:rsidRPr="00833070">
        <w:rPr>
          <w:rFonts w:ascii="Book Antiqua" w:hAnsi="Book Antiqua"/>
          <w:lang w:val="es-ES"/>
        </w:rPr>
        <w:t>Si cualquier parte de esta Ley fuere declarada nula o inconstitucional por cualquier tribunal competente, dicha declaración no afectará, menoscabará o invalidará las otras disposiciones.</w:t>
      </w:r>
    </w:p>
    <w:p w14:paraId="0AB38449" w14:textId="5FCA3627" w:rsidR="00E7382E" w:rsidRPr="00833070" w:rsidRDefault="00E7382E" w:rsidP="00E7382E">
      <w:pPr>
        <w:spacing w:line="480" w:lineRule="auto"/>
        <w:ind w:firstLine="720"/>
        <w:jc w:val="both"/>
        <w:rPr>
          <w:rFonts w:ascii="Book Antiqua" w:hAnsi="Book Antiqua"/>
          <w:lang w:val="es-ES"/>
        </w:rPr>
      </w:pPr>
      <w:r w:rsidRPr="00833070">
        <w:rPr>
          <w:rFonts w:ascii="Book Antiqua" w:hAnsi="Book Antiqua"/>
          <w:lang w:val="es-ES"/>
        </w:rPr>
        <w:t xml:space="preserve">Artículo </w:t>
      </w:r>
      <w:r w:rsidR="00833070">
        <w:rPr>
          <w:rFonts w:ascii="Book Antiqua" w:hAnsi="Book Antiqua"/>
          <w:lang w:val="es-ES"/>
        </w:rPr>
        <w:t>7</w:t>
      </w:r>
      <w:r w:rsidRPr="00833070">
        <w:rPr>
          <w:rFonts w:ascii="Book Antiqua" w:hAnsi="Book Antiqua"/>
          <w:lang w:val="es-ES"/>
        </w:rPr>
        <w:t>. – Vigencia</w:t>
      </w:r>
    </w:p>
    <w:p w14:paraId="39B662FB" w14:textId="00FF0A19" w:rsidR="0020062C" w:rsidRPr="00833070" w:rsidRDefault="00E7382E" w:rsidP="0013051A">
      <w:pPr>
        <w:spacing w:line="480" w:lineRule="auto"/>
        <w:ind w:firstLine="720"/>
        <w:jc w:val="both"/>
        <w:rPr>
          <w:rFonts w:ascii="Book Antiqua" w:hAnsi="Book Antiqua"/>
          <w:lang w:val="es-ES"/>
        </w:rPr>
      </w:pPr>
      <w:r w:rsidRPr="00833070">
        <w:rPr>
          <w:rFonts w:ascii="Book Antiqua" w:hAnsi="Book Antiqua"/>
          <w:lang w:val="es-ES"/>
        </w:rPr>
        <w:t>Esta Ley comenzará a regir inmediatamente después de su aprobación.</w:t>
      </w:r>
    </w:p>
    <w:sectPr w:rsidR="0020062C" w:rsidRPr="00833070"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15E39" w14:textId="77777777" w:rsidR="009F385B" w:rsidRDefault="009F385B">
      <w:r>
        <w:separator/>
      </w:r>
    </w:p>
  </w:endnote>
  <w:endnote w:type="continuationSeparator" w:id="0">
    <w:p w14:paraId="6CDC0339" w14:textId="77777777" w:rsidR="009F385B" w:rsidRDefault="009F3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660CE" w14:textId="77777777" w:rsidR="009F385B" w:rsidRDefault="009F385B">
      <w:r>
        <w:separator/>
      </w:r>
    </w:p>
  </w:footnote>
  <w:footnote w:type="continuationSeparator" w:id="0">
    <w:p w14:paraId="43A43CEE" w14:textId="77777777" w:rsidR="009F385B" w:rsidRDefault="009F3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E7EBB">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E7EBB">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63C77"/>
    <w:rsid w:val="000723DA"/>
    <w:rsid w:val="00075C88"/>
    <w:rsid w:val="0009117B"/>
    <w:rsid w:val="00095AE1"/>
    <w:rsid w:val="000A455C"/>
    <w:rsid w:val="000A6B6C"/>
    <w:rsid w:val="000B0DBB"/>
    <w:rsid w:val="000D05A0"/>
    <w:rsid w:val="000D75F9"/>
    <w:rsid w:val="0010137D"/>
    <w:rsid w:val="00103D91"/>
    <w:rsid w:val="00111E71"/>
    <w:rsid w:val="00122AF2"/>
    <w:rsid w:val="00127C6A"/>
    <w:rsid w:val="0013051A"/>
    <w:rsid w:val="001363FE"/>
    <w:rsid w:val="001469D4"/>
    <w:rsid w:val="001574BB"/>
    <w:rsid w:val="00163196"/>
    <w:rsid w:val="0017132B"/>
    <w:rsid w:val="00183C27"/>
    <w:rsid w:val="00193A82"/>
    <w:rsid w:val="001A249C"/>
    <w:rsid w:val="001B46D0"/>
    <w:rsid w:val="001D0E7D"/>
    <w:rsid w:val="001D27D2"/>
    <w:rsid w:val="001E522D"/>
    <w:rsid w:val="001E7EBB"/>
    <w:rsid w:val="001F4CA3"/>
    <w:rsid w:val="001F4FEB"/>
    <w:rsid w:val="001F612A"/>
    <w:rsid w:val="0020062C"/>
    <w:rsid w:val="00201158"/>
    <w:rsid w:val="00211396"/>
    <w:rsid w:val="00226AE6"/>
    <w:rsid w:val="00233933"/>
    <w:rsid w:val="00245322"/>
    <w:rsid w:val="00245B34"/>
    <w:rsid w:val="00263355"/>
    <w:rsid w:val="00266F60"/>
    <w:rsid w:val="00273792"/>
    <w:rsid w:val="00284CD2"/>
    <w:rsid w:val="00294538"/>
    <w:rsid w:val="002C35EC"/>
    <w:rsid w:val="002D027B"/>
    <w:rsid w:val="002D05EA"/>
    <w:rsid w:val="002D4AC8"/>
    <w:rsid w:val="002F56D1"/>
    <w:rsid w:val="003203F6"/>
    <w:rsid w:val="00320CB2"/>
    <w:rsid w:val="00320D78"/>
    <w:rsid w:val="00322C8E"/>
    <w:rsid w:val="00332E5E"/>
    <w:rsid w:val="003400E2"/>
    <w:rsid w:val="003566F2"/>
    <w:rsid w:val="00380FE5"/>
    <w:rsid w:val="0038710D"/>
    <w:rsid w:val="00387BC1"/>
    <w:rsid w:val="003924DD"/>
    <w:rsid w:val="00394FCB"/>
    <w:rsid w:val="003963F4"/>
    <w:rsid w:val="003B23BD"/>
    <w:rsid w:val="003B5254"/>
    <w:rsid w:val="003B75A6"/>
    <w:rsid w:val="003C6EF0"/>
    <w:rsid w:val="003F101C"/>
    <w:rsid w:val="004061CA"/>
    <w:rsid w:val="00415689"/>
    <w:rsid w:val="004440CB"/>
    <w:rsid w:val="00445793"/>
    <w:rsid w:val="00460CE8"/>
    <w:rsid w:val="00463898"/>
    <w:rsid w:val="00466B32"/>
    <w:rsid w:val="004713D2"/>
    <w:rsid w:val="004950A5"/>
    <w:rsid w:val="004C640F"/>
    <w:rsid w:val="004E7366"/>
    <w:rsid w:val="004F00F7"/>
    <w:rsid w:val="005112E1"/>
    <w:rsid w:val="00521639"/>
    <w:rsid w:val="00532BB7"/>
    <w:rsid w:val="005332E4"/>
    <w:rsid w:val="0053550C"/>
    <w:rsid w:val="00545A95"/>
    <w:rsid w:val="00551F3B"/>
    <w:rsid w:val="00555018"/>
    <w:rsid w:val="0056686A"/>
    <w:rsid w:val="005723DC"/>
    <w:rsid w:val="0059073E"/>
    <w:rsid w:val="00594AAE"/>
    <w:rsid w:val="005B52C9"/>
    <w:rsid w:val="005C4EE4"/>
    <w:rsid w:val="005C57CA"/>
    <w:rsid w:val="005E2039"/>
    <w:rsid w:val="005E41BF"/>
    <w:rsid w:val="0060233D"/>
    <w:rsid w:val="006166A6"/>
    <w:rsid w:val="006210DC"/>
    <w:rsid w:val="00621F18"/>
    <w:rsid w:val="006260FD"/>
    <w:rsid w:val="0064349D"/>
    <w:rsid w:val="0064671C"/>
    <w:rsid w:val="00646D75"/>
    <w:rsid w:val="00651DCE"/>
    <w:rsid w:val="00653EED"/>
    <w:rsid w:val="00685549"/>
    <w:rsid w:val="00690517"/>
    <w:rsid w:val="00693D34"/>
    <w:rsid w:val="006B6B0A"/>
    <w:rsid w:val="006B7365"/>
    <w:rsid w:val="006C0409"/>
    <w:rsid w:val="006C2D81"/>
    <w:rsid w:val="006C72F8"/>
    <w:rsid w:val="006C7DF8"/>
    <w:rsid w:val="006E4DD9"/>
    <w:rsid w:val="00714C19"/>
    <w:rsid w:val="00745A8F"/>
    <w:rsid w:val="00750FC8"/>
    <w:rsid w:val="00752381"/>
    <w:rsid w:val="007533D0"/>
    <w:rsid w:val="00755069"/>
    <w:rsid w:val="00757B43"/>
    <w:rsid w:val="00765EF8"/>
    <w:rsid w:val="00767DB1"/>
    <w:rsid w:val="007702B0"/>
    <w:rsid w:val="0078015C"/>
    <w:rsid w:val="00781DBB"/>
    <w:rsid w:val="00790651"/>
    <w:rsid w:val="007B0660"/>
    <w:rsid w:val="007B144E"/>
    <w:rsid w:val="007B2302"/>
    <w:rsid w:val="007E00E4"/>
    <w:rsid w:val="007E3868"/>
    <w:rsid w:val="00805128"/>
    <w:rsid w:val="00805324"/>
    <w:rsid w:val="00820C41"/>
    <w:rsid w:val="00833070"/>
    <w:rsid w:val="0083565A"/>
    <w:rsid w:val="00850256"/>
    <w:rsid w:val="00870710"/>
    <w:rsid w:val="008873DE"/>
    <w:rsid w:val="008B2D1F"/>
    <w:rsid w:val="008C6DA4"/>
    <w:rsid w:val="008E1874"/>
    <w:rsid w:val="008E20A1"/>
    <w:rsid w:val="008F66C2"/>
    <w:rsid w:val="00920B1C"/>
    <w:rsid w:val="0093686F"/>
    <w:rsid w:val="00942FD4"/>
    <w:rsid w:val="00951997"/>
    <w:rsid w:val="00961704"/>
    <w:rsid w:val="00970827"/>
    <w:rsid w:val="00972BFA"/>
    <w:rsid w:val="00982812"/>
    <w:rsid w:val="00990352"/>
    <w:rsid w:val="009F385B"/>
    <w:rsid w:val="00A03405"/>
    <w:rsid w:val="00A1528A"/>
    <w:rsid w:val="00A27A6C"/>
    <w:rsid w:val="00A32B27"/>
    <w:rsid w:val="00A33918"/>
    <w:rsid w:val="00A3476A"/>
    <w:rsid w:val="00A35965"/>
    <w:rsid w:val="00A376C0"/>
    <w:rsid w:val="00A418B0"/>
    <w:rsid w:val="00A53E74"/>
    <w:rsid w:val="00A66377"/>
    <w:rsid w:val="00A7629F"/>
    <w:rsid w:val="00A91486"/>
    <w:rsid w:val="00A9440D"/>
    <w:rsid w:val="00AC6BB7"/>
    <w:rsid w:val="00AD186A"/>
    <w:rsid w:val="00AF0CEE"/>
    <w:rsid w:val="00AF5BA7"/>
    <w:rsid w:val="00B20F4F"/>
    <w:rsid w:val="00B42040"/>
    <w:rsid w:val="00B50F72"/>
    <w:rsid w:val="00B5124C"/>
    <w:rsid w:val="00B51EAF"/>
    <w:rsid w:val="00B62696"/>
    <w:rsid w:val="00B667AD"/>
    <w:rsid w:val="00B84C38"/>
    <w:rsid w:val="00B86164"/>
    <w:rsid w:val="00B86C00"/>
    <w:rsid w:val="00B93169"/>
    <w:rsid w:val="00B947F6"/>
    <w:rsid w:val="00B97CE7"/>
    <w:rsid w:val="00BA1D35"/>
    <w:rsid w:val="00BC2F90"/>
    <w:rsid w:val="00BF16AA"/>
    <w:rsid w:val="00BF20AE"/>
    <w:rsid w:val="00C23C64"/>
    <w:rsid w:val="00C343B6"/>
    <w:rsid w:val="00C34C38"/>
    <w:rsid w:val="00C354B8"/>
    <w:rsid w:val="00C40E95"/>
    <w:rsid w:val="00C52517"/>
    <w:rsid w:val="00C60921"/>
    <w:rsid w:val="00C62936"/>
    <w:rsid w:val="00C653F2"/>
    <w:rsid w:val="00C679E6"/>
    <w:rsid w:val="00C71078"/>
    <w:rsid w:val="00C71427"/>
    <w:rsid w:val="00C72292"/>
    <w:rsid w:val="00C908F9"/>
    <w:rsid w:val="00C956B0"/>
    <w:rsid w:val="00CA0917"/>
    <w:rsid w:val="00CA1099"/>
    <w:rsid w:val="00CC1F37"/>
    <w:rsid w:val="00CC2F2D"/>
    <w:rsid w:val="00CD7DD8"/>
    <w:rsid w:val="00CE3FC6"/>
    <w:rsid w:val="00CF61EA"/>
    <w:rsid w:val="00D00CA3"/>
    <w:rsid w:val="00D05158"/>
    <w:rsid w:val="00D2641D"/>
    <w:rsid w:val="00D314FD"/>
    <w:rsid w:val="00D31EA1"/>
    <w:rsid w:val="00D339EA"/>
    <w:rsid w:val="00D417C2"/>
    <w:rsid w:val="00D47D11"/>
    <w:rsid w:val="00D5753C"/>
    <w:rsid w:val="00D60936"/>
    <w:rsid w:val="00D65009"/>
    <w:rsid w:val="00D709EB"/>
    <w:rsid w:val="00D72911"/>
    <w:rsid w:val="00D72DFE"/>
    <w:rsid w:val="00D74714"/>
    <w:rsid w:val="00D82F3F"/>
    <w:rsid w:val="00D85FF6"/>
    <w:rsid w:val="00D921C6"/>
    <w:rsid w:val="00D958C2"/>
    <w:rsid w:val="00DA1601"/>
    <w:rsid w:val="00DA7BEE"/>
    <w:rsid w:val="00DC7E41"/>
    <w:rsid w:val="00DE36C7"/>
    <w:rsid w:val="00E04AB5"/>
    <w:rsid w:val="00E05201"/>
    <w:rsid w:val="00E20671"/>
    <w:rsid w:val="00E22722"/>
    <w:rsid w:val="00E3642D"/>
    <w:rsid w:val="00E50EEA"/>
    <w:rsid w:val="00E52348"/>
    <w:rsid w:val="00E52F58"/>
    <w:rsid w:val="00E61593"/>
    <w:rsid w:val="00E623E2"/>
    <w:rsid w:val="00E66A71"/>
    <w:rsid w:val="00E7382E"/>
    <w:rsid w:val="00E81320"/>
    <w:rsid w:val="00E83F19"/>
    <w:rsid w:val="00E957BC"/>
    <w:rsid w:val="00EB1D40"/>
    <w:rsid w:val="00EB1E93"/>
    <w:rsid w:val="00EB7761"/>
    <w:rsid w:val="00EC26AA"/>
    <w:rsid w:val="00ED5C71"/>
    <w:rsid w:val="00ED7A53"/>
    <w:rsid w:val="00EE4273"/>
    <w:rsid w:val="00EF6D61"/>
    <w:rsid w:val="00F02004"/>
    <w:rsid w:val="00F042CB"/>
    <w:rsid w:val="00F06702"/>
    <w:rsid w:val="00F14CA3"/>
    <w:rsid w:val="00F35C73"/>
    <w:rsid w:val="00F36A05"/>
    <w:rsid w:val="00F40774"/>
    <w:rsid w:val="00F52349"/>
    <w:rsid w:val="00F567E7"/>
    <w:rsid w:val="00F60A20"/>
    <w:rsid w:val="00F63CB3"/>
    <w:rsid w:val="00F65339"/>
    <w:rsid w:val="00F83AE1"/>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notapie">
    <w:name w:val="footnote text"/>
    <w:basedOn w:val="Normal"/>
    <w:link w:val="TextonotapieCar"/>
    <w:uiPriority w:val="99"/>
    <w:semiHidden/>
    <w:unhideWhenUsed/>
    <w:rsid w:val="001E522D"/>
    <w:rPr>
      <w:sz w:val="20"/>
    </w:rPr>
  </w:style>
  <w:style w:type="character" w:customStyle="1" w:styleId="TextonotapieCar">
    <w:name w:val="Texto nota pie Car"/>
    <w:basedOn w:val="Fuentedeprrafopredeter"/>
    <w:link w:val="Textonotapie"/>
    <w:uiPriority w:val="99"/>
    <w:semiHidden/>
    <w:rsid w:val="001E522D"/>
  </w:style>
  <w:style w:type="character" w:styleId="Refdenotaalpie">
    <w:name w:val="footnote reference"/>
    <w:basedOn w:val="Fuentedeprrafopredeter"/>
    <w:uiPriority w:val="99"/>
    <w:semiHidden/>
    <w:unhideWhenUsed/>
    <w:rsid w:val="001E522D"/>
    <w:rPr>
      <w:vertAlign w:val="superscript"/>
    </w:rPr>
  </w:style>
  <w:style w:type="paragraph" w:styleId="Prrafodelista">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1026</Words>
  <Characters>5605</Characters>
  <Application>Microsoft Office Word</Application>
  <DocSecurity>0</DocSecurity>
  <Lines>109</Lines>
  <Paragraphs>34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3</cp:revision>
  <cp:lastPrinted>2026-01-12T17:21:00Z</cp:lastPrinted>
  <dcterms:created xsi:type="dcterms:W3CDTF">2026-01-12T15:56:00Z</dcterms:created>
  <dcterms:modified xsi:type="dcterms:W3CDTF">2026-01-12T17:23:00Z</dcterms:modified>
</cp:coreProperties>
</file>