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77777777"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7801D1" w:rsidRDefault="007F61B2">
      <w:pPr>
        <w:jc w:val="center"/>
        <w:rPr>
          <w:rFonts w:ascii="Book Antiqua" w:hAnsi="Book Antiqua"/>
          <w:sz w:val="36"/>
          <w:szCs w:val="36"/>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7801D1">
        <w:rPr>
          <w:rFonts w:ascii="Book Antiqua" w:hAnsi="Book Antiqua"/>
          <w:vertAlign w:val="superscript"/>
          <w:lang w:val="es-PR"/>
        </w:rPr>
        <w:t>ma.</w:t>
      </w:r>
      <w:r w:rsidRPr="008B5572">
        <w:rPr>
          <w:rFonts w:ascii="Book Antiqua" w:hAnsi="Book Antiqua"/>
          <w:lang w:val="es-PR"/>
        </w:rPr>
        <w:t xml:space="preserve"> Asamblea </w:t>
      </w:r>
      <w:r w:rsidRPr="008B5572">
        <w:rPr>
          <w:rFonts w:ascii="Book Antiqua" w:hAnsi="Book Antiqua"/>
          <w:lang w:val="es-PR"/>
        </w:rPr>
        <w:tab/>
      </w:r>
      <w:r w:rsidR="00F752B4">
        <w:rPr>
          <w:rFonts w:ascii="Book Antiqua" w:hAnsi="Book Antiqua"/>
          <w:lang w:val="es-PR"/>
        </w:rPr>
        <w:t>3</w:t>
      </w:r>
      <w:r w:rsidR="00F752B4" w:rsidRPr="007801D1">
        <w:rPr>
          <w:rFonts w:ascii="Book Antiqua" w:hAnsi="Book Antiqua"/>
          <w:vertAlign w:val="superscript"/>
          <w:lang w:val="es-PR"/>
        </w:rPr>
        <w:t>r</w:t>
      </w:r>
      <w:r w:rsidRPr="007801D1">
        <w:rPr>
          <w:rFonts w:ascii="Book Antiqua" w:hAnsi="Book Antiqua"/>
          <w:vertAlign w:val="superscript"/>
          <w:lang w:val="es-PR"/>
        </w:rPr>
        <w:t>a.</w:t>
      </w:r>
      <w:r w:rsidRPr="008B5572">
        <w:rPr>
          <w:rFonts w:ascii="Book Antiqua" w:hAnsi="Book Antiqua"/>
          <w:lang w:val="es-PR"/>
        </w:rPr>
        <w:t xml:space="preserve"> Sesión</w:t>
      </w:r>
    </w:p>
    <w:p w14:paraId="02234000" w14:textId="61E41074" w:rsidR="007F61B2" w:rsidRPr="008B5572" w:rsidRDefault="007801D1" w:rsidP="007801D1">
      <w:pPr>
        <w:pStyle w:val="Title2"/>
        <w:tabs>
          <w:tab w:val="clear" w:pos="648"/>
          <w:tab w:val="clear" w:pos="7776"/>
          <w:tab w:val="left" w:pos="540"/>
        </w:tabs>
        <w:rPr>
          <w:rFonts w:ascii="Book Antiqua" w:hAnsi="Book Antiqua"/>
          <w:lang w:val="es-PR"/>
        </w:rPr>
      </w:pPr>
      <w:r>
        <w:rPr>
          <w:rFonts w:ascii="Book Antiqua" w:hAnsi="Book Antiqua"/>
          <w:lang w:val="es-PR"/>
        </w:rPr>
        <w:tab/>
      </w:r>
      <w:r w:rsidR="0083082B" w:rsidRPr="008B5572">
        <w:rPr>
          <w:rFonts w:ascii="Book Antiqua" w:hAnsi="Book Antiqua"/>
          <w:lang w:val="es-PR"/>
        </w:rPr>
        <w:t>Legislativa</w:t>
      </w:r>
      <w:r w:rsidR="0083082B" w:rsidRPr="008B5572">
        <w:rPr>
          <w:rFonts w:ascii="Book Antiqua" w:hAnsi="Book Antiqua"/>
          <w:lang w:val="es-PR"/>
        </w:rPr>
        <w:tab/>
      </w:r>
      <w:r w:rsidR="0083082B" w:rsidRPr="008B5572">
        <w:rPr>
          <w:rFonts w:ascii="Book Antiqua" w:hAnsi="Book Antiqua"/>
          <w:lang w:val="es-PR"/>
        </w:rPr>
        <w:tab/>
        <w:t xml:space="preserve">     Ordinaria</w:t>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4" w14:textId="10E90663" w:rsidR="007F61B2" w:rsidRPr="000A1D5C" w:rsidRDefault="0083082B" w:rsidP="000A1D5C">
      <w:pPr>
        <w:jc w:val="center"/>
        <w:rPr>
          <w:rFonts w:ascii="Book Antiqua" w:hAnsi="Book Antiqua"/>
          <w:b/>
          <w:sz w:val="52"/>
          <w:szCs w:val="52"/>
          <w:lang w:val="es-PR"/>
        </w:rPr>
      </w:pPr>
      <w:r w:rsidRPr="008B5572">
        <w:rPr>
          <w:rFonts w:ascii="Book Antiqua" w:hAnsi="Book Antiqua"/>
          <w:b/>
          <w:sz w:val="52"/>
          <w:szCs w:val="52"/>
          <w:lang w:val="es-PR"/>
        </w:rPr>
        <w:t>P. del S.</w:t>
      </w:r>
      <w:r w:rsidR="004F4E49">
        <w:rPr>
          <w:rFonts w:ascii="Book Antiqua" w:hAnsi="Book Antiqua"/>
          <w:b/>
          <w:sz w:val="52"/>
          <w:szCs w:val="52"/>
          <w:lang w:val="es-PR"/>
        </w:rPr>
        <w:t xml:space="preserve"> 918</w:t>
      </w:r>
    </w:p>
    <w:p w14:paraId="59074E5F" w14:textId="5147C90B" w:rsidR="00151EAB" w:rsidRPr="008B5572" w:rsidRDefault="004F4E49"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85666F6" w14:textId="78C50285" w:rsidR="00151EAB" w:rsidRPr="008B5572" w:rsidRDefault="00151EAB" w:rsidP="007801D1">
      <w:pPr>
        <w:spacing w:before="120"/>
        <w:ind w:left="9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 xml:space="preserve">Rivera Schatz, Ríos Santiago,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 xml:space="preserve">Jiménez Santoni, </w:t>
      </w:r>
      <w:r w:rsidRPr="008B5572">
        <w:rPr>
          <w:rFonts w:ascii="Book Antiqua" w:eastAsia="Book Antiqua" w:hAnsi="Book Antiqua" w:cs="Book Antiqua"/>
          <w:color w:val="000000" w:themeColor="text1"/>
          <w:lang w:val="es-PR"/>
        </w:rPr>
        <w:t xml:space="preserve">los señores </w:t>
      </w:r>
      <w:r w:rsidRPr="008B5572">
        <w:rPr>
          <w:rFonts w:ascii="Book Antiqua" w:eastAsia="Book Antiqua" w:hAnsi="Book Antiqua" w:cs="Book Antiqua"/>
          <w:i/>
          <w:color w:val="000000" w:themeColor="text1"/>
          <w:lang w:val="es-PR"/>
        </w:rPr>
        <w:t xml:space="preserve">Matías Rosario, Morales Rodríguez,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Barlucea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7801D1" w:rsidRDefault="007F61B2" w:rsidP="00151EAB">
      <w:pPr>
        <w:pStyle w:val="NoSpacing"/>
        <w:rPr>
          <w:rFonts w:ascii="Book Antiqua" w:hAnsi="Book Antiqua"/>
          <w:sz w:val="12"/>
          <w:szCs w:val="12"/>
          <w:lang w:val="es-PR"/>
        </w:rPr>
      </w:pPr>
    </w:p>
    <w:p w14:paraId="1CD88028" w14:textId="35ABD249" w:rsidR="007801D1" w:rsidRPr="007A4177" w:rsidRDefault="0083082B" w:rsidP="007801D1">
      <w:pPr>
        <w:spacing w:line="360" w:lineRule="auto"/>
        <w:jc w:val="center"/>
        <w:rPr>
          <w:rFonts w:ascii="Book Antiqua" w:hAnsi="Book Antiqua"/>
          <w:i/>
          <w:iCs/>
          <w:szCs w:val="24"/>
          <w:lang w:val="es-419"/>
        </w:rPr>
      </w:pPr>
      <w:r w:rsidRPr="007801D1">
        <w:rPr>
          <w:rFonts w:ascii="Book Antiqua" w:hAnsi="Book Antiqua"/>
          <w:i/>
          <w:iCs/>
          <w:lang w:val="es-PR"/>
        </w:rPr>
        <w:t>Referido a</w:t>
      </w:r>
      <w:r w:rsidR="007801D1">
        <w:rPr>
          <w:rFonts w:ascii="Book Antiqua" w:hAnsi="Book Antiqua"/>
          <w:i/>
          <w:iCs/>
          <w:lang w:val="es-PR"/>
        </w:rPr>
        <w:t xml:space="preserve"> la Comisión de</w:t>
      </w:r>
      <w:r w:rsidR="007801D1" w:rsidRPr="007801D1">
        <w:rPr>
          <w:rFonts w:ascii="Book Antiqua" w:hAnsi="Book Antiqua"/>
          <w:i/>
          <w:iCs/>
          <w:szCs w:val="24"/>
          <w:lang w:val="es-419"/>
        </w:rPr>
        <w:t xml:space="preserve"> </w:t>
      </w:r>
      <w:r w:rsidR="007801D1" w:rsidRPr="007A4177">
        <w:rPr>
          <w:rFonts w:ascii="Book Antiqua" w:hAnsi="Book Antiqua"/>
          <w:i/>
          <w:iCs/>
          <w:szCs w:val="24"/>
          <w:lang w:val="es-419"/>
        </w:rPr>
        <w:t>Educación, Arte y Cultura</w:t>
      </w:r>
    </w:p>
    <w:p w14:paraId="0223400A" w14:textId="77777777" w:rsidR="007F61B2" w:rsidRPr="007801D1" w:rsidRDefault="007F61B2">
      <w:pPr>
        <w:jc w:val="both"/>
        <w:rPr>
          <w:rFonts w:ascii="Book Antiqua" w:hAnsi="Book Antiqua"/>
          <w:sz w:val="8"/>
          <w:szCs w:val="8"/>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A60301" w:rsidRDefault="007F61B2">
      <w:pPr>
        <w:jc w:val="center"/>
        <w:rPr>
          <w:rFonts w:ascii="Book Antiqua" w:hAnsi="Book Antiqua"/>
          <w:b/>
          <w:sz w:val="12"/>
          <w:szCs w:val="12"/>
          <w:lang w:val="es-PR"/>
        </w:rPr>
      </w:pPr>
    </w:p>
    <w:p w14:paraId="2F4EB2ED" w14:textId="35E7036D" w:rsidR="00C91865" w:rsidRDefault="0083082B" w:rsidP="00793FB1">
      <w:pPr>
        <w:ind w:left="360" w:hanging="360"/>
        <w:jc w:val="both"/>
        <w:rPr>
          <w:rFonts w:ascii="Book Antiqua" w:eastAsia="Book Antiqua" w:hAnsi="Book Antiqua" w:cs="Book Antiqua"/>
          <w:color w:val="000000" w:themeColor="text1"/>
          <w:szCs w:val="24"/>
          <w:lang w:val="es-PR"/>
        </w:rPr>
      </w:pPr>
      <w:r w:rsidRPr="008B5572">
        <w:rPr>
          <w:rFonts w:ascii="Book Antiqua" w:hAnsi="Book Antiqua"/>
          <w:snapToGrid w:val="0"/>
          <w:szCs w:val="24"/>
          <w:lang w:val="es-PR"/>
        </w:rPr>
        <w:t xml:space="preserve">Para </w:t>
      </w:r>
      <w:r w:rsidR="008E045D">
        <w:rPr>
          <w:rFonts w:ascii="Book Antiqua" w:eastAsia="Book Antiqua" w:hAnsi="Book Antiqua" w:cs="Book Antiqua"/>
          <w:color w:val="000000" w:themeColor="text1"/>
          <w:szCs w:val="24"/>
          <w:lang w:val="es-PR"/>
        </w:rPr>
        <w:t>derogar</w:t>
      </w:r>
      <w:r w:rsidR="008E045D" w:rsidRPr="00C36660">
        <w:rPr>
          <w:rFonts w:ascii="Book Antiqua" w:eastAsia="Book Antiqua" w:hAnsi="Book Antiqua" w:cs="Book Antiqua"/>
          <w:color w:val="000000" w:themeColor="text1"/>
          <w:szCs w:val="24"/>
          <w:lang w:val="es-PR"/>
        </w:rPr>
        <w:t xml:space="preserve"> el Artículo </w:t>
      </w:r>
      <w:r w:rsidR="008E045D">
        <w:rPr>
          <w:rFonts w:ascii="Book Antiqua" w:eastAsia="Book Antiqua" w:hAnsi="Book Antiqua" w:cs="Book Antiqua"/>
          <w:color w:val="000000" w:themeColor="text1"/>
          <w:szCs w:val="24"/>
          <w:lang w:val="es-PR"/>
        </w:rPr>
        <w:t xml:space="preserve">9 </w:t>
      </w:r>
      <w:r w:rsidR="008E045D" w:rsidRPr="00C36660">
        <w:rPr>
          <w:rFonts w:ascii="Book Antiqua" w:eastAsia="Book Antiqua" w:hAnsi="Book Antiqua" w:cs="Book Antiqua"/>
          <w:color w:val="000000" w:themeColor="text1"/>
          <w:szCs w:val="24"/>
          <w:lang w:val="es-PR"/>
        </w:rPr>
        <w:t xml:space="preserve">de la Ley </w:t>
      </w:r>
      <w:r w:rsidR="008E045D">
        <w:rPr>
          <w:rFonts w:ascii="Book Antiqua" w:eastAsia="Book Antiqua" w:hAnsi="Book Antiqua" w:cs="Book Antiqua"/>
          <w:color w:val="000000" w:themeColor="text1"/>
          <w:szCs w:val="24"/>
          <w:lang w:val="es-PR"/>
        </w:rPr>
        <w:t>Núm. 166-1995</w:t>
      </w:r>
      <w:r w:rsidR="008E045D" w:rsidRPr="00C36660">
        <w:rPr>
          <w:rFonts w:ascii="Book Antiqua" w:eastAsia="Book Antiqua" w:hAnsi="Book Antiqua" w:cs="Book Antiqua"/>
          <w:color w:val="000000" w:themeColor="text1"/>
          <w:szCs w:val="24"/>
          <w:lang w:val="es-PR"/>
        </w:rPr>
        <w:t>, según enmendada, conocida como “Ley</w:t>
      </w:r>
      <w:r w:rsidR="008E045D">
        <w:rPr>
          <w:rFonts w:ascii="Book Antiqua" w:eastAsia="Book Antiqua" w:hAnsi="Book Antiqua" w:cs="Book Antiqua"/>
          <w:color w:val="000000" w:themeColor="text1"/>
          <w:szCs w:val="24"/>
          <w:lang w:val="es-PR"/>
        </w:rPr>
        <w:t xml:space="preserve"> del Programa de Desarrollo Artesanal</w:t>
      </w:r>
      <w:r w:rsidR="008E045D" w:rsidRPr="00C36660">
        <w:rPr>
          <w:rFonts w:ascii="Book Antiqua" w:eastAsia="Book Antiqua" w:hAnsi="Book Antiqua" w:cs="Book Antiqua"/>
          <w:color w:val="000000" w:themeColor="text1"/>
          <w:szCs w:val="24"/>
          <w:lang w:val="es-PR"/>
        </w:rPr>
        <w:t>” a los fines</w:t>
      </w:r>
      <w:r w:rsidR="008E045D">
        <w:rPr>
          <w:rFonts w:ascii="Book Antiqua" w:eastAsia="Book Antiqua" w:hAnsi="Book Antiqua" w:cs="Book Antiqua"/>
          <w:color w:val="000000" w:themeColor="text1"/>
          <w:szCs w:val="24"/>
          <w:lang w:val="es-PR"/>
        </w:rPr>
        <w:t xml:space="preserve"> derogar su Junta Asesora</w:t>
      </w:r>
      <w:r w:rsidR="008E045D" w:rsidRPr="00C36660">
        <w:rPr>
          <w:rFonts w:ascii="Book Antiqua" w:eastAsia="Book Antiqua" w:hAnsi="Book Antiqua" w:cs="Book Antiqua"/>
          <w:color w:val="000000" w:themeColor="text1"/>
          <w:szCs w:val="24"/>
          <w:lang w:val="es-PR"/>
        </w:rPr>
        <w:t>;</w:t>
      </w:r>
      <w:r w:rsidR="008E045D">
        <w:rPr>
          <w:rFonts w:ascii="Book Antiqua" w:eastAsia="Book Antiqua" w:hAnsi="Book Antiqua" w:cs="Book Antiqua"/>
          <w:color w:val="000000" w:themeColor="text1"/>
          <w:szCs w:val="24"/>
          <w:lang w:val="es-PR"/>
        </w:rPr>
        <w:t xml:space="preserve"> </w:t>
      </w:r>
      <w:r w:rsidR="008E045D" w:rsidRPr="00C36660">
        <w:rPr>
          <w:rFonts w:ascii="Book Antiqua" w:eastAsia="Book Antiqua" w:hAnsi="Book Antiqua" w:cs="Book Antiqua"/>
          <w:color w:val="000000" w:themeColor="text1"/>
          <w:szCs w:val="24"/>
          <w:lang w:val="es-PR"/>
        </w:rPr>
        <w:t>y para otros fines relacionados</w:t>
      </w:r>
      <w:r w:rsidR="0039365A">
        <w:rPr>
          <w:rFonts w:ascii="Book Antiqua" w:eastAsia="Book Antiqua" w:hAnsi="Book Antiqua" w:cs="Book Antiqua"/>
          <w:color w:val="000000" w:themeColor="text1"/>
          <w:szCs w:val="24"/>
          <w:lang w:val="es-PR"/>
        </w:rPr>
        <w:t>.</w:t>
      </w:r>
    </w:p>
    <w:p w14:paraId="5C7B7FAA" w14:textId="77777777" w:rsidR="008E045D" w:rsidRPr="00C91865" w:rsidRDefault="008E045D" w:rsidP="00793FB1">
      <w:pPr>
        <w:ind w:left="360" w:hanging="360"/>
        <w:jc w:val="both"/>
        <w:rPr>
          <w:rFonts w:ascii="Book Antiqua" w:hAnsi="Book Antiqua"/>
          <w:snapToGrid w:val="0"/>
          <w:szCs w:val="24"/>
          <w:highlight w:val="yellow"/>
          <w:lang w:val="es-PR"/>
        </w:rPr>
      </w:pPr>
    </w:p>
    <w:p w14:paraId="0223400F" w14:textId="19AF4424"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7801D1">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2234010" w14:textId="77777777" w:rsidR="007F61B2" w:rsidRPr="007801D1" w:rsidRDefault="007F61B2">
      <w:pPr>
        <w:ind w:left="720" w:hanging="720"/>
        <w:jc w:val="center"/>
        <w:rPr>
          <w:rFonts w:ascii="Book Antiqua" w:hAnsi="Book Antiqua"/>
          <w:snapToGrid w:val="0"/>
          <w:sz w:val="8"/>
          <w:szCs w:val="8"/>
          <w:lang w:val="es-PR"/>
        </w:rPr>
      </w:pPr>
    </w:p>
    <w:p w14:paraId="0EA5D593" w14:textId="77777777" w:rsidR="008E045D" w:rsidRDefault="008E045D" w:rsidP="007801D1">
      <w:pPr>
        <w:spacing w:before="120" w:after="120" w:line="360" w:lineRule="auto"/>
        <w:ind w:left="12" w:right="34" w:firstLine="528"/>
        <w:jc w:val="both"/>
        <w:rPr>
          <w:rFonts w:ascii="Book Antiqua" w:hAnsi="Book Antiqua"/>
          <w:szCs w:val="24"/>
          <w:lang w:val="es-PR"/>
        </w:rPr>
      </w:pPr>
      <w:r>
        <w:rPr>
          <w:rFonts w:ascii="Book Antiqua" w:hAnsi="Book Antiqua"/>
          <w:szCs w:val="24"/>
          <w:lang w:val="es-PR"/>
        </w:rPr>
        <w:t>Es la visión de nuestra Administración</w:t>
      </w:r>
      <w:r w:rsidRPr="002D156E">
        <w:rPr>
          <w:rFonts w:ascii="Book Antiqua" w:hAnsi="Book Antiqua"/>
          <w:szCs w:val="24"/>
          <w:lang w:val="es-PR"/>
        </w:rPr>
        <w:t xml:space="preserve"> impulsar un andamiaje gubernamental más ágil, eficiente y moderno</w:t>
      </w:r>
      <w:r>
        <w:rPr>
          <w:rFonts w:ascii="Book Antiqua" w:hAnsi="Book Antiqua"/>
          <w:szCs w:val="24"/>
          <w:lang w:val="es-PR"/>
        </w:rPr>
        <w:t xml:space="preserve">. </w:t>
      </w:r>
      <w:r w:rsidRPr="002D156E">
        <w:rPr>
          <w:rFonts w:ascii="Book Antiqua" w:hAnsi="Book Antiqua"/>
          <w:szCs w:val="24"/>
          <w:lang w:val="es-PR"/>
        </w:rPr>
        <w:t>Nuestro norte es lograr un aparato gubernamental que facilite la actividad económica, fortalezca la competitividad de Puerto Rico y promueva una prestación de servicios más efectiva a la ciudadanía.</w:t>
      </w:r>
    </w:p>
    <w:p w14:paraId="797865EA" w14:textId="77777777" w:rsidR="008E045D" w:rsidRDefault="008E045D" w:rsidP="007801D1">
      <w:pPr>
        <w:spacing w:before="120" w:after="120" w:line="360" w:lineRule="auto"/>
        <w:ind w:left="12" w:right="34" w:firstLine="528"/>
        <w:jc w:val="both"/>
        <w:rPr>
          <w:rFonts w:ascii="Book Antiqua" w:hAnsi="Book Antiqua"/>
          <w:szCs w:val="24"/>
          <w:lang w:val="es-PR"/>
        </w:rPr>
      </w:pPr>
      <w:r w:rsidRPr="002D156E">
        <w:rPr>
          <w:rFonts w:ascii="Book Antiqua" w:hAnsi="Book Antiqua"/>
          <w:szCs w:val="24"/>
          <w:lang w:val="es-PR"/>
        </w:rPr>
        <w:t>A lo largo de las pasadas décadas, se han creado múltiples juntas de directores, consejos asesores y organismos similares</w:t>
      </w:r>
      <w:r>
        <w:rPr>
          <w:rFonts w:ascii="Book Antiqua" w:hAnsi="Book Antiqua"/>
          <w:szCs w:val="24"/>
          <w:lang w:val="es-PR"/>
        </w:rPr>
        <w:t xml:space="preserve">; </w:t>
      </w:r>
      <w:r w:rsidRPr="002D156E">
        <w:rPr>
          <w:rFonts w:ascii="Book Antiqua" w:hAnsi="Book Antiqua"/>
          <w:szCs w:val="24"/>
          <w:lang w:val="es-PR"/>
        </w:rPr>
        <w:t>sin embargo, hoy muchos de esos cuerpos se encuentran en desuso, han dejado de reunirse o su función ha sido a</w:t>
      </w:r>
      <w:r>
        <w:rPr>
          <w:rFonts w:ascii="Book Antiqua" w:hAnsi="Book Antiqua"/>
          <w:szCs w:val="24"/>
          <w:lang w:val="es-PR"/>
        </w:rPr>
        <w:t>sumida</w:t>
      </w:r>
      <w:r w:rsidRPr="002D156E">
        <w:rPr>
          <w:rFonts w:ascii="Book Antiqua" w:hAnsi="Book Antiqua"/>
          <w:szCs w:val="24"/>
          <w:lang w:val="es-PR"/>
        </w:rPr>
        <w:t xml:space="preserve"> por otras agencias o programas gubernamentales. La existencia de juntas y consejos inactivos no solo representa una duplicidad administrativa, sino que también genera confusión, ineficiencia y </w:t>
      </w:r>
      <w:r>
        <w:rPr>
          <w:rFonts w:ascii="Book Antiqua" w:hAnsi="Book Antiqua"/>
          <w:szCs w:val="24"/>
          <w:lang w:val="es-PR"/>
        </w:rPr>
        <w:t>mala utilización</w:t>
      </w:r>
      <w:r w:rsidRPr="002D156E">
        <w:rPr>
          <w:rFonts w:ascii="Book Antiqua" w:hAnsi="Book Antiqua"/>
          <w:szCs w:val="24"/>
          <w:lang w:val="es-PR"/>
        </w:rPr>
        <w:t xml:space="preserve"> de recursos que deben destinarse a </w:t>
      </w:r>
      <w:r>
        <w:rPr>
          <w:rFonts w:ascii="Book Antiqua" w:hAnsi="Book Antiqua"/>
          <w:szCs w:val="24"/>
          <w:lang w:val="es-PR"/>
        </w:rPr>
        <w:t xml:space="preserve">otras </w:t>
      </w:r>
      <w:r w:rsidRPr="002D156E">
        <w:rPr>
          <w:rFonts w:ascii="Book Antiqua" w:hAnsi="Book Antiqua"/>
          <w:szCs w:val="24"/>
          <w:lang w:val="es-PR"/>
        </w:rPr>
        <w:t>áreas prioritarias.</w:t>
      </w:r>
    </w:p>
    <w:p w14:paraId="39045BFE" w14:textId="77777777" w:rsidR="008E045D" w:rsidRDefault="008E045D" w:rsidP="007801D1">
      <w:pPr>
        <w:spacing w:before="120" w:after="120" w:line="360" w:lineRule="auto"/>
        <w:ind w:left="12" w:right="34" w:firstLine="528"/>
        <w:jc w:val="both"/>
        <w:rPr>
          <w:rFonts w:ascii="Book Antiqua" w:hAnsi="Book Antiqua"/>
          <w:szCs w:val="28"/>
          <w:lang w:val="es-PR"/>
        </w:rPr>
      </w:pPr>
      <w:r>
        <w:rPr>
          <w:rFonts w:ascii="Book Antiqua" w:hAnsi="Book Antiqua"/>
          <w:szCs w:val="28"/>
          <w:lang w:val="es-PR"/>
        </w:rPr>
        <w:lastRenderedPageBreak/>
        <w:t xml:space="preserve">Por virtud de </w:t>
      </w:r>
      <w:r w:rsidRPr="00AB5316">
        <w:rPr>
          <w:rFonts w:ascii="Book Antiqua" w:hAnsi="Book Antiqua"/>
          <w:szCs w:val="28"/>
          <w:lang w:val="es-PR"/>
        </w:rPr>
        <w:t>la Ley Núm. 166</w:t>
      </w:r>
      <w:r>
        <w:rPr>
          <w:rFonts w:ascii="Book Antiqua" w:hAnsi="Book Antiqua"/>
          <w:szCs w:val="28"/>
          <w:lang w:val="es-PR"/>
        </w:rPr>
        <w:t>-</w:t>
      </w:r>
      <w:r w:rsidRPr="00AB5316">
        <w:rPr>
          <w:rFonts w:ascii="Book Antiqua" w:hAnsi="Book Antiqua"/>
          <w:szCs w:val="28"/>
          <w:lang w:val="es-PR"/>
        </w:rPr>
        <w:t>1995, conocida como "Ley del Programa de Desarrollo Artesanal</w:t>
      </w:r>
      <w:r>
        <w:rPr>
          <w:rFonts w:ascii="Book Antiqua" w:hAnsi="Book Antiqua"/>
          <w:szCs w:val="28"/>
          <w:lang w:val="es-PR"/>
        </w:rPr>
        <w:t>”</w:t>
      </w:r>
      <w:r w:rsidRPr="00AB5316">
        <w:rPr>
          <w:rFonts w:ascii="Book Antiqua" w:hAnsi="Book Antiqua"/>
          <w:szCs w:val="28"/>
          <w:lang w:val="es-PR"/>
        </w:rPr>
        <w:t>, se creó la Junta Asesora del programa de Desarrollo Artesanal compuesta por el Administrador de Fomento Económico, el Director Ejecutivo del Instituto de Cultura Puertorriqueña, el Director Ejecutivo de la Compañía de Turismo, el Rector del Recinto de Río Piedras de la Universidad de Puerto Rico, tres artesanos y dos miembros del sector privado, que nombrará el Gobernador.</w:t>
      </w:r>
      <w:r>
        <w:rPr>
          <w:rFonts w:ascii="Book Antiqua" w:hAnsi="Book Antiqua"/>
          <w:szCs w:val="28"/>
          <w:lang w:val="es-PR"/>
        </w:rPr>
        <w:t xml:space="preserve"> A pesar de ser una ley que data del 1995 en sus 20 años de creación nunca se han realizado los nombramientos necesarios para su funcionamiento. </w:t>
      </w:r>
    </w:p>
    <w:p w14:paraId="690F5FED" w14:textId="77777777" w:rsidR="008E045D" w:rsidRDefault="008E045D" w:rsidP="007801D1">
      <w:pPr>
        <w:spacing w:before="120" w:after="120" w:line="360" w:lineRule="auto"/>
        <w:ind w:left="12" w:right="29" w:firstLine="528"/>
        <w:jc w:val="both"/>
        <w:rPr>
          <w:rFonts w:ascii="Book Antiqua" w:hAnsi="Book Antiqua"/>
          <w:szCs w:val="28"/>
          <w:lang w:val="es-PR"/>
        </w:rPr>
      </w:pPr>
      <w:r>
        <w:rPr>
          <w:rFonts w:ascii="Book Antiqua" w:hAnsi="Book Antiqua"/>
          <w:szCs w:val="28"/>
          <w:lang w:val="es-PR"/>
        </w:rPr>
        <w:t xml:space="preserve">Además, las funciones delgadas a esta Junta Asesora de promoción y fortalecimiento de la industria artesanal puertorriqueña han sido asumidas por la Compañía de Turismo y el Instituto de Cultura Puertorriqueña. Por lo cual lo cual ya no es necesaria la existencia de esta Junta Asesora. </w:t>
      </w:r>
    </w:p>
    <w:p w14:paraId="61BC5DBC" w14:textId="77777777" w:rsidR="008E045D" w:rsidRPr="00AC30A6" w:rsidRDefault="008E045D" w:rsidP="007801D1">
      <w:pPr>
        <w:spacing w:before="120" w:after="120" w:line="360" w:lineRule="auto"/>
        <w:ind w:right="29" w:firstLine="528"/>
        <w:jc w:val="both"/>
        <w:rPr>
          <w:rFonts w:ascii="Book Antiqua" w:hAnsi="Book Antiqua"/>
          <w:szCs w:val="28"/>
          <w:lang w:val="es-PR"/>
        </w:rPr>
      </w:pPr>
      <w:r w:rsidRPr="002D156E">
        <w:rPr>
          <w:rFonts w:ascii="Book Antiqua" w:hAnsi="Book Antiqua"/>
          <w:szCs w:val="24"/>
          <w:lang w:val="es-PR"/>
        </w:rPr>
        <w:t>Esta medida</w:t>
      </w:r>
      <w:r>
        <w:rPr>
          <w:rFonts w:ascii="Book Antiqua" w:hAnsi="Book Antiqua"/>
          <w:szCs w:val="24"/>
          <w:lang w:val="es-PR"/>
        </w:rPr>
        <w:t xml:space="preserve"> </w:t>
      </w:r>
      <w:r w:rsidRPr="002D156E">
        <w:rPr>
          <w:rFonts w:ascii="Book Antiqua" w:hAnsi="Book Antiqua"/>
          <w:szCs w:val="24"/>
          <w:lang w:val="es-PR"/>
        </w:rPr>
        <w:t>reafirma el compromiso de Puerto Rico con un gobierno que se concentre en lo esencial: brindar servicios de calidad a la ciudadanía, fortalecer el clima de inversión y desarrollo económico, y modernizar sus procesos de manera que se eliminen cargas burocráticas innecesarias.</w:t>
      </w:r>
    </w:p>
    <w:p w14:paraId="6AA32E6F" w14:textId="02F4BA1E" w:rsidR="00E028DD" w:rsidRPr="00D32D60" w:rsidRDefault="0083082B" w:rsidP="00C91865">
      <w:pPr>
        <w:spacing w:line="480" w:lineRule="auto"/>
        <w:jc w:val="both"/>
        <w:rPr>
          <w:rFonts w:ascii="Book Antiqua" w:hAnsi="Book Antiqua"/>
          <w:b/>
          <w:bCs/>
          <w:iCs/>
          <w:lang w:val="es-PR"/>
        </w:rPr>
      </w:pPr>
      <w:r w:rsidRPr="00D32D60">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3D937309" w14:textId="79373244" w:rsidR="008E045D" w:rsidRPr="00725940" w:rsidRDefault="008E045D" w:rsidP="008E045D">
      <w:pPr>
        <w:spacing w:line="480" w:lineRule="auto"/>
        <w:ind w:firstLine="720"/>
        <w:jc w:val="both"/>
        <w:rPr>
          <w:rFonts w:ascii="Book Antiqua" w:eastAsia="Book Antiqua" w:hAnsi="Book Antiqua" w:cs="Book Antiqua"/>
          <w:color w:val="000000" w:themeColor="text1"/>
          <w:szCs w:val="24"/>
          <w:lang w:val="es-PR"/>
        </w:rPr>
      </w:pPr>
      <w:bookmarkStart w:id="0" w:name="_Hlk206434876"/>
      <w:r>
        <w:rPr>
          <w:rFonts w:ascii="Book Antiqua" w:eastAsia="Book Antiqua" w:hAnsi="Book Antiqua" w:cs="Book Antiqua"/>
          <w:color w:val="000000" w:themeColor="text1"/>
          <w:szCs w:val="24"/>
          <w:lang w:val="es-PR"/>
        </w:rPr>
        <w:t>Sección</w:t>
      </w:r>
      <w:r w:rsidRPr="003A208B">
        <w:rPr>
          <w:rFonts w:ascii="Book Antiqua" w:eastAsia="Book Antiqua" w:hAnsi="Book Antiqua" w:cs="Book Antiqua"/>
          <w:color w:val="000000" w:themeColor="text1"/>
          <w:szCs w:val="24"/>
          <w:lang w:val="es-PR"/>
        </w:rPr>
        <w:t xml:space="preserve"> 1.-</w:t>
      </w:r>
      <w:r w:rsidR="007801D1">
        <w:rPr>
          <w:rFonts w:ascii="Book Antiqua" w:eastAsia="Book Antiqua" w:hAnsi="Book Antiqua" w:cs="Book Antiqua"/>
          <w:color w:val="000000" w:themeColor="text1"/>
          <w:szCs w:val="24"/>
          <w:lang w:val="es-PR"/>
        </w:rPr>
        <w:t xml:space="preserve"> </w:t>
      </w:r>
      <w:r w:rsidRPr="003A208B">
        <w:rPr>
          <w:rFonts w:ascii="Book Antiqua" w:eastAsia="Book Antiqua" w:hAnsi="Book Antiqua" w:cs="Book Antiqua"/>
          <w:color w:val="000000" w:themeColor="text1"/>
          <w:szCs w:val="24"/>
          <w:lang w:val="es-PR"/>
        </w:rPr>
        <w:t xml:space="preserve">Se </w:t>
      </w:r>
      <w:r>
        <w:rPr>
          <w:rFonts w:ascii="Book Antiqua" w:eastAsia="Book Antiqua" w:hAnsi="Book Antiqua" w:cs="Book Antiqua"/>
          <w:color w:val="000000" w:themeColor="text1"/>
          <w:szCs w:val="24"/>
          <w:lang w:val="es-PR"/>
        </w:rPr>
        <w:t>deroga</w:t>
      </w:r>
      <w:r w:rsidRPr="003A208B">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el Artículo</w:t>
      </w:r>
      <w:r w:rsidRPr="00214243">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 xml:space="preserve">9 </w:t>
      </w:r>
      <w:r w:rsidRPr="00C36660">
        <w:rPr>
          <w:rFonts w:ascii="Book Antiqua" w:eastAsia="Book Antiqua" w:hAnsi="Book Antiqua" w:cs="Book Antiqua"/>
          <w:color w:val="000000" w:themeColor="text1"/>
          <w:szCs w:val="24"/>
          <w:lang w:val="es-PR"/>
        </w:rPr>
        <w:t xml:space="preserve">de la Ley </w:t>
      </w:r>
      <w:r>
        <w:rPr>
          <w:rFonts w:ascii="Book Antiqua" w:eastAsia="Book Antiqua" w:hAnsi="Book Antiqua" w:cs="Book Antiqua"/>
          <w:color w:val="000000" w:themeColor="text1"/>
          <w:szCs w:val="24"/>
          <w:lang w:val="es-PR"/>
        </w:rPr>
        <w:t>Núm. 166-1995</w:t>
      </w:r>
      <w:r w:rsidRPr="00C36660">
        <w:rPr>
          <w:rFonts w:ascii="Book Antiqua" w:eastAsia="Book Antiqua" w:hAnsi="Book Antiqua" w:cs="Book Antiqua"/>
          <w:color w:val="000000" w:themeColor="text1"/>
          <w:szCs w:val="24"/>
          <w:lang w:val="es-PR"/>
        </w:rPr>
        <w:t>, según enmendada, conocida como “Ley</w:t>
      </w:r>
      <w:r>
        <w:rPr>
          <w:rFonts w:ascii="Book Antiqua" w:eastAsia="Book Antiqua" w:hAnsi="Book Antiqua" w:cs="Book Antiqua"/>
          <w:color w:val="000000" w:themeColor="text1"/>
          <w:szCs w:val="24"/>
          <w:lang w:val="es-PR"/>
        </w:rPr>
        <w:t xml:space="preserve"> del Programa de Desarrollo Artesanal”. </w:t>
      </w:r>
    </w:p>
    <w:p w14:paraId="5CB0F34A" w14:textId="19F10563" w:rsidR="008E045D" w:rsidRPr="008E045D" w:rsidRDefault="008E045D" w:rsidP="008E045D">
      <w:pPr>
        <w:pStyle w:val="BodyText"/>
        <w:ind w:firstLine="720"/>
        <w:rPr>
          <w:rFonts w:ascii="Book Antiqua" w:eastAsia="Book Antiqua" w:hAnsi="Book Antiqua" w:cs="Book Antiqua"/>
          <w:color w:val="000000" w:themeColor="text1"/>
          <w:lang w:val="es-PR"/>
        </w:rPr>
      </w:pPr>
      <w:r w:rsidRPr="008E045D">
        <w:rPr>
          <w:rFonts w:ascii="Book Antiqua" w:hAnsi="Book Antiqua"/>
          <w:color w:val="000000" w:themeColor="text1"/>
          <w:lang w:val="es-PR"/>
        </w:rPr>
        <w:t>Sección 2.</w:t>
      </w:r>
      <w:r w:rsidR="007801D1">
        <w:rPr>
          <w:rFonts w:ascii="Book Antiqua" w:hAnsi="Book Antiqua"/>
          <w:color w:val="000000" w:themeColor="text1"/>
          <w:lang w:val="es-PR"/>
        </w:rPr>
        <w:t>-</w:t>
      </w:r>
      <w:r w:rsidRPr="008E045D">
        <w:rPr>
          <w:rFonts w:ascii="Book Antiqua" w:hAnsi="Book Antiqua"/>
          <w:lang w:val="es-PR"/>
        </w:rPr>
        <w:t xml:space="preserve"> Se renumeran las actuales Artículo 10, 11, 12, 13, 14, 15, 16, 17, 18 y 19 como los nuevos Artículos 9, 10, 11, 12, 13, 14, 15, 16, 17 y 18 respectivamente, de la Ley Núm. 166-1995, según enmendada.</w:t>
      </w:r>
    </w:p>
    <w:p w14:paraId="0B72419E" w14:textId="4B2B49B8" w:rsidR="008E045D" w:rsidRPr="008E045D" w:rsidRDefault="008E045D" w:rsidP="008E045D">
      <w:pPr>
        <w:pStyle w:val="BodyText"/>
        <w:ind w:firstLine="720"/>
        <w:rPr>
          <w:rFonts w:ascii="Book Antiqua" w:hAnsi="Book Antiqua"/>
          <w:color w:val="000000" w:themeColor="text1"/>
          <w:lang w:val="es-PR"/>
        </w:rPr>
      </w:pPr>
      <w:r w:rsidRPr="008E045D">
        <w:rPr>
          <w:rFonts w:ascii="Book Antiqua" w:hAnsi="Book Antiqua"/>
          <w:color w:val="000000" w:themeColor="text1"/>
          <w:lang w:val="es-PR"/>
        </w:rPr>
        <w:t>Sección 3.</w:t>
      </w:r>
      <w:r w:rsidR="007801D1">
        <w:rPr>
          <w:rFonts w:ascii="Book Antiqua" w:hAnsi="Book Antiqua"/>
          <w:color w:val="000000" w:themeColor="text1"/>
          <w:lang w:val="es-PR"/>
        </w:rPr>
        <w:t xml:space="preserve"> </w:t>
      </w:r>
      <w:r w:rsidRPr="008E045D">
        <w:rPr>
          <w:rFonts w:ascii="Book Antiqua" w:hAnsi="Book Antiqua"/>
          <w:color w:val="000000" w:themeColor="text1"/>
          <w:lang w:val="es-PR"/>
        </w:rPr>
        <w:t>- Separabilidad.</w:t>
      </w:r>
    </w:p>
    <w:p w14:paraId="394BF4CF" w14:textId="77777777" w:rsidR="008E045D" w:rsidRPr="008E045D" w:rsidRDefault="008E045D" w:rsidP="008E045D">
      <w:pPr>
        <w:pStyle w:val="BodyText"/>
        <w:ind w:firstLine="720"/>
        <w:rPr>
          <w:rFonts w:ascii="Book Antiqua" w:hAnsi="Book Antiqua"/>
          <w:color w:val="000000" w:themeColor="text1"/>
          <w:lang w:val="es-PR"/>
        </w:rPr>
      </w:pPr>
      <w:r w:rsidRPr="008E045D">
        <w:rPr>
          <w:rFonts w:ascii="Book Antiqua" w:hAnsi="Book Antiqua"/>
          <w:color w:val="000000" w:themeColor="text1"/>
          <w:lang w:val="es-PR"/>
        </w:rPr>
        <w:t xml:space="preserve">Si cualquier cláusula, párrafo, subpárrafo, oración, palabra, letra, artículo, disposición, sección, subsección, título, capítulo, subcapítulo, acápite o parte de esta Ley </w:t>
      </w:r>
      <w:r w:rsidRPr="008E045D">
        <w:rPr>
          <w:rFonts w:ascii="Book Antiqua" w:hAnsi="Book Antiqua"/>
          <w:color w:val="000000" w:themeColor="text1"/>
          <w:lang w:val="es-PR"/>
        </w:rPr>
        <w:lastRenderedPageBreak/>
        <w:t>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31FB7BB2" w14:textId="77777777" w:rsidR="008E045D" w:rsidRPr="008E045D" w:rsidRDefault="008E045D" w:rsidP="007801D1">
      <w:pPr>
        <w:pStyle w:val="BodyText"/>
        <w:ind w:firstLine="540"/>
        <w:rPr>
          <w:rFonts w:ascii="Book Antiqua" w:hAnsi="Book Antiqua"/>
          <w:color w:val="000000" w:themeColor="text1"/>
          <w:lang w:val="es-PR"/>
        </w:rPr>
      </w:pPr>
      <w:r w:rsidRPr="008E045D">
        <w:rPr>
          <w:rFonts w:ascii="Book Antiqua" w:eastAsia="Book Antiqua" w:hAnsi="Book Antiqua" w:cs="Book Antiqua"/>
          <w:color w:val="000000" w:themeColor="text1"/>
          <w:lang w:val="es-PR"/>
        </w:rPr>
        <w:t>Sección. 4.- Vigencia.</w:t>
      </w:r>
    </w:p>
    <w:p w14:paraId="6036CCA5" w14:textId="6F6F8C11" w:rsidR="00C91865" w:rsidRPr="004F4E49" w:rsidRDefault="008E045D" w:rsidP="007801D1">
      <w:pPr>
        <w:spacing w:line="480" w:lineRule="auto"/>
        <w:ind w:firstLine="540"/>
        <w:jc w:val="both"/>
        <w:rPr>
          <w:color w:val="000000" w:themeColor="text1"/>
          <w:lang w:val="es-PR"/>
        </w:rPr>
      </w:pPr>
      <w:r w:rsidRPr="003A208B">
        <w:rPr>
          <w:rFonts w:ascii="Book Antiqua" w:eastAsia="Book Antiqua" w:hAnsi="Book Antiqua" w:cs="Book Antiqua"/>
          <w:color w:val="000000" w:themeColor="text1"/>
          <w:szCs w:val="24"/>
          <w:lang w:val="es-PR"/>
        </w:rPr>
        <w:t xml:space="preserve">Esta Ley entrará en vigor </w:t>
      </w:r>
      <w:r>
        <w:rPr>
          <w:rFonts w:ascii="Book Antiqua" w:eastAsia="Book Antiqua" w:hAnsi="Book Antiqua" w:cs="Book Antiqua"/>
          <w:color w:val="000000" w:themeColor="text1"/>
          <w:szCs w:val="24"/>
          <w:lang w:val="es-PR"/>
        </w:rPr>
        <w:t xml:space="preserve">inmediatamente después de su aprobación. </w:t>
      </w:r>
      <w:r w:rsidRPr="003A208B">
        <w:rPr>
          <w:rFonts w:ascii="Book Antiqua" w:eastAsia="Book Antiqua" w:hAnsi="Book Antiqua" w:cs="Book Antiqua"/>
          <w:color w:val="000000" w:themeColor="text1"/>
          <w:szCs w:val="24"/>
          <w:lang w:val="es-PR"/>
        </w:rPr>
        <w:t xml:space="preserve"> </w:t>
      </w:r>
      <w:bookmarkEnd w:id="0"/>
    </w:p>
    <w:sectPr w:rsidR="00C91865" w:rsidRPr="004F4E49" w:rsidSect="008E045D">
      <w:headerReference w:type="even" r:id="rId15"/>
      <w:headerReference w:type="default" r:id="rId16"/>
      <w:footerReference w:type="default" r:id="rId17"/>
      <w:headerReference w:type="first" r:id="rId18"/>
      <w:footerReference w:type="first" r:id="rId19"/>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EA01D" w14:textId="77777777" w:rsidR="00B4434F" w:rsidRDefault="00B4434F">
      <w:r>
        <w:separator/>
      </w:r>
    </w:p>
  </w:endnote>
  <w:endnote w:type="continuationSeparator" w:id="0">
    <w:p w14:paraId="28D74810" w14:textId="77777777" w:rsidR="00B4434F" w:rsidRDefault="00B4434F">
      <w:r>
        <w:continuationSeparator/>
      </w:r>
    </w:p>
  </w:endnote>
  <w:endnote w:type="continuationNotice" w:id="1">
    <w:p w14:paraId="692E4663" w14:textId="77777777" w:rsidR="00B4434F" w:rsidRDefault="00B443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DengXian Light">
    <w:altName w:val="Segoe Prin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8E045D" w14:paraId="5484FA0B" w14:textId="77777777">
      <w:trPr>
        <w:trHeight w:val="300"/>
      </w:trPr>
      <w:tc>
        <w:tcPr>
          <w:tcW w:w="3120" w:type="dxa"/>
        </w:tcPr>
        <w:p w14:paraId="561B6516" w14:textId="77777777" w:rsidR="008E045D" w:rsidRDefault="008E045D">
          <w:pPr>
            <w:pStyle w:val="Header"/>
            <w:ind w:left="-115"/>
          </w:pPr>
        </w:p>
      </w:tc>
      <w:tc>
        <w:tcPr>
          <w:tcW w:w="3120" w:type="dxa"/>
        </w:tcPr>
        <w:p w14:paraId="7401D0C2" w14:textId="77777777" w:rsidR="008E045D" w:rsidRDefault="008E045D">
          <w:pPr>
            <w:pStyle w:val="Header"/>
            <w:jc w:val="center"/>
          </w:pPr>
        </w:p>
      </w:tc>
      <w:tc>
        <w:tcPr>
          <w:tcW w:w="3120" w:type="dxa"/>
        </w:tcPr>
        <w:p w14:paraId="04B2A588" w14:textId="77777777" w:rsidR="008E045D" w:rsidRDefault="008E045D">
          <w:pPr>
            <w:pStyle w:val="Header"/>
            <w:ind w:right="-115"/>
            <w:jc w:val="right"/>
          </w:pPr>
        </w:p>
      </w:tc>
    </w:tr>
  </w:tbl>
  <w:p w14:paraId="0C795536" w14:textId="77777777" w:rsidR="008E045D" w:rsidRDefault="008E04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8E045D" w14:paraId="32E9335F" w14:textId="77777777">
      <w:trPr>
        <w:trHeight w:val="300"/>
      </w:trPr>
      <w:tc>
        <w:tcPr>
          <w:tcW w:w="3120" w:type="dxa"/>
        </w:tcPr>
        <w:p w14:paraId="7F531403" w14:textId="77777777" w:rsidR="008E045D" w:rsidRDefault="008E045D">
          <w:pPr>
            <w:pStyle w:val="Header"/>
            <w:ind w:left="-115"/>
          </w:pPr>
        </w:p>
      </w:tc>
      <w:tc>
        <w:tcPr>
          <w:tcW w:w="3120" w:type="dxa"/>
        </w:tcPr>
        <w:p w14:paraId="3133A2EA" w14:textId="77777777" w:rsidR="008E045D" w:rsidRDefault="008E045D">
          <w:pPr>
            <w:pStyle w:val="Header"/>
            <w:jc w:val="center"/>
          </w:pPr>
        </w:p>
      </w:tc>
      <w:tc>
        <w:tcPr>
          <w:tcW w:w="3120" w:type="dxa"/>
        </w:tcPr>
        <w:p w14:paraId="24FDAD2C" w14:textId="77777777" w:rsidR="008E045D" w:rsidRDefault="008E045D">
          <w:pPr>
            <w:pStyle w:val="Header"/>
            <w:ind w:right="-115"/>
            <w:jc w:val="right"/>
          </w:pPr>
        </w:p>
      </w:tc>
    </w:tr>
  </w:tbl>
  <w:p w14:paraId="37649ACE" w14:textId="77777777" w:rsidR="008E045D" w:rsidRDefault="008E0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2B12E" w14:textId="77777777" w:rsidR="00B4434F" w:rsidRDefault="00B4434F">
      <w:r>
        <w:separator/>
      </w:r>
    </w:p>
  </w:footnote>
  <w:footnote w:type="continuationSeparator" w:id="0">
    <w:p w14:paraId="51F53DB9" w14:textId="77777777" w:rsidR="00B4434F" w:rsidRDefault="00B4434F">
      <w:r>
        <w:continuationSeparator/>
      </w:r>
    </w:p>
  </w:footnote>
  <w:footnote w:type="continuationNotice" w:id="1">
    <w:p w14:paraId="67E39929" w14:textId="77777777" w:rsidR="00B4434F" w:rsidRDefault="00B443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29353D87" w:rsidR="007F61B2" w:rsidRPr="00C60B4E" w:rsidRDefault="00C60B4E" w:rsidP="00C60B4E">
    <w:pPr>
      <w:pStyle w:val="Header"/>
      <w:jc w:val="right"/>
      <w:rPr>
        <w:lang w:val="en-US"/>
      </w:rPr>
    </w:pPr>
    <w:r>
      <w:rPr>
        <w:lang w:val="en-US"/>
      </w:rPr>
      <w:t>A-0</w:t>
    </w:r>
    <w:r w:rsidR="00793FB1">
      <w:rPr>
        <w:lang w:val="en-US"/>
      </w:rPr>
      <w:t>9</w:t>
    </w:r>
    <w:r w:rsidR="000A1D5C">
      <w:rPr>
        <w:lang w:val="en-US"/>
      </w:rPr>
      <w:t>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E4872" w14:textId="77777777" w:rsidR="008E045D" w:rsidRDefault="008E045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0DDB3" w14:textId="77777777" w:rsidR="008E045D" w:rsidRDefault="008E045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B68FA" w14:textId="77777777" w:rsidR="008E045D" w:rsidRDefault="008E04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8"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1"/>
  </w:num>
  <w:num w:numId="2" w16cid:durableId="2037927756">
    <w:abstractNumId w:val="8"/>
  </w:num>
  <w:num w:numId="3" w16cid:durableId="508376565">
    <w:abstractNumId w:val="13"/>
  </w:num>
  <w:num w:numId="4" w16cid:durableId="216819222">
    <w:abstractNumId w:val="9"/>
  </w:num>
  <w:num w:numId="5" w16cid:durableId="517544549">
    <w:abstractNumId w:val="19"/>
  </w:num>
  <w:num w:numId="6" w16cid:durableId="478498451">
    <w:abstractNumId w:val="7"/>
  </w:num>
  <w:num w:numId="7" w16cid:durableId="46998239">
    <w:abstractNumId w:val="21"/>
  </w:num>
  <w:num w:numId="8" w16cid:durableId="275597364">
    <w:abstractNumId w:val="4"/>
  </w:num>
  <w:num w:numId="9" w16cid:durableId="1126703027">
    <w:abstractNumId w:val="2"/>
  </w:num>
  <w:num w:numId="10" w16cid:durableId="1162702400">
    <w:abstractNumId w:val="5"/>
  </w:num>
  <w:num w:numId="11" w16cid:durableId="2055156664">
    <w:abstractNumId w:val="14"/>
  </w:num>
  <w:num w:numId="12" w16cid:durableId="1121461949">
    <w:abstractNumId w:val="16"/>
  </w:num>
  <w:num w:numId="13" w16cid:durableId="261303919">
    <w:abstractNumId w:val="3"/>
  </w:num>
  <w:num w:numId="14" w16cid:durableId="1608542314">
    <w:abstractNumId w:val="0"/>
  </w:num>
  <w:num w:numId="15" w16cid:durableId="687564547">
    <w:abstractNumId w:val="1"/>
  </w:num>
  <w:num w:numId="16" w16cid:durableId="273637373">
    <w:abstractNumId w:val="10"/>
  </w:num>
  <w:num w:numId="17" w16cid:durableId="1320235784">
    <w:abstractNumId w:val="17"/>
  </w:num>
  <w:num w:numId="18" w16cid:durableId="1401176248">
    <w:abstractNumId w:val="18"/>
  </w:num>
  <w:num w:numId="19" w16cid:durableId="376929053">
    <w:abstractNumId w:val="12"/>
  </w:num>
  <w:num w:numId="20" w16cid:durableId="262231328">
    <w:abstractNumId w:val="15"/>
  </w:num>
  <w:num w:numId="21" w16cid:durableId="2065105753">
    <w:abstractNumId w:val="6"/>
  </w:num>
  <w:num w:numId="22" w16cid:durableId="1804614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5CEB"/>
    <w:rsid w:val="00014190"/>
    <w:rsid w:val="00014A7E"/>
    <w:rsid w:val="000164BB"/>
    <w:rsid w:val="00020EA3"/>
    <w:rsid w:val="000270A5"/>
    <w:rsid w:val="0004098B"/>
    <w:rsid w:val="00045F08"/>
    <w:rsid w:val="000579C4"/>
    <w:rsid w:val="00062B92"/>
    <w:rsid w:val="00063D14"/>
    <w:rsid w:val="000659E0"/>
    <w:rsid w:val="000741B3"/>
    <w:rsid w:val="00075FB4"/>
    <w:rsid w:val="00076D71"/>
    <w:rsid w:val="00076E80"/>
    <w:rsid w:val="000866CA"/>
    <w:rsid w:val="0009772C"/>
    <w:rsid w:val="000A1D21"/>
    <w:rsid w:val="000A1D5C"/>
    <w:rsid w:val="000A4C96"/>
    <w:rsid w:val="000A5112"/>
    <w:rsid w:val="000B0936"/>
    <w:rsid w:val="000C2412"/>
    <w:rsid w:val="000D129F"/>
    <w:rsid w:val="000D67C9"/>
    <w:rsid w:val="000E25DA"/>
    <w:rsid w:val="000E5ABE"/>
    <w:rsid w:val="000E6A9E"/>
    <w:rsid w:val="000F3B48"/>
    <w:rsid w:val="00100AF1"/>
    <w:rsid w:val="001016AC"/>
    <w:rsid w:val="0010370A"/>
    <w:rsid w:val="0011023B"/>
    <w:rsid w:val="00112D3D"/>
    <w:rsid w:val="00121A8C"/>
    <w:rsid w:val="00151B88"/>
    <w:rsid w:val="00151EAB"/>
    <w:rsid w:val="00154D43"/>
    <w:rsid w:val="001614B1"/>
    <w:rsid w:val="00167892"/>
    <w:rsid w:val="00170D6C"/>
    <w:rsid w:val="00176176"/>
    <w:rsid w:val="00183D59"/>
    <w:rsid w:val="001855E6"/>
    <w:rsid w:val="0019638B"/>
    <w:rsid w:val="00196959"/>
    <w:rsid w:val="001A4F66"/>
    <w:rsid w:val="001A7DF2"/>
    <w:rsid w:val="001B27CD"/>
    <w:rsid w:val="001B45AF"/>
    <w:rsid w:val="001B6435"/>
    <w:rsid w:val="001C1A00"/>
    <w:rsid w:val="001C5485"/>
    <w:rsid w:val="001D7752"/>
    <w:rsid w:val="001E08D1"/>
    <w:rsid w:val="001F5E7F"/>
    <w:rsid w:val="00203A46"/>
    <w:rsid w:val="00206653"/>
    <w:rsid w:val="0021171A"/>
    <w:rsid w:val="00231429"/>
    <w:rsid w:val="0023774B"/>
    <w:rsid w:val="0024422E"/>
    <w:rsid w:val="00247D33"/>
    <w:rsid w:val="002541AD"/>
    <w:rsid w:val="00254612"/>
    <w:rsid w:val="00271EE7"/>
    <w:rsid w:val="0027475C"/>
    <w:rsid w:val="00274D04"/>
    <w:rsid w:val="0027683B"/>
    <w:rsid w:val="00283306"/>
    <w:rsid w:val="00293AAF"/>
    <w:rsid w:val="00294DCD"/>
    <w:rsid w:val="002972D2"/>
    <w:rsid w:val="002A2E3E"/>
    <w:rsid w:val="002A5F56"/>
    <w:rsid w:val="002A684D"/>
    <w:rsid w:val="002B42DB"/>
    <w:rsid w:val="002B5D05"/>
    <w:rsid w:val="002B635D"/>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6A6D"/>
    <w:rsid w:val="00367F94"/>
    <w:rsid w:val="00370898"/>
    <w:rsid w:val="003718F2"/>
    <w:rsid w:val="003848FF"/>
    <w:rsid w:val="0039365A"/>
    <w:rsid w:val="00395EF3"/>
    <w:rsid w:val="00396297"/>
    <w:rsid w:val="003A7944"/>
    <w:rsid w:val="003B343A"/>
    <w:rsid w:val="003C15C9"/>
    <w:rsid w:val="003C2BBB"/>
    <w:rsid w:val="003D3DB3"/>
    <w:rsid w:val="003D4D7E"/>
    <w:rsid w:val="003E247C"/>
    <w:rsid w:val="003E2A06"/>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63D73"/>
    <w:rsid w:val="00464285"/>
    <w:rsid w:val="00467979"/>
    <w:rsid w:val="0047581C"/>
    <w:rsid w:val="00477188"/>
    <w:rsid w:val="00477788"/>
    <w:rsid w:val="0048628A"/>
    <w:rsid w:val="00486D91"/>
    <w:rsid w:val="00492CD7"/>
    <w:rsid w:val="004A24C6"/>
    <w:rsid w:val="004A41D0"/>
    <w:rsid w:val="004B278A"/>
    <w:rsid w:val="004B2F36"/>
    <w:rsid w:val="004B68F9"/>
    <w:rsid w:val="004C178C"/>
    <w:rsid w:val="004C5E2E"/>
    <w:rsid w:val="004C670A"/>
    <w:rsid w:val="004D04DE"/>
    <w:rsid w:val="004D0718"/>
    <w:rsid w:val="004D3FBD"/>
    <w:rsid w:val="004D406E"/>
    <w:rsid w:val="004D6AE4"/>
    <w:rsid w:val="004E2CE2"/>
    <w:rsid w:val="004E2E81"/>
    <w:rsid w:val="004E57F6"/>
    <w:rsid w:val="004E62D8"/>
    <w:rsid w:val="004F4E49"/>
    <w:rsid w:val="004F7331"/>
    <w:rsid w:val="0050380A"/>
    <w:rsid w:val="00504471"/>
    <w:rsid w:val="00506A16"/>
    <w:rsid w:val="005130BF"/>
    <w:rsid w:val="00523805"/>
    <w:rsid w:val="005332AA"/>
    <w:rsid w:val="005531AD"/>
    <w:rsid w:val="00557D84"/>
    <w:rsid w:val="00560A03"/>
    <w:rsid w:val="00561180"/>
    <w:rsid w:val="0056407E"/>
    <w:rsid w:val="0057356F"/>
    <w:rsid w:val="00580F55"/>
    <w:rsid w:val="00593C7F"/>
    <w:rsid w:val="00594085"/>
    <w:rsid w:val="005A119E"/>
    <w:rsid w:val="005A183F"/>
    <w:rsid w:val="005A37CE"/>
    <w:rsid w:val="005A4CFA"/>
    <w:rsid w:val="005A5437"/>
    <w:rsid w:val="005D1822"/>
    <w:rsid w:val="005D4C44"/>
    <w:rsid w:val="005D5738"/>
    <w:rsid w:val="005E4879"/>
    <w:rsid w:val="005E5478"/>
    <w:rsid w:val="005E5FE3"/>
    <w:rsid w:val="005E62A5"/>
    <w:rsid w:val="005E75FF"/>
    <w:rsid w:val="005F02A0"/>
    <w:rsid w:val="005F197B"/>
    <w:rsid w:val="005F492A"/>
    <w:rsid w:val="00600473"/>
    <w:rsid w:val="00601919"/>
    <w:rsid w:val="006031E1"/>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01D1"/>
    <w:rsid w:val="00785210"/>
    <w:rsid w:val="007913C2"/>
    <w:rsid w:val="00792036"/>
    <w:rsid w:val="00793FB1"/>
    <w:rsid w:val="00796A1D"/>
    <w:rsid w:val="007A4890"/>
    <w:rsid w:val="007A4AD0"/>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57BD"/>
    <w:rsid w:val="008B008E"/>
    <w:rsid w:val="008B1FE6"/>
    <w:rsid w:val="008B307B"/>
    <w:rsid w:val="008B5572"/>
    <w:rsid w:val="008C17D4"/>
    <w:rsid w:val="008D0C41"/>
    <w:rsid w:val="008E045D"/>
    <w:rsid w:val="008E11EF"/>
    <w:rsid w:val="008E480B"/>
    <w:rsid w:val="008F3657"/>
    <w:rsid w:val="008F6826"/>
    <w:rsid w:val="008F6EA1"/>
    <w:rsid w:val="0090363D"/>
    <w:rsid w:val="0092574A"/>
    <w:rsid w:val="00926BC1"/>
    <w:rsid w:val="009320A8"/>
    <w:rsid w:val="00940544"/>
    <w:rsid w:val="0094294A"/>
    <w:rsid w:val="009434A9"/>
    <w:rsid w:val="00945971"/>
    <w:rsid w:val="00960475"/>
    <w:rsid w:val="009617D5"/>
    <w:rsid w:val="00961DDB"/>
    <w:rsid w:val="00966FA9"/>
    <w:rsid w:val="009771FC"/>
    <w:rsid w:val="009812E2"/>
    <w:rsid w:val="009A05A3"/>
    <w:rsid w:val="009A741D"/>
    <w:rsid w:val="009A787A"/>
    <w:rsid w:val="009C47A8"/>
    <w:rsid w:val="009C54CA"/>
    <w:rsid w:val="009D115E"/>
    <w:rsid w:val="009D659A"/>
    <w:rsid w:val="009E0FA1"/>
    <w:rsid w:val="009F61F7"/>
    <w:rsid w:val="00A03E35"/>
    <w:rsid w:val="00A05CBE"/>
    <w:rsid w:val="00A1720E"/>
    <w:rsid w:val="00A258E7"/>
    <w:rsid w:val="00A30405"/>
    <w:rsid w:val="00A36A5F"/>
    <w:rsid w:val="00A415F2"/>
    <w:rsid w:val="00A43B6B"/>
    <w:rsid w:val="00A43EC5"/>
    <w:rsid w:val="00A50CBC"/>
    <w:rsid w:val="00A54EEA"/>
    <w:rsid w:val="00A60301"/>
    <w:rsid w:val="00A701C5"/>
    <w:rsid w:val="00A71027"/>
    <w:rsid w:val="00A75FF7"/>
    <w:rsid w:val="00A82019"/>
    <w:rsid w:val="00A87FC6"/>
    <w:rsid w:val="00A95B27"/>
    <w:rsid w:val="00AA3873"/>
    <w:rsid w:val="00AA3B92"/>
    <w:rsid w:val="00AA4522"/>
    <w:rsid w:val="00AA46E1"/>
    <w:rsid w:val="00AB2370"/>
    <w:rsid w:val="00AC1EBE"/>
    <w:rsid w:val="00AC3C0A"/>
    <w:rsid w:val="00AC4ADE"/>
    <w:rsid w:val="00AD0068"/>
    <w:rsid w:val="00AE243B"/>
    <w:rsid w:val="00AE3B8E"/>
    <w:rsid w:val="00AF0830"/>
    <w:rsid w:val="00AF2BB2"/>
    <w:rsid w:val="00AF3E42"/>
    <w:rsid w:val="00AF5FD1"/>
    <w:rsid w:val="00AF70D8"/>
    <w:rsid w:val="00B00B01"/>
    <w:rsid w:val="00B12A36"/>
    <w:rsid w:val="00B13131"/>
    <w:rsid w:val="00B13F57"/>
    <w:rsid w:val="00B17A3A"/>
    <w:rsid w:val="00B20247"/>
    <w:rsid w:val="00B23602"/>
    <w:rsid w:val="00B31609"/>
    <w:rsid w:val="00B37CE4"/>
    <w:rsid w:val="00B4434F"/>
    <w:rsid w:val="00B516B0"/>
    <w:rsid w:val="00B51D4B"/>
    <w:rsid w:val="00B54D7C"/>
    <w:rsid w:val="00B60022"/>
    <w:rsid w:val="00B63686"/>
    <w:rsid w:val="00B644EA"/>
    <w:rsid w:val="00B7637E"/>
    <w:rsid w:val="00B77C27"/>
    <w:rsid w:val="00B8688D"/>
    <w:rsid w:val="00B872A1"/>
    <w:rsid w:val="00B909F0"/>
    <w:rsid w:val="00B933DA"/>
    <w:rsid w:val="00B93659"/>
    <w:rsid w:val="00BA5775"/>
    <w:rsid w:val="00BA62C3"/>
    <w:rsid w:val="00BB4E75"/>
    <w:rsid w:val="00BB63E5"/>
    <w:rsid w:val="00BC0E43"/>
    <w:rsid w:val="00BC29F9"/>
    <w:rsid w:val="00BC74FD"/>
    <w:rsid w:val="00BD0C31"/>
    <w:rsid w:val="00BD3F53"/>
    <w:rsid w:val="00BE6B79"/>
    <w:rsid w:val="00BF0C93"/>
    <w:rsid w:val="00BF24DA"/>
    <w:rsid w:val="00BF5B60"/>
    <w:rsid w:val="00BF603F"/>
    <w:rsid w:val="00BF7DBB"/>
    <w:rsid w:val="00C00DC9"/>
    <w:rsid w:val="00C02130"/>
    <w:rsid w:val="00C02A40"/>
    <w:rsid w:val="00C10F6D"/>
    <w:rsid w:val="00C26945"/>
    <w:rsid w:val="00C27360"/>
    <w:rsid w:val="00C34C2D"/>
    <w:rsid w:val="00C36ABA"/>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4453"/>
    <w:rsid w:val="00CA567F"/>
    <w:rsid w:val="00CA5F57"/>
    <w:rsid w:val="00CA6D1B"/>
    <w:rsid w:val="00CB7B9F"/>
    <w:rsid w:val="00CC1885"/>
    <w:rsid w:val="00CC5676"/>
    <w:rsid w:val="00CD2CC2"/>
    <w:rsid w:val="00CE0C8C"/>
    <w:rsid w:val="00CE2334"/>
    <w:rsid w:val="00CF2808"/>
    <w:rsid w:val="00CF3342"/>
    <w:rsid w:val="00D12650"/>
    <w:rsid w:val="00D217C6"/>
    <w:rsid w:val="00D24DA2"/>
    <w:rsid w:val="00D32D60"/>
    <w:rsid w:val="00D35008"/>
    <w:rsid w:val="00D37054"/>
    <w:rsid w:val="00D37D69"/>
    <w:rsid w:val="00D40AE2"/>
    <w:rsid w:val="00D40D7F"/>
    <w:rsid w:val="00D53ACF"/>
    <w:rsid w:val="00D57D0F"/>
    <w:rsid w:val="00D623E2"/>
    <w:rsid w:val="00D76523"/>
    <w:rsid w:val="00D77C8E"/>
    <w:rsid w:val="00D82800"/>
    <w:rsid w:val="00D85598"/>
    <w:rsid w:val="00D90036"/>
    <w:rsid w:val="00D92E87"/>
    <w:rsid w:val="00D953E1"/>
    <w:rsid w:val="00DA1F13"/>
    <w:rsid w:val="00DA34D8"/>
    <w:rsid w:val="00DB4272"/>
    <w:rsid w:val="00DB6ED3"/>
    <w:rsid w:val="00DC2DE4"/>
    <w:rsid w:val="00DC6D36"/>
    <w:rsid w:val="00DD2763"/>
    <w:rsid w:val="00DE2A89"/>
    <w:rsid w:val="00DE6FCA"/>
    <w:rsid w:val="00E028DD"/>
    <w:rsid w:val="00E044DD"/>
    <w:rsid w:val="00E04B77"/>
    <w:rsid w:val="00E06704"/>
    <w:rsid w:val="00E15C25"/>
    <w:rsid w:val="00E20220"/>
    <w:rsid w:val="00E263C7"/>
    <w:rsid w:val="00E27D4B"/>
    <w:rsid w:val="00E304C8"/>
    <w:rsid w:val="00E51CE3"/>
    <w:rsid w:val="00E5538A"/>
    <w:rsid w:val="00E60299"/>
    <w:rsid w:val="00E615E1"/>
    <w:rsid w:val="00E64B96"/>
    <w:rsid w:val="00E90C62"/>
    <w:rsid w:val="00EA2D19"/>
    <w:rsid w:val="00EA412D"/>
    <w:rsid w:val="00EA455E"/>
    <w:rsid w:val="00EB412E"/>
    <w:rsid w:val="00EB4427"/>
    <w:rsid w:val="00EB4B50"/>
    <w:rsid w:val="00EC23C9"/>
    <w:rsid w:val="00EC69FF"/>
    <w:rsid w:val="00EC7C09"/>
    <w:rsid w:val="00ED031F"/>
    <w:rsid w:val="00EE4413"/>
    <w:rsid w:val="00EE61D0"/>
    <w:rsid w:val="00EE7CB6"/>
    <w:rsid w:val="00EF5966"/>
    <w:rsid w:val="00EF75E1"/>
    <w:rsid w:val="00F02966"/>
    <w:rsid w:val="00F04EF2"/>
    <w:rsid w:val="00F05BAB"/>
    <w:rsid w:val="00F12A2B"/>
    <w:rsid w:val="00F15352"/>
    <w:rsid w:val="00F207F8"/>
    <w:rsid w:val="00F20816"/>
    <w:rsid w:val="00F20819"/>
    <w:rsid w:val="00F234E9"/>
    <w:rsid w:val="00F34824"/>
    <w:rsid w:val="00F434E6"/>
    <w:rsid w:val="00F47CF7"/>
    <w:rsid w:val="00F50746"/>
    <w:rsid w:val="00F51E9F"/>
    <w:rsid w:val="00F565DA"/>
    <w:rsid w:val="00F618DB"/>
    <w:rsid w:val="00F65039"/>
    <w:rsid w:val="00F66F83"/>
    <w:rsid w:val="00F711AE"/>
    <w:rsid w:val="00F752B4"/>
    <w:rsid w:val="00F84E92"/>
    <w:rsid w:val="00F87422"/>
    <w:rsid w:val="00FA489F"/>
    <w:rsid w:val="00FA5408"/>
    <w:rsid w:val="00FA6279"/>
    <w:rsid w:val="00FA7A68"/>
    <w:rsid w:val="00FB153D"/>
    <w:rsid w:val="00FB58AD"/>
    <w:rsid w:val="00FB63E2"/>
    <w:rsid w:val="00FB774F"/>
    <w:rsid w:val="00FC1EE1"/>
    <w:rsid w:val="00FC564C"/>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 Id="rId22"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4SQX5P7U7WPY-958212181-822472</_dlc_DocId>
    <_dlc_DocIdUrl xmlns="c890fddd-4e87-4e08-8b51-545f2a3f7b06">
      <Url>https://senpr.sharepoint.com/sites/obralegislativa/_layouts/15/DocIdRedir.aspx?ID=4SQX5P7U7WPY-958212181-822472</Url>
      <Description>4SQX5P7U7WPY-958212181-822472</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ADF74AA8-BB67-40F2-9CD6-F0CAF3F1D60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5.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6.xml><?xml version="1.0" encoding="utf-8"?>
<ds:datastoreItem xmlns:ds="http://schemas.openxmlformats.org/officeDocument/2006/customXml" ds:itemID="{6AF4A924-41D4-4ABA-9236-DE50DBD37D94}"/>
</file>

<file path=docProps/app.xml><?xml version="1.0" encoding="utf-8"?>
<Properties xmlns="http://schemas.openxmlformats.org/officeDocument/2006/extended-properties" xmlns:vt="http://schemas.openxmlformats.org/officeDocument/2006/docPropsVTypes">
  <Template>Normal</Template>
  <TotalTime>8</TotalTime>
  <Pages>3</Pages>
  <Words>704</Words>
  <Characters>3889</Characters>
  <Application>Microsoft Office Word</Application>
  <DocSecurity>0</DocSecurity>
  <Lines>82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S. Adams Vega</dc:creator>
  <cp:lastModifiedBy>Eric J. González (Trámites y Récords)</cp:lastModifiedBy>
  <cp:revision>6</cp:revision>
  <cp:lastPrinted>2026-01-12T13:22:00Z</cp:lastPrinted>
  <dcterms:created xsi:type="dcterms:W3CDTF">2026-01-12T17:46:00Z</dcterms:created>
  <dcterms:modified xsi:type="dcterms:W3CDTF">2026-01-14T18:06:00Z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0x0101008C58FC75B682744FB4A53C756BEDC3A3</vt:lpwstr>
  </property>
  <property fmtid="{D5CDD505-2E9C-101B-9397-08002B2CF9AE}" pid="5" name="MediaServiceImageTags">
    <vt:lpwstr/>
  </property>
  <property fmtid="{D5CDD505-2E9C-101B-9397-08002B2CF9AE}" pid="6" name="_dlc_DocIdItemGuid">
    <vt:lpwstr>baee599e-993f-4ac0-b141-d9470843fa7f</vt:lpwstr>
  </property>
</Properties>
</file>