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C16CFD" w14:textId="4AEBCEE0" w:rsidR="00265F5D" w:rsidRDefault="00265F5D">
      <w:pPr>
        <w:jc w:val="center"/>
        <w:rPr>
          <w:rFonts w:ascii="Book Antiqua" w:hAnsi="Book Antiqua"/>
          <w:sz w:val="36"/>
          <w:szCs w:val="36"/>
          <w:lang w:val="es-PR"/>
        </w:rPr>
      </w:pPr>
      <w:r>
        <w:rPr>
          <w:rFonts w:ascii="Book Antiqua" w:hAnsi="Book Antiqua"/>
          <w:sz w:val="36"/>
          <w:szCs w:val="36"/>
          <w:lang w:val="es-PR"/>
        </w:rPr>
        <w:t>(ENTIRILLADO ELECTRÓNICO)</w:t>
      </w:r>
    </w:p>
    <w:p w14:paraId="02233FFD" w14:textId="570F9484" w:rsidR="007F61B2" w:rsidRPr="008B5572" w:rsidRDefault="0083082B">
      <w:pPr>
        <w:jc w:val="center"/>
        <w:rPr>
          <w:rFonts w:ascii="Book Antiqua" w:hAnsi="Book Antiqua"/>
          <w:sz w:val="36"/>
          <w:szCs w:val="36"/>
          <w:lang w:val="es-PR"/>
        </w:rPr>
      </w:pPr>
      <w:r w:rsidRPr="008B5572">
        <w:rPr>
          <w:rFonts w:ascii="Book Antiqua" w:hAnsi="Book Antiqua"/>
          <w:sz w:val="36"/>
          <w:szCs w:val="36"/>
          <w:lang w:val="es-PR"/>
        </w:rPr>
        <w:t>GOBIERNO DE PUERTO RICO</w:t>
      </w:r>
    </w:p>
    <w:p w14:paraId="02233FFE" w14:textId="77777777" w:rsidR="007F61B2" w:rsidRPr="009C10A1" w:rsidRDefault="007F61B2">
      <w:pPr>
        <w:jc w:val="center"/>
        <w:rPr>
          <w:rFonts w:ascii="Book Antiqua" w:hAnsi="Book Antiqua"/>
          <w:sz w:val="36"/>
          <w:szCs w:val="36"/>
          <w:lang w:val="es-PR"/>
        </w:rPr>
      </w:pPr>
    </w:p>
    <w:p w14:paraId="02233FFF" w14:textId="7385C359" w:rsidR="007F61B2" w:rsidRPr="008B5572" w:rsidRDefault="0083082B">
      <w:pPr>
        <w:pStyle w:val="Title2"/>
        <w:tabs>
          <w:tab w:val="clear" w:pos="7776"/>
        </w:tabs>
        <w:rPr>
          <w:rFonts w:ascii="Book Antiqua" w:hAnsi="Book Antiqua"/>
          <w:lang w:val="es-PR"/>
        </w:rPr>
      </w:pPr>
      <w:r w:rsidRPr="008B5572">
        <w:rPr>
          <w:rFonts w:ascii="Book Antiqua" w:hAnsi="Book Antiqua"/>
          <w:lang w:val="es-PR"/>
        </w:rPr>
        <w:t>20</w:t>
      </w:r>
      <w:r w:rsidRPr="009C10A1">
        <w:rPr>
          <w:rFonts w:ascii="Book Antiqua" w:hAnsi="Book Antiqua"/>
          <w:vertAlign w:val="superscript"/>
          <w:lang w:val="es-PR"/>
        </w:rPr>
        <w:t>ma.</w:t>
      </w:r>
      <w:r w:rsidRPr="008B5572">
        <w:rPr>
          <w:rFonts w:ascii="Book Antiqua" w:hAnsi="Book Antiqua"/>
          <w:lang w:val="es-PR"/>
        </w:rPr>
        <w:t xml:space="preserve"> Asamblea </w:t>
      </w:r>
      <w:r w:rsidRPr="008B5572">
        <w:rPr>
          <w:rFonts w:ascii="Book Antiqua" w:hAnsi="Book Antiqua"/>
          <w:lang w:val="es-PR"/>
        </w:rPr>
        <w:tab/>
      </w:r>
      <w:r w:rsidR="00F752B4">
        <w:rPr>
          <w:rFonts w:ascii="Book Antiqua" w:hAnsi="Book Antiqua"/>
          <w:lang w:val="es-PR"/>
        </w:rPr>
        <w:t>3</w:t>
      </w:r>
      <w:r w:rsidR="00F752B4" w:rsidRPr="009C10A1">
        <w:rPr>
          <w:rFonts w:ascii="Book Antiqua" w:hAnsi="Book Antiqua"/>
          <w:vertAlign w:val="superscript"/>
          <w:lang w:val="es-PR"/>
        </w:rPr>
        <w:t>r</w:t>
      </w:r>
      <w:r w:rsidRPr="009C10A1">
        <w:rPr>
          <w:rFonts w:ascii="Book Antiqua" w:hAnsi="Book Antiqua"/>
          <w:vertAlign w:val="superscript"/>
          <w:lang w:val="es-PR"/>
        </w:rPr>
        <w:t>a.</w:t>
      </w:r>
      <w:r w:rsidRPr="008B5572">
        <w:rPr>
          <w:rFonts w:ascii="Book Antiqua" w:hAnsi="Book Antiqua"/>
          <w:lang w:val="es-PR"/>
        </w:rPr>
        <w:t xml:space="preserve"> Sesión</w:t>
      </w:r>
    </w:p>
    <w:p w14:paraId="02234000" w14:textId="224D97AF" w:rsidR="007F61B2" w:rsidRPr="008B5572" w:rsidRDefault="0083082B" w:rsidP="009C10A1">
      <w:pPr>
        <w:pStyle w:val="Title2"/>
        <w:tabs>
          <w:tab w:val="clear" w:pos="648"/>
          <w:tab w:val="clear" w:pos="7776"/>
          <w:tab w:val="left" w:pos="540"/>
        </w:tabs>
        <w:rPr>
          <w:rFonts w:ascii="Book Antiqua" w:hAnsi="Book Antiqua"/>
          <w:lang w:val="es-PR"/>
        </w:rPr>
      </w:pPr>
      <w:r w:rsidRPr="008B5572">
        <w:rPr>
          <w:rFonts w:ascii="Book Antiqua" w:hAnsi="Book Antiqua"/>
          <w:lang w:val="es-PR"/>
        </w:rPr>
        <w:tab/>
        <w:t>Legislativa</w:t>
      </w:r>
      <w:r w:rsidRPr="008B5572">
        <w:rPr>
          <w:rFonts w:ascii="Book Antiqua" w:hAnsi="Book Antiqua"/>
          <w:lang w:val="es-PR"/>
        </w:rPr>
        <w:tab/>
      </w:r>
      <w:r w:rsidRPr="008B5572">
        <w:rPr>
          <w:rFonts w:ascii="Book Antiqua" w:hAnsi="Book Antiqua"/>
          <w:lang w:val="es-PR"/>
        </w:rPr>
        <w:tab/>
        <w:t xml:space="preserve">     Ordinaria</w:t>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p>
    <w:p w14:paraId="02234001" w14:textId="77777777" w:rsidR="007F61B2" w:rsidRPr="008B5572" w:rsidRDefault="0083082B">
      <w:pPr>
        <w:jc w:val="center"/>
        <w:rPr>
          <w:rFonts w:ascii="Book Antiqua" w:hAnsi="Book Antiqua"/>
          <w:b/>
          <w:sz w:val="36"/>
          <w:szCs w:val="36"/>
          <w:lang w:val="es-PR"/>
        </w:rPr>
      </w:pPr>
      <w:r w:rsidRPr="008B5572">
        <w:rPr>
          <w:rFonts w:ascii="Book Antiqua" w:hAnsi="Book Antiqua"/>
          <w:b/>
          <w:sz w:val="36"/>
          <w:szCs w:val="36"/>
          <w:lang w:val="es-PR"/>
        </w:rPr>
        <w:t xml:space="preserve">SENADO DE PUERTO RICO </w:t>
      </w:r>
    </w:p>
    <w:p w14:paraId="02234002" w14:textId="77777777" w:rsidR="007F61B2" w:rsidRPr="008B5572" w:rsidRDefault="007F61B2">
      <w:pPr>
        <w:jc w:val="center"/>
        <w:rPr>
          <w:rFonts w:ascii="Book Antiqua" w:hAnsi="Book Antiqua"/>
          <w:b/>
          <w:szCs w:val="24"/>
          <w:lang w:val="es-PR"/>
        </w:rPr>
      </w:pPr>
    </w:p>
    <w:p w14:paraId="02234004" w14:textId="41DE9568" w:rsidR="007F61B2" w:rsidRPr="000A1D5C" w:rsidRDefault="0083082B" w:rsidP="000A1D5C">
      <w:pPr>
        <w:jc w:val="center"/>
        <w:rPr>
          <w:rFonts w:ascii="Book Antiqua" w:hAnsi="Book Antiqua"/>
          <w:b/>
          <w:sz w:val="52"/>
          <w:szCs w:val="52"/>
          <w:lang w:val="es-PR"/>
        </w:rPr>
      </w:pPr>
      <w:r w:rsidRPr="008B5572">
        <w:rPr>
          <w:rFonts w:ascii="Book Antiqua" w:hAnsi="Book Antiqua"/>
          <w:b/>
          <w:sz w:val="52"/>
          <w:szCs w:val="52"/>
          <w:lang w:val="es-PR"/>
        </w:rPr>
        <w:t>P. del S.</w:t>
      </w:r>
      <w:r w:rsidR="00296F04">
        <w:rPr>
          <w:rFonts w:ascii="Book Antiqua" w:hAnsi="Book Antiqua"/>
          <w:b/>
          <w:sz w:val="52"/>
          <w:szCs w:val="52"/>
          <w:lang w:val="es-PR"/>
        </w:rPr>
        <w:t xml:space="preserve"> 919</w:t>
      </w:r>
    </w:p>
    <w:p w14:paraId="59074E5F" w14:textId="6D3EE7C6" w:rsidR="00151EAB" w:rsidRPr="008B5572" w:rsidRDefault="00296F04" w:rsidP="00151EAB">
      <w:pPr>
        <w:spacing w:before="120"/>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12 </w:t>
      </w:r>
      <w:r w:rsidR="00151EAB" w:rsidRPr="008B5572">
        <w:rPr>
          <w:rFonts w:ascii="Book Antiqua" w:eastAsia="Book Antiqua" w:hAnsi="Book Antiqua" w:cs="Book Antiqua"/>
          <w:color w:val="000000" w:themeColor="text1"/>
          <w:lang w:val="es-PR"/>
        </w:rPr>
        <w:t xml:space="preserve">de </w:t>
      </w:r>
      <w:sdt>
        <w:sdtPr>
          <w:rPr>
            <w:color w:val="000000" w:themeColor="text1"/>
            <w:lang w:val="es-PR"/>
          </w:rPr>
          <w:tag w:val="goog_rdk_1"/>
          <w:id w:val="-1150512329"/>
        </w:sdtPr>
        <w:sdtEndPr/>
        <w:sdtContent>
          <w:r w:rsidR="00F752B4">
            <w:rPr>
              <w:color w:val="000000" w:themeColor="text1"/>
              <w:lang w:val="es-PR"/>
            </w:rPr>
            <w:t>enero</w:t>
          </w:r>
        </w:sdtContent>
      </w:sdt>
      <w:r w:rsidR="00151EAB" w:rsidRPr="008B5572">
        <w:rPr>
          <w:rFonts w:ascii="Book Antiqua" w:eastAsia="Book Antiqua" w:hAnsi="Book Antiqua" w:cs="Book Antiqua"/>
          <w:color w:val="000000" w:themeColor="text1"/>
          <w:lang w:val="es-PR"/>
        </w:rPr>
        <w:t xml:space="preserve"> de 202</w:t>
      </w:r>
      <w:r w:rsidR="00F752B4">
        <w:rPr>
          <w:rFonts w:ascii="Book Antiqua" w:eastAsia="Book Antiqua" w:hAnsi="Book Antiqua" w:cs="Book Antiqua"/>
          <w:color w:val="000000" w:themeColor="text1"/>
          <w:lang w:val="es-PR"/>
        </w:rPr>
        <w:t>6</w:t>
      </w:r>
    </w:p>
    <w:p w14:paraId="085666F6" w14:textId="6CE92E21" w:rsidR="00151EAB" w:rsidRPr="008B5572" w:rsidRDefault="00151EAB" w:rsidP="009C10A1">
      <w:pPr>
        <w:spacing w:before="120"/>
        <w:jc w:val="center"/>
        <w:rPr>
          <w:rFonts w:ascii="Book Antiqua" w:eastAsia="Book Antiqua" w:hAnsi="Book Antiqua" w:cs="Book Antiqua"/>
          <w:i/>
          <w:color w:val="000000" w:themeColor="text1"/>
          <w:lang w:val="es-PR"/>
        </w:rPr>
      </w:pPr>
      <w:r w:rsidRPr="008B5572">
        <w:rPr>
          <w:rFonts w:ascii="Book Antiqua" w:eastAsia="Book Antiqua" w:hAnsi="Book Antiqua" w:cs="Book Antiqua"/>
          <w:color w:val="000000" w:themeColor="text1"/>
          <w:lang w:val="es-PR"/>
        </w:rPr>
        <w:t xml:space="preserve">Presentado por los señores </w:t>
      </w:r>
      <w:r w:rsidRPr="008B5572">
        <w:rPr>
          <w:rFonts w:ascii="Book Antiqua" w:eastAsia="Book Antiqua" w:hAnsi="Book Antiqua" w:cs="Book Antiqua"/>
          <w:i/>
          <w:color w:val="000000" w:themeColor="text1"/>
          <w:lang w:val="es-PR"/>
        </w:rPr>
        <w:t>Rivera Schatz, Ríos Santiago</w:t>
      </w:r>
      <w:r w:rsidR="002C454D">
        <w:rPr>
          <w:rFonts w:ascii="Book Antiqua" w:eastAsia="Book Antiqua" w:hAnsi="Book Antiqua" w:cs="Book Antiqua"/>
          <w:i/>
          <w:color w:val="000000" w:themeColor="text1"/>
          <w:lang w:val="es-PR"/>
        </w:rPr>
        <w:t>;</w:t>
      </w:r>
      <w:r w:rsidRPr="008B5572">
        <w:rPr>
          <w:rFonts w:ascii="Book Antiqua" w:eastAsia="Book Antiqua" w:hAnsi="Book Antiqua" w:cs="Book Antiqua"/>
          <w:i/>
          <w:color w:val="000000" w:themeColor="text1"/>
          <w:lang w:val="es-PR"/>
        </w:rPr>
        <w:t xml:space="preserve"> </w:t>
      </w:r>
      <w:r w:rsidRPr="008B5572">
        <w:rPr>
          <w:rFonts w:ascii="Book Antiqua" w:eastAsia="Book Antiqua" w:hAnsi="Book Antiqua" w:cs="Book Antiqua"/>
          <w:color w:val="000000" w:themeColor="text1"/>
          <w:lang w:val="es-PR"/>
        </w:rPr>
        <w:t xml:space="preserve">la señora </w:t>
      </w:r>
      <w:r w:rsidRPr="008B5572">
        <w:rPr>
          <w:rFonts w:ascii="Book Antiqua" w:eastAsia="Book Antiqua" w:hAnsi="Book Antiqua" w:cs="Book Antiqua"/>
          <w:i/>
          <w:color w:val="000000" w:themeColor="text1"/>
          <w:lang w:val="es-PR"/>
        </w:rPr>
        <w:t>Jiménez Santoni</w:t>
      </w:r>
      <w:r w:rsidR="002C454D">
        <w:rPr>
          <w:rFonts w:ascii="Book Antiqua" w:eastAsia="Book Antiqua" w:hAnsi="Book Antiqua" w:cs="Book Antiqua"/>
          <w:i/>
          <w:color w:val="000000" w:themeColor="text1"/>
          <w:lang w:val="es-PR"/>
        </w:rPr>
        <w:t>;</w:t>
      </w:r>
      <w:r w:rsidRPr="008B5572">
        <w:rPr>
          <w:rFonts w:ascii="Book Antiqua" w:eastAsia="Book Antiqua" w:hAnsi="Book Antiqua" w:cs="Book Antiqua"/>
          <w:i/>
          <w:color w:val="000000" w:themeColor="text1"/>
          <w:lang w:val="es-PR"/>
        </w:rPr>
        <w:t xml:space="preserve"> </w:t>
      </w:r>
      <w:r w:rsidRPr="008B5572">
        <w:rPr>
          <w:rFonts w:ascii="Book Antiqua" w:eastAsia="Book Antiqua" w:hAnsi="Book Antiqua" w:cs="Book Antiqua"/>
          <w:color w:val="000000" w:themeColor="text1"/>
          <w:lang w:val="es-PR"/>
        </w:rPr>
        <w:t xml:space="preserve">los señores </w:t>
      </w:r>
      <w:r w:rsidRPr="008B5572">
        <w:rPr>
          <w:rFonts w:ascii="Book Antiqua" w:eastAsia="Book Antiqua" w:hAnsi="Book Antiqua" w:cs="Book Antiqua"/>
          <w:i/>
          <w:color w:val="000000" w:themeColor="text1"/>
          <w:lang w:val="es-PR"/>
        </w:rPr>
        <w:t>Matías Rosario, Morales Rodríguez</w:t>
      </w:r>
      <w:r w:rsidR="002C454D">
        <w:rPr>
          <w:rFonts w:ascii="Book Antiqua" w:eastAsia="Book Antiqua" w:hAnsi="Book Antiqua" w:cs="Book Antiqua"/>
          <w:i/>
          <w:color w:val="000000" w:themeColor="text1"/>
          <w:lang w:val="es-PR"/>
        </w:rPr>
        <w:t>;</w:t>
      </w:r>
      <w:r w:rsidRPr="008B5572">
        <w:rPr>
          <w:rFonts w:ascii="Book Antiqua" w:eastAsia="Book Antiqua" w:hAnsi="Book Antiqua" w:cs="Book Antiqua"/>
          <w:i/>
          <w:color w:val="000000" w:themeColor="text1"/>
          <w:lang w:val="es-PR"/>
        </w:rPr>
        <w:t xml:space="preserve"> </w:t>
      </w:r>
      <w:r w:rsidRPr="008B5572">
        <w:rPr>
          <w:rFonts w:ascii="Book Antiqua" w:eastAsia="Book Antiqua" w:hAnsi="Book Antiqua" w:cs="Book Antiqua"/>
          <w:color w:val="000000" w:themeColor="text1"/>
          <w:lang w:val="es-PR"/>
        </w:rPr>
        <w:t>la señora</w:t>
      </w:r>
      <w:r w:rsidRPr="008B5572">
        <w:rPr>
          <w:rFonts w:ascii="Book Antiqua" w:eastAsia="Book Antiqua" w:hAnsi="Book Antiqua" w:cs="Book Antiqua"/>
          <w:i/>
          <w:color w:val="000000" w:themeColor="text1"/>
          <w:lang w:val="es-PR"/>
        </w:rPr>
        <w:t xml:space="preserve"> Barlucea Rodríguez</w:t>
      </w:r>
      <w:r w:rsidR="002C454D">
        <w:rPr>
          <w:rFonts w:ascii="Book Antiqua" w:eastAsia="Book Antiqua" w:hAnsi="Book Antiqua" w:cs="Book Antiqua"/>
          <w:color w:val="000000" w:themeColor="text1"/>
          <w:lang w:val="es-PR"/>
        </w:rPr>
        <w:t>;</w:t>
      </w:r>
      <w:r w:rsidRPr="008B5572">
        <w:rPr>
          <w:rFonts w:ascii="Book Antiqua" w:eastAsia="Book Antiqua" w:hAnsi="Book Antiqua" w:cs="Book Antiqua"/>
          <w:color w:val="000000" w:themeColor="text1"/>
          <w:lang w:val="es-PR"/>
        </w:rPr>
        <w:t xml:space="preserve"> los señores </w:t>
      </w:r>
      <w:r w:rsidRPr="008B5572">
        <w:rPr>
          <w:rFonts w:ascii="Book Antiqua" w:eastAsia="Book Antiqua" w:hAnsi="Book Antiqua" w:cs="Book Antiqua"/>
          <w:i/>
          <w:color w:val="000000" w:themeColor="text1"/>
          <w:lang w:val="es-PR"/>
        </w:rPr>
        <w:t>Colón La Santa</w:t>
      </w:r>
      <w:r w:rsidRPr="008B5572">
        <w:rPr>
          <w:rFonts w:ascii="Book Antiqua" w:eastAsia="Book Antiqua" w:hAnsi="Book Antiqua" w:cs="Book Antiqua"/>
          <w:color w:val="000000" w:themeColor="text1"/>
          <w:lang w:val="es-PR"/>
        </w:rPr>
        <w:t xml:space="preserve">, </w:t>
      </w:r>
      <w:r w:rsidRPr="008B5572">
        <w:rPr>
          <w:rFonts w:ascii="Book Antiqua" w:eastAsia="Book Antiqua" w:hAnsi="Book Antiqua" w:cs="Book Antiqua"/>
          <w:i/>
          <w:color w:val="000000" w:themeColor="text1"/>
          <w:lang w:val="es-PR"/>
        </w:rPr>
        <w:t>González López</w:t>
      </w:r>
      <w:r w:rsidR="002C454D">
        <w:rPr>
          <w:rFonts w:ascii="Book Antiqua" w:eastAsia="Book Antiqua" w:hAnsi="Book Antiqua" w:cs="Book Antiqua"/>
          <w:color w:val="000000" w:themeColor="text1"/>
          <w:lang w:val="es-PR"/>
        </w:rPr>
        <w:t>;</w:t>
      </w:r>
      <w:r w:rsidRPr="008B5572">
        <w:rPr>
          <w:rFonts w:ascii="Book Antiqua" w:eastAsia="Book Antiqua" w:hAnsi="Book Antiqua" w:cs="Book Antiqua"/>
          <w:color w:val="000000" w:themeColor="text1"/>
          <w:lang w:val="es-PR"/>
        </w:rPr>
        <w:t xml:space="preserve"> las señoras </w:t>
      </w:r>
      <w:r w:rsidRPr="008B5572">
        <w:rPr>
          <w:rFonts w:ascii="Book Antiqua" w:eastAsia="Book Antiqua" w:hAnsi="Book Antiqua" w:cs="Book Antiqua"/>
          <w:i/>
          <w:color w:val="000000" w:themeColor="text1"/>
          <w:lang w:val="es-PR"/>
        </w:rPr>
        <w:t>Padilla Alvelo, Moran Trinidad, Pérez Soto</w:t>
      </w:r>
      <w:r w:rsidR="002C454D">
        <w:rPr>
          <w:rFonts w:ascii="Book Antiqua" w:eastAsia="Book Antiqua" w:hAnsi="Book Antiqua" w:cs="Book Antiqua"/>
          <w:color w:val="000000" w:themeColor="text1"/>
          <w:lang w:val="es-PR"/>
        </w:rPr>
        <w:t>;</w:t>
      </w:r>
      <w:r w:rsidRPr="008B5572">
        <w:rPr>
          <w:rFonts w:ascii="Book Antiqua" w:eastAsia="Book Antiqua" w:hAnsi="Book Antiqua" w:cs="Book Antiqua"/>
          <w:color w:val="000000" w:themeColor="text1"/>
          <w:lang w:val="es-PR"/>
        </w:rPr>
        <w:t xml:space="preserve"> el señor </w:t>
      </w:r>
      <w:r w:rsidRPr="008B5572">
        <w:rPr>
          <w:rFonts w:ascii="Book Antiqua" w:eastAsia="Book Antiqua" w:hAnsi="Book Antiqua" w:cs="Book Antiqua"/>
          <w:i/>
          <w:color w:val="000000" w:themeColor="text1"/>
          <w:lang w:val="es-PR"/>
        </w:rPr>
        <w:t>Reyes Berríos</w:t>
      </w:r>
      <w:r w:rsidR="002C454D">
        <w:rPr>
          <w:rFonts w:ascii="Book Antiqua" w:eastAsia="Book Antiqua" w:hAnsi="Book Antiqua" w:cs="Book Antiqua"/>
          <w:color w:val="000000" w:themeColor="text1"/>
          <w:lang w:val="es-PR"/>
        </w:rPr>
        <w:t>;</w:t>
      </w:r>
      <w:r w:rsidRPr="008B5572">
        <w:rPr>
          <w:rFonts w:ascii="Book Antiqua" w:eastAsia="Book Antiqua" w:hAnsi="Book Antiqua" w:cs="Book Antiqua"/>
          <w:color w:val="000000" w:themeColor="text1"/>
          <w:lang w:val="es-PR"/>
        </w:rPr>
        <w:t xml:space="preserve"> la señora </w:t>
      </w:r>
      <w:r w:rsidRPr="008B5572">
        <w:rPr>
          <w:rFonts w:ascii="Book Antiqua" w:eastAsia="Book Antiqua" w:hAnsi="Book Antiqua" w:cs="Book Antiqua"/>
          <w:i/>
          <w:color w:val="000000" w:themeColor="text1"/>
          <w:lang w:val="es-PR"/>
        </w:rPr>
        <w:t>Román Rodríguez</w:t>
      </w:r>
      <w:r w:rsidR="002C454D">
        <w:rPr>
          <w:rFonts w:ascii="Book Antiqua" w:eastAsia="Book Antiqua" w:hAnsi="Book Antiqua" w:cs="Book Antiqua"/>
          <w:color w:val="000000" w:themeColor="text1"/>
          <w:lang w:val="es-PR"/>
        </w:rPr>
        <w:t>;</w:t>
      </w:r>
      <w:r w:rsidRPr="008B5572">
        <w:rPr>
          <w:rFonts w:ascii="Book Antiqua" w:eastAsia="Book Antiqua" w:hAnsi="Book Antiqua" w:cs="Book Antiqua"/>
          <w:color w:val="000000" w:themeColor="text1"/>
          <w:lang w:val="es-PR"/>
        </w:rPr>
        <w:t xml:space="preserve"> los señores </w:t>
      </w:r>
      <w:r w:rsidRPr="008B5572">
        <w:rPr>
          <w:rFonts w:ascii="Book Antiqua" w:eastAsia="Book Antiqua" w:hAnsi="Book Antiqua" w:cs="Book Antiqua"/>
          <w:i/>
          <w:color w:val="000000" w:themeColor="text1"/>
          <w:lang w:val="es-PR"/>
        </w:rPr>
        <w:t>Rosa Ramos, Sánchez Álvarez, Santos Ortiz</w:t>
      </w:r>
      <w:r w:rsidR="002C454D">
        <w:rPr>
          <w:rFonts w:ascii="Book Antiqua" w:eastAsia="Book Antiqua" w:hAnsi="Book Antiqua" w:cs="Book Antiqua"/>
          <w:i/>
          <w:color w:val="000000" w:themeColor="text1"/>
          <w:lang w:val="es-PR"/>
        </w:rPr>
        <w:t>;</w:t>
      </w:r>
      <w:r w:rsidRPr="008B5572">
        <w:rPr>
          <w:rFonts w:ascii="Book Antiqua" w:eastAsia="Book Antiqua" w:hAnsi="Book Antiqua" w:cs="Book Antiqua"/>
          <w:color w:val="000000" w:themeColor="text1"/>
          <w:lang w:val="es-PR"/>
        </w:rPr>
        <w:t xml:space="preserve"> las señoras </w:t>
      </w:r>
      <w:r w:rsidRPr="008B5572">
        <w:rPr>
          <w:rFonts w:ascii="Book Antiqua" w:eastAsia="Book Antiqua" w:hAnsi="Book Antiqua" w:cs="Book Antiqua"/>
          <w:i/>
          <w:color w:val="000000" w:themeColor="text1"/>
          <w:lang w:val="es-PR"/>
        </w:rPr>
        <w:t>Soto Aguilú, Soto Tolentino</w:t>
      </w:r>
      <w:r w:rsidR="002C454D">
        <w:rPr>
          <w:rFonts w:ascii="Book Antiqua" w:eastAsia="Book Antiqua" w:hAnsi="Book Antiqua" w:cs="Book Antiqua"/>
          <w:color w:val="000000" w:themeColor="text1"/>
          <w:lang w:val="es-PR"/>
        </w:rPr>
        <w:t>;</w:t>
      </w:r>
      <w:r w:rsidRPr="008B5572">
        <w:rPr>
          <w:rFonts w:ascii="Book Antiqua" w:eastAsia="Book Antiqua" w:hAnsi="Book Antiqua" w:cs="Book Antiqua"/>
          <w:color w:val="000000" w:themeColor="text1"/>
          <w:lang w:val="es-PR"/>
        </w:rPr>
        <w:t xml:space="preserve"> y el señor </w:t>
      </w:r>
      <w:r w:rsidRPr="008B5572">
        <w:rPr>
          <w:rFonts w:ascii="Book Antiqua" w:eastAsia="Book Antiqua" w:hAnsi="Book Antiqua" w:cs="Book Antiqua"/>
          <w:i/>
          <w:color w:val="000000" w:themeColor="text1"/>
          <w:lang w:val="es-PR"/>
        </w:rPr>
        <w:t>Toledo López</w:t>
      </w:r>
    </w:p>
    <w:p w14:paraId="02234008" w14:textId="75B893AD" w:rsidR="007F61B2" w:rsidRPr="009C10A1" w:rsidRDefault="007F61B2" w:rsidP="00151EAB">
      <w:pPr>
        <w:pStyle w:val="NoSpacing"/>
        <w:rPr>
          <w:rFonts w:ascii="Book Antiqua" w:hAnsi="Book Antiqua"/>
          <w:sz w:val="12"/>
          <w:szCs w:val="12"/>
          <w:lang w:val="es-PR"/>
        </w:rPr>
      </w:pPr>
    </w:p>
    <w:p w14:paraId="3D30E8BA" w14:textId="4342885C" w:rsidR="009E1FC8" w:rsidRPr="007A4177" w:rsidRDefault="0083082B" w:rsidP="009E1FC8">
      <w:pPr>
        <w:spacing w:line="360" w:lineRule="auto"/>
        <w:jc w:val="center"/>
        <w:rPr>
          <w:rFonts w:ascii="Book Antiqua" w:hAnsi="Book Antiqua"/>
          <w:i/>
          <w:iCs/>
          <w:szCs w:val="24"/>
          <w:lang w:val="es-419"/>
        </w:rPr>
      </w:pPr>
      <w:r w:rsidRPr="009E1FC8">
        <w:rPr>
          <w:rFonts w:ascii="Book Antiqua" w:hAnsi="Book Antiqua"/>
          <w:i/>
          <w:iCs/>
          <w:lang w:val="es-PR"/>
        </w:rPr>
        <w:t>Referido a</w:t>
      </w:r>
      <w:r w:rsidR="009E1FC8">
        <w:rPr>
          <w:rFonts w:ascii="Book Antiqua" w:hAnsi="Book Antiqua"/>
          <w:i/>
          <w:iCs/>
          <w:lang w:val="es-PR"/>
        </w:rPr>
        <w:t xml:space="preserve"> la Comisión de</w:t>
      </w:r>
      <w:r w:rsidR="009E1FC8" w:rsidRPr="009E1FC8">
        <w:rPr>
          <w:rFonts w:ascii="Book Antiqua" w:hAnsi="Book Antiqua"/>
          <w:i/>
          <w:iCs/>
          <w:szCs w:val="24"/>
          <w:lang w:val="es-419"/>
        </w:rPr>
        <w:t xml:space="preserve"> </w:t>
      </w:r>
      <w:r w:rsidR="009E1FC8" w:rsidRPr="007A4177">
        <w:rPr>
          <w:rFonts w:ascii="Book Antiqua" w:hAnsi="Book Antiqua"/>
          <w:i/>
          <w:iCs/>
          <w:szCs w:val="24"/>
          <w:lang w:val="es-419"/>
        </w:rPr>
        <w:t>Innovación, Reforma y Nombramientos</w:t>
      </w:r>
    </w:p>
    <w:p w14:paraId="0223400A" w14:textId="77777777" w:rsidR="007F61B2" w:rsidRPr="009E1FC8" w:rsidRDefault="007F61B2">
      <w:pPr>
        <w:jc w:val="both"/>
        <w:rPr>
          <w:rFonts w:ascii="Book Antiqua" w:hAnsi="Book Antiqua"/>
          <w:sz w:val="12"/>
          <w:szCs w:val="12"/>
          <w:lang w:val="es-PR"/>
        </w:rPr>
      </w:pPr>
    </w:p>
    <w:p w14:paraId="0223400B" w14:textId="77777777" w:rsidR="007F61B2" w:rsidRPr="008B5572" w:rsidRDefault="0083082B">
      <w:pPr>
        <w:jc w:val="center"/>
        <w:rPr>
          <w:rFonts w:ascii="Book Antiqua" w:hAnsi="Book Antiqua"/>
          <w:b/>
          <w:szCs w:val="24"/>
          <w:lang w:val="es-PR"/>
        </w:rPr>
      </w:pPr>
      <w:r w:rsidRPr="008B5572">
        <w:rPr>
          <w:rFonts w:ascii="Book Antiqua" w:hAnsi="Book Antiqua"/>
          <w:b/>
          <w:szCs w:val="24"/>
          <w:lang w:val="es-PR"/>
        </w:rPr>
        <w:t>LEY</w:t>
      </w:r>
    </w:p>
    <w:p w14:paraId="0223400C" w14:textId="77777777" w:rsidR="007F61B2" w:rsidRPr="009C10A1" w:rsidRDefault="007F61B2">
      <w:pPr>
        <w:jc w:val="center"/>
        <w:rPr>
          <w:rFonts w:ascii="Book Antiqua" w:hAnsi="Book Antiqua"/>
          <w:b/>
          <w:sz w:val="12"/>
          <w:szCs w:val="12"/>
          <w:lang w:val="es-PR"/>
        </w:rPr>
      </w:pPr>
    </w:p>
    <w:p w14:paraId="745087CD" w14:textId="49A7F423" w:rsidR="003B44CF" w:rsidRPr="001F7A9F" w:rsidRDefault="0083082B" w:rsidP="003B44CF">
      <w:pPr>
        <w:ind w:left="540" w:hanging="540"/>
        <w:jc w:val="both"/>
        <w:rPr>
          <w:rFonts w:ascii="Book Antiqua" w:eastAsia="Book Antiqua" w:hAnsi="Book Antiqua" w:cs="Book Antiqua"/>
          <w:color w:val="000000"/>
          <w:lang w:val="es-PR"/>
        </w:rPr>
      </w:pPr>
      <w:r w:rsidRPr="001F7A9F">
        <w:rPr>
          <w:rFonts w:ascii="Book Antiqua" w:hAnsi="Book Antiqua"/>
          <w:snapToGrid w:val="0"/>
          <w:szCs w:val="24"/>
          <w:lang w:val="es-PR"/>
        </w:rPr>
        <w:t xml:space="preserve">Para </w:t>
      </w:r>
      <w:r w:rsidR="003B44CF" w:rsidRPr="001F7A9F">
        <w:rPr>
          <w:rFonts w:ascii="Book Antiqua" w:eastAsia="Book Antiqua" w:hAnsi="Book Antiqua" w:cs="Book Antiqua"/>
          <w:color w:val="000000"/>
          <w:lang w:val="es-PR"/>
        </w:rPr>
        <w:t xml:space="preserve">enmendar el Artículo 6 de la Ley Núm. 45  de 18 de abril de 1935, según enmendada, conocida como “Ley </w:t>
      </w:r>
      <w:r w:rsidR="00B74C74" w:rsidRPr="001F7A9F">
        <w:rPr>
          <w:rFonts w:ascii="Book Antiqua" w:eastAsia="Book Antiqua" w:hAnsi="Book Antiqua" w:cs="Book Antiqua"/>
          <w:color w:val="000000"/>
          <w:lang w:val="es-PR"/>
        </w:rPr>
        <w:t xml:space="preserve">del Sistema </w:t>
      </w:r>
      <w:r w:rsidR="003B44CF" w:rsidRPr="001F7A9F">
        <w:rPr>
          <w:rFonts w:ascii="Book Antiqua" w:eastAsia="Book Antiqua" w:hAnsi="Book Antiqua" w:cs="Book Antiqua"/>
          <w:color w:val="000000"/>
          <w:lang w:val="es-PR"/>
        </w:rPr>
        <w:t xml:space="preserve">de Compensaciones por Accidentes del Trabajo”, a los fines </w:t>
      </w:r>
      <w:r w:rsidR="00A30698" w:rsidRPr="001F7A9F">
        <w:rPr>
          <w:rFonts w:ascii="Book Antiqua" w:eastAsia="Book Antiqua" w:hAnsi="Book Antiqua" w:cs="Book Antiqua"/>
          <w:color w:val="000000"/>
          <w:lang w:val="es-PR"/>
        </w:rPr>
        <w:t xml:space="preserve">de proveer a la Comisión Industrial de Puerto Rico un mecanismo de financiamiento estable y predecible mediante la asignación automática de un cuatro por ciento </w:t>
      </w:r>
      <w:r w:rsidR="00C02274" w:rsidRPr="001F7A9F">
        <w:rPr>
          <w:rFonts w:ascii="Book Antiqua" w:eastAsia="Book Antiqua" w:hAnsi="Book Antiqua" w:cs="Book Antiqua"/>
          <w:color w:val="000000"/>
          <w:lang w:val="es-PR"/>
        </w:rPr>
        <w:t xml:space="preserve">(4%) </w:t>
      </w:r>
      <w:r w:rsidR="00A30698" w:rsidRPr="001F7A9F">
        <w:rPr>
          <w:rFonts w:ascii="Book Antiqua" w:eastAsia="Book Antiqua" w:hAnsi="Book Antiqua" w:cs="Book Antiqua"/>
          <w:color w:val="000000"/>
          <w:lang w:val="es-PR"/>
        </w:rPr>
        <w:t xml:space="preserve">de los ingresos por primas de la Corporación del Fondo del Seguro del Estado; establecer disposiciones sobre la certificación y transferencia de dichos fondos; </w:t>
      </w:r>
      <w:r w:rsidR="003B44CF" w:rsidRPr="001F7A9F">
        <w:rPr>
          <w:rFonts w:ascii="Book Antiqua" w:eastAsia="Book Antiqua" w:hAnsi="Book Antiqua" w:cs="Book Antiqua"/>
          <w:color w:val="000000"/>
          <w:lang w:val="es-PR"/>
        </w:rPr>
        <w:t>y para otros fines relacionados.</w:t>
      </w:r>
    </w:p>
    <w:p w14:paraId="5C7B7FAA" w14:textId="77777777" w:rsidR="008E045D" w:rsidRPr="00C91865" w:rsidRDefault="008E045D" w:rsidP="00793FB1">
      <w:pPr>
        <w:ind w:left="360" w:hanging="360"/>
        <w:jc w:val="both"/>
        <w:rPr>
          <w:rFonts w:ascii="Book Antiqua" w:hAnsi="Book Antiqua"/>
          <w:snapToGrid w:val="0"/>
          <w:szCs w:val="24"/>
          <w:highlight w:val="yellow"/>
          <w:lang w:val="es-PR"/>
        </w:rPr>
      </w:pPr>
    </w:p>
    <w:p w14:paraId="0223400F" w14:textId="181076F9" w:rsidR="007F61B2" w:rsidRPr="008B5572" w:rsidRDefault="0083082B">
      <w:pPr>
        <w:ind w:left="720" w:hanging="720"/>
        <w:jc w:val="center"/>
        <w:rPr>
          <w:rFonts w:ascii="Book Antiqua" w:hAnsi="Book Antiqua"/>
          <w:b/>
          <w:bCs/>
          <w:snapToGrid w:val="0"/>
          <w:szCs w:val="24"/>
          <w:lang w:val="es-PR"/>
        </w:rPr>
      </w:pPr>
      <w:r w:rsidRPr="008B5572">
        <w:rPr>
          <w:rFonts w:ascii="Book Antiqua" w:hAnsi="Book Antiqua"/>
          <w:b/>
          <w:bCs/>
          <w:snapToGrid w:val="0"/>
          <w:szCs w:val="24"/>
          <w:lang w:val="es-PR"/>
        </w:rPr>
        <w:t>EXPOSICI</w:t>
      </w:r>
      <w:r w:rsidR="009C10A1">
        <w:rPr>
          <w:rFonts w:ascii="Book Antiqua" w:hAnsi="Book Antiqua"/>
          <w:b/>
          <w:bCs/>
          <w:snapToGrid w:val="0"/>
          <w:szCs w:val="24"/>
          <w:lang w:val="es-PR"/>
        </w:rPr>
        <w:t>Ó</w:t>
      </w:r>
      <w:r w:rsidRPr="008B5572">
        <w:rPr>
          <w:rFonts w:ascii="Book Antiqua" w:hAnsi="Book Antiqua"/>
          <w:b/>
          <w:bCs/>
          <w:snapToGrid w:val="0"/>
          <w:szCs w:val="24"/>
          <w:lang w:val="es-PR"/>
        </w:rPr>
        <w:t>N DE MOTIVOS</w:t>
      </w:r>
    </w:p>
    <w:p w14:paraId="02234010" w14:textId="77777777" w:rsidR="007F61B2" w:rsidRPr="009C10A1" w:rsidRDefault="007F61B2">
      <w:pPr>
        <w:ind w:left="720" w:hanging="720"/>
        <w:jc w:val="center"/>
        <w:rPr>
          <w:rFonts w:ascii="Book Antiqua" w:hAnsi="Book Antiqua"/>
          <w:snapToGrid w:val="0"/>
          <w:sz w:val="12"/>
          <w:szCs w:val="12"/>
          <w:lang w:val="es-PR"/>
        </w:rPr>
      </w:pPr>
    </w:p>
    <w:p w14:paraId="77B13397" w14:textId="28B78A0A" w:rsidR="00883F2D" w:rsidRPr="001F7A9F" w:rsidRDefault="003B44CF" w:rsidP="00883F2D">
      <w:pPr>
        <w:spacing w:before="120" w:after="120" w:line="360" w:lineRule="auto"/>
        <w:ind w:firstLine="540"/>
        <w:jc w:val="both"/>
        <w:rPr>
          <w:rFonts w:ascii="Book Antiqua" w:hAnsi="Book Antiqua"/>
          <w:lang w:val="es-PR"/>
        </w:rPr>
      </w:pPr>
      <w:r w:rsidRPr="001F7A9F">
        <w:rPr>
          <w:rFonts w:ascii="Book Antiqua" w:eastAsiaTheme="minorHAnsi" w:hAnsi="Book Antiqua" w:cs="Arial"/>
          <w:kern w:val="2"/>
          <w:szCs w:val="24"/>
          <w:lang w:val="es-PR"/>
          <w14:ligatures w14:val="standardContextual"/>
        </w:rPr>
        <w:t>El Gobierno de Puerto Rico</w:t>
      </w:r>
      <w:r w:rsidR="00883F2D" w:rsidRPr="001F7A9F">
        <w:rPr>
          <w:rFonts w:ascii="Book Antiqua" w:eastAsiaTheme="minorHAnsi" w:hAnsi="Book Antiqua" w:cs="Arial"/>
          <w:kern w:val="2"/>
          <w:szCs w:val="24"/>
          <w:lang w:val="es-PR"/>
          <w14:ligatures w14:val="standardContextual"/>
        </w:rPr>
        <w:t>,</w:t>
      </w:r>
      <w:r w:rsidRPr="001F7A9F">
        <w:rPr>
          <w:rFonts w:ascii="Book Antiqua" w:eastAsiaTheme="minorHAnsi" w:hAnsi="Book Antiqua" w:cs="Arial"/>
          <w:kern w:val="2"/>
          <w:szCs w:val="24"/>
          <w:lang w:val="es-PR"/>
          <w14:ligatures w14:val="standardContextual"/>
        </w:rPr>
        <w:t xml:space="preserve"> </w:t>
      </w:r>
      <w:r w:rsidR="00883F2D" w:rsidRPr="001F7A9F">
        <w:rPr>
          <w:rFonts w:ascii="Book Antiqua" w:eastAsiaTheme="minorHAnsi" w:hAnsi="Book Antiqua" w:cs="Arial"/>
          <w:kern w:val="2"/>
          <w:szCs w:val="24"/>
          <w:lang w:val="es-PR"/>
          <w14:ligatures w14:val="standardContextual"/>
        </w:rPr>
        <w:t xml:space="preserve">tras la crisis económica y fiscal que ha enfrentado durante las últimas décadas, </w:t>
      </w:r>
      <w:r w:rsidRPr="001F7A9F">
        <w:rPr>
          <w:rFonts w:ascii="Book Antiqua" w:hAnsi="Book Antiqua"/>
          <w:lang w:val="es-PR"/>
        </w:rPr>
        <w:t xml:space="preserve">ha fortalecido sus procesos presupuestarios, financieros y de reestructuración del aparato gubernamental.  </w:t>
      </w:r>
      <w:r w:rsidR="00883F2D" w:rsidRPr="001F7A9F">
        <w:rPr>
          <w:rFonts w:ascii="Book Antiqua" w:hAnsi="Book Antiqua"/>
          <w:lang w:val="es-PR"/>
        </w:rPr>
        <w:t xml:space="preserve">Como parte de este proceso, se ha reconocido la importancia de dotar a las entidades gubernamentales de mecanismos que provean certeza, estabilidad y eficiencia en la gestión de sus recursos fiscales. </w:t>
      </w:r>
    </w:p>
    <w:p w14:paraId="5EB93419" w14:textId="64150D02" w:rsidR="003B44CF" w:rsidRDefault="003B44CF" w:rsidP="009C10A1">
      <w:pPr>
        <w:spacing w:before="120" w:after="120" w:line="360" w:lineRule="auto"/>
        <w:ind w:firstLine="540"/>
        <w:jc w:val="both"/>
        <w:rPr>
          <w:rFonts w:ascii="Book Antiqua" w:hAnsi="Book Antiqua"/>
          <w:lang w:val="es-PR"/>
        </w:rPr>
      </w:pPr>
    </w:p>
    <w:p w14:paraId="021097E6" w14:textId="497A0618" w:rsidR="003B44CF" w:rsidRPr="001F7A9F" w:rsidRDefault="003B44CF" w:rsidP="00883F2D">
      <w:pPr>
        <w:spacing w:before="120" w:after="120" w:line="360" w:lineRule="auto"/>
        <w:ind w:firstLine="540"/>
        <w:jc w:val="both"/>
        <w:rPr>
          <w:rFonts w:ascii="Book Antiqua" w:hAnsi="Book Antiqua"/>
          <w:lang w:val="es-PR"/>
        </w:rPr>
      </w:pPr>
      <w:r w:rsidRPr="001F7A9F">
        <w:rPr>
          <w:rFonts w:ascii="Book Antiqua" w:hAnsi="Book Antiqua"/>
          <w:lang w:val="es-PR"/>
        </w:rPr>
        <w:lastRenderedPageBreak/>
        <w:t xml:space="preserve"> </w:t>
      </w:r>
      <w:r w:rsidR="00883F2D" w:rsidRPr="001F7A9F">
        <w:rPr>
          <w:rFonts w:ascii="Book Antiqua" w:hAnsi="Book Antiqua"/>
          <w:lang w:val="es-PR"/>
        </w:rPr>
        <w:t xml:space="preserve">Dentro de este marco, corresponde al Estado evaluar y, de ser necesario, atemperar aquellos procesos administrativos y presupuestarios que limiten el cumplimiento efectivo de la misión de sus dependencias. </w:t>
      </w:r>
      <w:r w:rsidRPr="001F7A9F">
        <w:rPr>
          <w:rFonts w:ascii="Book Antiqua" w:hAnsi="Book Antiqua"/>
          <w:lang w:val="es-PR"/>
        </w:rPr>
        <w:t>La Comisión Industrial de Puerto Rico fue creada mediante la Ley Núm. 45 de 18 de abril de 1935, según enmendada,</w:t>
      </w:r>
      <w:r w:rsidR="00361B2B" w:rsidRPr="001F7A9F">
        <w:rPr>
          <w:rFonts w:ascii="Book Antiqua" w:hAnsi="Book Antiqua"/>
          <w:lang w:val="es-PR"/>
        </w:rPr>
        <w:t xml:space="preserve"> conocida como </w:t>
      </w:r>
      <w:r w:rsidR="00361B2B" w:rsidRPr="001F7A9F">
        <w:rPr>
          <w:rFonts w:ascii="Book Antiqua" w:hAnsi="Book Antiqua"/>
          <w:lang w:val="es-ES"/>
        </w:rPr>
        <w:t>“Ley del Sistema de Compensaciones por Accidentes del Trabajo”,</w:t>
      </w:r>
      <w:r w:rsidRPr="001F7A9F">
        <w:rPr>
          <w:rFonts w:ascii="Book Antiqua" w:hAnsi="Book Antiqua"/>
          <w:lang w:val="es-PR"/>
        </w:rPr>
        <w:t xml:space="preserve"> con el propósito de </w:t>
      </w:r>
      <w:r w:rsidR="00883F2D" w:rsidRPr="001F7A9F">
        <w:rPr>
          <w:rFonts w:ascii="Book Antiqua" w:hAnsi="Book Antiqua"/>
          <w:lang w:val="es-PR"/>
        </w:rPr>
        <w:t xml:space="preserve">fungir </w:t>
      </w:r>
      <w:r w:rsidRPr="001F7A9F">
        <w:rPr>
          <w:rFonts w:ascii="Book Antiqua" w:hAnsi="Book Antiqua"/>
          <w:lang w:val="es-PR"/>
        </w:rPr>
        <w:t>como un organismo apelativo con facultad en ley para revisar las decisiones de la Corporación del Fondo del Seguro del Estado, las cuales podrá revocar, modificar o confirmar. Además, la Comisión revisa las decisiones de la Corporación del Fondo del Seguro del Estado cuando son apeladas, para determinar si las mismas están conforme a la Ley. Son agencias distintas, con funciones diferentes.</w:t>
      </w:r>
    </w:p>
    <w:p w14:paraId="51A00CD9" w14:textId="4DBB6BBE" w:rsidR="003B44CF" w:rsidRPr="001F7A9F" w:rsidRDefault="003B44CF" w:rsidP="009C10A1">
      <w:pPr>
        <w:spacing w:before="120" w:after="120" w:line="360" w:lineRule="auto"/>
        <w:ind w:firstLine="540"/>
        <w:jc w:val="both"/>
        <w:rPr>
          <w:rFonts w:ascii="Book Antiqua" w:hAnsi="Book Antiqua"/>
          <w:lang w:val="es-PR"/>
        </w:rPr>
      </w:pPr>
      <w:r w:rsidRPr="001F7A9F">
        <w:rPr>
          <w:rFonts w:ascii="Book Antiqua" w:hAnsi="Book Antiqua"/>
          <w:lang w:val="es-PR"/>
        </w:rPr>
        <w:t xml:space="preserve"> </w:t>
      </w:r>
      <w:r w:rsidR="00883F2D" w:rsidRPr="001F7A9F">
        <w:rPr>
          <w:rFonts w:ascii="Book Antiqua" w:hAnsi="Book Antiqua"/>
          <w:lang w:val="es-PR"/>
        </w:rPr>
        <w:t xml:space="preserve">En el ejercicio de esta función, la Comisión desempeña un rol esencial como foro cuasi-judicial, garantizando que los trabajadores lesionados reciban el tratamiento y la compensación que en derecho les corresponde, y que los patronos cuenten con un mecanismo imparcial para dirimir controversias. </w:t>
      </w:r>
      <w:r w:rsidRPr="001F7A9F">
        <w:rPr>
          <w:rFonts w:ascii="Book Antiqua" w:hAnsi="Book Antiqua"/>
          <w:lang w:val="es-PR"/>
        </w:rPr>
        <w:t xml:space="preserve"> Ahora bien, según se desprende del Informe Final del Proceso de Transición del Gobierno de Puerto Rico, sometido el 27 de enero de 2025, en su página 287, actualmente la Comisión Industrial de Puerto Rico enfrenta limitaciones en la asignación y gestión presupuestaria, que han provocado:</w:t>
      </w:r>
    </w:p>
    <w:p w14:paraId="0419C6D1" w14:textId="245547D4" w:rsidR="003B44CF" w:rsidRPr="001F7A9F" w:rsidRDefault="003B44CF" w:rsidP="00CE133F">
      <w:pPr>
        <w:spacing w:line="360" w:lineRule="auto"/>
        <w:ind w:left="720" w:right="720"/>
        <w:contextualSpacing/>
        <w:jc w:val="both"/>
        <w:rPr>
          <w:rFonts w:ascii="Book Antiqua" w:hAnsi="Book Antiqua"/>
          <w:lang w:val="es-PR"/>
        </w:rPr>
      </w:pPr>
      <w:r>
        <w:rPr>
          <w:rFonts w:ascii="Book Antiqua" w:hAnsi="Book Antiqua"/>
          <w:lang w:val="es-PR"/>
        </w:rPr>
        <w:t>“…[</w:t>
      </w:r>
      <w:r w:rsidRPr="00E80D45">
        <w:rPr>
          <w:rFonts w:ascii="Book Antiqua" w:hAnsi="Book Antiqua"/>
          <w:lang w:val="es-PR"/>
        </w:rPr>
        <w:t>p</w:t>
      </w:r>
      <w:r>
        <w:rPr>
          <w:rFonts w:ascii="Book Antiqua" w:hAnsi="Book Antiqua"/>
          <w:lang w:val="es-PR"/>
        </w:rPr>
        <w:t>]</w:t>
      </w:r>
      <w:r w:rsidRPr="00E80D45">
        <w:rPr>
          <w:rFonts w:ascii="Book Antiqua" w:hAnsi="Book Antiqua"/>
          <w:lang w:val="es-PR"/>
        </w:rPr>
        <w:t xml:space="preserve">roblemas recurrentes relacionados con la dependencia en la remesa presupuestaria de la Corporación del Fondo del Seguro del Estado (CFSE), </w:t>
      </w:r>
      <w:r w:rsidRPr="001F7A9F">
        <w:rPr>
          <w:rFonts w:ascii="Book Antiqua" w:hAnsi="Book Antiqua"/>
          <w:lang w:val="es-PR"/>
        </w:rPr>
        <w:t xml:space="preserve">la cual </w:t>
      </w:r>
      <w:r w:rsidRPr="00154FD3">
        <w:rPr>
          <w:rFonts w:ascii="Book Antiqua" w:hAnsi="Book Antiqua"/>
          <w:b/>
          <w:bCs/>
          <w:lang w:val="es-PR"/>
        </w:rPr>
        <w:t>es transferida de manera fragmentada y sujeta a aprobaciones externas</w:t>
      </w:r>
      <w:r w:rsidRPr="001F7A9F">
        <w:rPr>
          <w:rFonts w:ascii="Book Antiqua" w:hAnsi="Book Antiqua"/>
          <w:lang w:val="es-PR"/>
        </w:rPr>
        <w:t xml:space="preserve">. Esto ha causado, en ocasiones, retrasos en el pago a suplidores y dificultades para cumplir con la nómina, especialmente en periodos críticos del año fiscal. Adicionalmente, la gestión del presupuesto a través del </w:t>
      </w:r>
      <w:r w:rsidRPr="00154FD3">
        <w:rPr>
          <w:rFonts w:ascii="Book Antiqua" w:hAnsi="Book Antiqua"/>
          <w:b/>
          <w:bCs/>
          <w:lang w:val="es-PR"/>
        </w:rPr>
        <w:t>Departamento de Hacienda introduce restricciones burocráticas que limitan la capacidad de la Comisión para manejar sus recursos con autonomía y agilidad”</w:t>
      </w:r>
      <w:r w:rsidR="00C12668" w:rsidRPr="00154FD3">
        <w:rPr>
          <w:rFonts w:ascii="Book Antiqua" w:hAnsi="Book Antiqua"/>
          <w:b/>
          <w:bCs/>
          <w:lang w:val="es-PR"/>
        </w:rPr>
        <w:t>.</w:t>
      </w:r>
      <w:r w:rsidRPr="00154FD3">
        <w:rPr>
          <w:rFonts w:ascii="Book Antiqua" w:hAnsi="Book Antiqua"/>
          <w:b/>
          <w:bCs/>
          <w:lang w:val="es-PR"/>
        </w:rPr>
        <w:t xml:space="preserve"> (Énfasis suplido)</w:t>
      </w:r>
    </w:p>
    <w:p w14:paraId="6BECEC35" w14:textId="77777777" w:rsidR="003B44CF" w:rsidRPr="009C10A1" w:rsidRDefault="003B44CF" w:rsidP="00CE133F">
      <w:pPr>
        <w:spacing w:line="360" w:lineRule="auto"/>
        <w:ind w:left="720" w:right="720"/>
        <w:contextualSpacing/>
        <w:jc w:val="both"/>
        <w:rPr>
          <w:rFonts w:ascii="Book Antiqua" w:hAnsi="Book Antiqua"/>
          <w:sz w:val="12"/>
          <w:szCs w:val="12"/>
          <w:lang w:val="es-PR"/>
        </w:rPr>
      </w:pPr>
    </w:p>
    <w:p w14:paraId="7B2E9480" w14:textId="2A2147F8" w:rsidR="003B44CF" w:rsidRPr="001F7A9F" w:rsidRDefault="00883F2D" w:rsidP="009C10A1">
      <w:pPr>
        <w:spacing w:after="200" w:line="360" w:lineRule="auto"/>
        <w:ind w:firstLine="540"/>
        <w:jc w:val="both"/>
        <w:rPr>
          <w:rFonts w:ascii="Book Antiqua" w:eastAsia="Book Antiqua" w:hAnsi="Book Antiqua" w:cs="Book Antiqua"/>
          <w:iCs/>
          <w:color w:val="000000"/>
          <w:lang w:val="es-PR"/>
        </w:rPr>
      </w:pPr>
      <w:r w:rsidRPr="001F7A9F">
        <w:rPr>
          <w:rFonts w:ascii="Book Antiqua" w:eastAsia="Book Antiqua" w:hAnsi="Book Antiqua" w:cs="Book Antiqua"/>
          <w:iCs/>
          <w:color w:val="000000"/>
          <w:lang w:val="es-PR"/>
        </w:rPr>
        <w:t xml:space="preserve"> Como se desprende de lo anterior el modelo presupuestario vigente ha demostrado ser insuficiente para garantizar la estabilidad operacional de la Comisión.</w:t>
      </w:r>
    </w:p>
    <w:p w14:paraId="422127D3" w14:textId="6D8A2765" w:rsidR="008968F0" w:rsidRPr="001F7A9F" w:rsidRDefault="008968F0" w:rsidP="008968F0">
      <w:pPr>
        <w:spacing w:after="200" w:line="360" w:lineRule="auto"/>
        <w:ind w:firstLine="540"/>
        <w:jc w:val="both"/>
        <w:rPr>
          <w:rFonts w:ascii="Book Antiqua" w:eastAsia="Book Antiqua" w:hAnsi="Book Antiqua" w:cs="Book Antiqua"/>
          <w:iCs/>
          <w:color w:val="000000"/>
          <w:lang w:val="es-PR"/>
        </w:rPr>
      </w:pPr>
      <w:r w:rsidRPr="001F7A9F">
        <w:rPr>
          <w:rFonts w:ascii="Book Antiqua" w:eastAsia="Book Antiqua" w:hAnsi="Book Antiqua" w:cs="Book Antiqua"/>
          <w:iCs/>
          <w:color w:val="000000"/>
          <w:lang w:val="es-PR"/>
        </w:rPr>
        <w:lastRenderedPageBreak/>
        <w:t xml:space="preserve">A tales fines, esta Asamblea Legislativa propone enmendar la Ley Núm. 45 de 18 de abril de 1935, según enmendada, conocida como </w:t>
      </w:r>
      <w:r w:rsidRPr="001F7A9F">
        <w:rPr>
          <w:rFonts w:ascii="Book Antiqua" w:eastAsia="Book Antiqua" w:hAnsi="Book Antiqua" w:cs="Book Antiqua"/>
          <w:iCs/>
          <w:color w:val="000000"/>
          <w:lang w:val="es-ES"/>
        </w:rPr>
        <w:t>“Ley del Sistema de Compensaciones por Accidentes del Trabajo”,</w:t>
      </w:r>
      <w:r w:rsidRPr="001F7A9F">
        <w:rPr>
          <w:rFonts w:ascii="Book Antiqua" w:eastAsia="Book Antiqua" w:hAnsi="Book Antiqua" w:cs="Book Antiqua"/>
          <w:iCs/>
          <w:color w:val="000000"/>
          <w:lang w:val="es-PR"/>
        </w:rPr>
        <w:t xml:space="preserve"> para establecer un mecanismo de financiamiento fijo, automático y predecible para la Comisión Industrial de Puerto Rico, equivalente al cuatro por ciento</w:t>
      </w:r>
      <w:r w:rsidR="00C02274" w:rsidRPr="001F7A9F">
        <w:rPr>
          <w:rFonts w:ascii="Book Antiqua" w:eastAsia="Book Antiqua" w:hAnsi="Book Antiqua" w:cs="Book Antiqua"/>
          <w:iCs/>
          <w:color w:val="000000"/>
          <w:lang w:val="es-PR"/>
        </w:rPr>
        <w:t xml:space="preserve"> (4%)</w:t>
      </w:r>
      <w:r w:rsidRPr="001F7A9F">
        <w:rPr>
          <w:rFonts w:ascii="Book Antiqua" w:eastAsia="Book Antiqua" w:hAnsi="Book Antiqua" w:cs="Book Antiqua"/>
          <w:iCs/>
          <w:color w:val="000000"/>
          <w:lang w:val="es-PR"/>
        </w:rPr>
        <w:t xml:space="preserve"> de los ingresos por concepto de primas de la Corporación del Fondo del Seguro del Estado durante el año fiscal precedente. Asimismo, se dispone un proceso uniforme para la certificación, proyección y remesa de dichos fondos, con el propósito de garantizar la disponibilidad oportuna de los recursos necesarios para el cumplimiento de sus funciones. </w:t>
      </w:r>
    </w:p>
    <w:p w14:paraId="0D01ADC3" w14:textId="67D69041" w:rsidR="008968F0" w:rsidRPr="001F7A9F" w:rsidRDefault="008968F0" w:rsidP="008968F0">
      <w:pPr>
        <w:spacing w:after="200" w:line="360" w:lineRule="auto"/>
        <w:ind w:firstLine="540"/>
        <w:jc w:val="both"/>
        <w:rPr>
          <w:rFonts w:ascii="Book Antiqua" w:eastAsia="Book Antiqua" w:hAnsi="Book Antiqua" w:cs="Book Antiqua"/>
          <w:iCs/>
          <w:color w:val="000000"/>
          <w:lang w:val="es-PR"/>
        </w:rPr>
      </w:pPr>
      <w:r w:rsidRPr="001F7A9F">
        <w:rPr>
          <w:rFonts w:ascii="Book Antiqua" w:eastAsia="Book Antiqua" w:hAnsi="Book Antiqua" w:cs="Book Antiqua"/>
          <w:iCs/>
          <w:color w:val="000000"/>
          <w:lang w:val="es-PR"/>
        </w:rPr>
        <w:t xml:space="preserve">Mediante esta </w:t>
      </w:r>
      <w:r w:rsidRPr="00265F5D">
        <w:rPr>
          <w:rFonts w:ascii="Book Antiqua" w:eastAsia="Book Antiqua" w:hAnsi="Book Antiqua" w:cs="Book Antiqua"/>
          <w:iCs/>
          <w:strike/>
          <w:color w:val="000000"/>
          <w:lang w:val="es-PR"/>
        </w:rPr>
        <w:t>medida</w:t>
      </w:r>
      <w:r w:rsidR="00265F5D">
        <w:rPr>
          <w:rFonts w:ascii="Book Antiqua" w:eastAsia="Book Antiqua" w:hAnsi="Book Antiqua" w:cs="Book Antiqua"/>
          <w:iCs/>
          <w:color w:val="000000"/>
          <w:lang w:val="es-PR"/>
        </w:rPr>
        <w:t xml:space="preserve"> </w:t>
      </w:r>
      <w:r w:rsidR="00265F5D" w:rsidRPr="00265F5D">
        <w:rPr>
          <w:rFonts w:ascii="Book Antiqua" w:eastAsia="Book Antiqua" w:hAnsi="Book Antiqua" w:cs="Book Antiqua"/>
          <w:i/>
          <w:color w:val="000000"/>
          <w:u w:val="single"/>
          <w:lang w:val="es-PR"/>
        </w:rPr>
        <w:t>ley</w:t>
      </w:r>
      <w:r w:rsidRPr="001F7A9F">
        <w:rPr>
          <w:rFonts w:ascii="Book Antiqua" w:eastAsia="Book Antiqua" w:hAnsi="Book Antiqua" w:cs="Book Antiqua"/>
          <w:iCs/>
          <w:color w:val="000000"/>
          <w:lang w:val="es-PR"/>
        </w:rPr>
        <w:t xml:space="preserve">, se persigue fortalecer la autonomía administrativa y la eficiencia operacional de la Comisión Industrial, reducir la incertidumbre presupuestaria y asegurar la continuidad en la adjudicación de las reclamaciones relacionadas a accidentes del trabajo. De esta forma, se contribuye a robustecer la confianza en el sistema de compensaciones laborales y a promover un entorno más estable y predecible para las relaciones obrero-patronales en Puerto Rico. </w:t>
      </w:r>
    </w:p>
    <w:p w14:paraId="6AA32E6F" w14:textId="02F4BA1E" w:rsidR="00E028DD" w:rsidRPr="00CE133F" w:rsidRDefault="0083082B" w:rsidP="00C91865">
      <w:pPr>
        <w:spacing w:line="480" w:lineRule="auto"/>
        <w:jc w:val="both"/>
        <w:rPr>
          <w:rFonts w:ascii="Book Antiqua" w:hAnsi="Book Antiqua"/>
          <w:b/>
          <w:bCs/>
          <w:iCs/>
          <w:lang w:val="es-PR"/>
        </w:rPr>
      </w:pPr>
      <w:r w:rsidRPr="00CE133F">
        <w:rPr>
          <w:rFonts w:ascii="Book Antiqua" w:hAnsi="Book Antiqua"/>
          <w:b/>
          <w:bCs/>
          <w:iCs/>
          <w:lang w:val="es-PR"/>
        </w:rPr>
        <w:t>DECRÉTASE POR LA ASAMBLEA LEGISLATIVA DE PUERTO RICO:</w:t>
      </w:r>
    </w:p>
    <w:p w14:paraId="0223401D" w14:textId="77777777" w:rsidR="00C91865" w:rsidRPr="008B5572" w:rsidRDefault="00C91865">
      <w:pPr>
        <w:spacing w:line="480" w:lineRule="auto"/>
        <w:jc w:val="both"/>
        <w:rPr>
          <w:rFonts w:ascii="Book Antiqua" w:hAnsi="Book Antiqua"/>
          <w:szCs w:val="24"/>
          <w:lang w:val="es-PR"/>
        </w:rPr>
        <w:sectPr w:rsidR="00C91865" w:rsidRPr="008B5572">
          <w:headerReference w:type="even" r:id="rId13"/>
          <w:headerReference w:type="default" r:id="rId14"/>
          <w:headerReference w:type="first" r:id="rId15"/>
          <w:pgSz w:w="12240" w:h="15840"/>
          <w:pgMar w:top="1440" w:right="1440" w:bottom="1440" w:left="1440" w:header="720" w:footer="720" w:gutter="0"/>
          <w:cols w:space="720"/>
          <w:titlePg/>
        </w:sectPr>
      </w:pPr>
    </w:p>
    <w:p w14:paraId="43F44A72" w14:textId="25193CE2" w:rsidR="003B44CF" w:rsidRPr="001F7A9F" w:rsidRDefault="003B44CF" w:rsidP="003B44CF">
      <w:pPr>
        <w:pStyle w:val="BodyText"/>
        <w:ind w:firstLine="720"/>
        <w:rPr>
          <w:rFonts w:ascii="Book Antiqua" w:hAnsi="Book Antiqua"/>
          <w:color w:val="000000"/>
          <w:lang w:val="es-ES"/>
        </w:rPr>
      </w:pPr>
      <w:bookmarkStart w:id="1" w:name="{20D8}"/>
      <w:bookmarkStart w:id="2" w:name="_Hlk189832381"/>
      <w:bookmarkStart w:id="3" w:name="_Hlk206434876"/>
      <w:r w:rsidRPr="001F7A9F">
        <w:rPr>
          <w:rFonts w:ascii="Book Antiqua" w:hAnsi="Book Antiqua"/>
          <w:color w:val="000000"/>
          <w:lang w:val="es-ES"/>
        </w:rPr>
        <w:t xml:space="preserve">Sección 1.- Se enmienda el Artículo 6 de la Ley </w:t>
      </w:r>
      <w:r w:rsidR="00B74C74" w:rsidRPr="001F7A9F">
        <w:rPr>
          <w:rFonts w:ascii="Book Antiqua" w:hAnsi="Book Antiqua"/>
          <w:color w:val="000000"/>
          <w:lang w:val="es-PR"/>
        </w:rPr>
        <w:t xml:space="preserve">Núm. 45 de 18 de </w:t>
      </w:r>
      <w:r w:rsidR="00361B2B" w:rsidRPr="001F7A9F">
        <w:rPr>
          <w:rFonts w:ascii="Book Antiqua" w:hAnsi="Book Antiqua"/>
          <w:color w:val="000000"/>
          <w:lang w:val="es-PR"/>
        </w:rPr>
        <w:t>a</w:t>
      </w:r>
      <w:r w:rsidR="00B74C74" w:rsidRPr="001F7A9F">
        <w:rPr>
          <w:rFonts w:ascii="Book Antiqua" w:hAnsi="Book Antiqua"/>
          <w:color w:val="000000"/>
          <w:lang w:val="es-PR"/>
        </w:rPr>
        <w:t>bril de 1935</w:t>
      </w:r>
      <w:r w:rsidRPr="001F7A9F">
        <w:rPr>
          <w:rFonts w:ascii="Book Antiqua" w:hAnsi="Book Antiqua"/>
          <w:color w:val="000000"/>
          <w:lang w:val="es-ES"/>
        </w:rPr>
        <w:t xml:space="preserve">, según enmendada, conocida como “Ley </w:t>
      </w:r>
      <w:r w:rsidR="00B74C74" w:rsidRPr="001F7A9F">
        <w:rPr>
          <w:rFonts w:ascii="Book Antiqua" w:hAnsi="Book Antiqua"/>
          <w:color w:val="000000"/>
          <w:lang w:val="es-ES"/>
        </w:rPr>
        <w:t xml:space="preserve">del Sistema </w:t>
      </w:r>
      <w:r w:rsidRPr="001F7A9F">
        <w:rPr>
          <w:rFonts w:ascii="Book Antiqua" w:hAnsi="Book Antiqua"/>
          <w:color w:val="000000"/>
          <w:lang w:val="es-ES"/>
        </w:rPr>
        <w:t>de Compensaciones por Accidentes del Trabajo”</w:t>
      </w:r>
      <w:r w:rsidR="00C12668">
        <w:rPr>
          <w:rFonts w:ascii="Book Antiqua" w:hAnsi="Book Antiqua"/>
          <w:color w:val="000000"/>
          <w:lang w:val="es-ES"/>
        </w:rPr>
        <w:t>,</w:t>
      </w:r>
      <w:r w:rsidRPr="001F7A9F">
        <w:rPr>
          <w:rFonts w:ascii="Book Antiqua" w:hAnsi="Book Antiqua"/>
          <w:color w:val="000000"/>
          <w:lang w:val="es-ES"/>
        </w:rPr>
        <w:t xml:space="preserve"> para que se lea como sigue:</w:t>
      </w:r>
    </w:p>
    <w:p w14:paraId="0DD8E33D" w14:textId="1C57FD88" w:rsidR="003B44CF" w:rsidRPr="001F7A9F" w:rsidRDefault="003B44CF" w:rsidP="003B44CF">
      <w:pPr>
        <w:pStyle w:val="BodyText"/>
        <w:ind w:firstLine="720"/>
        <w:rPr>
          <w:rFonts w:ascii="Book Antiqua" w:hAnsi="Book Antiqua"/>
          <w:color w:val="000000"/>
          <w:lang w:val="es-ES"/>
        </w:rPr>
      </w:pPr>
      <w:r w:rsidRPr="001F7A9F">
        <w:rPr>
          <w:rFonts w:ascii="Book Antiqua" w:hAnsi="Book Antiqua"/>
          <w:lang w:val="es-PR"/>
        </w:rPr>
        <w:t>“</w:t>
      </w:r>
      <w:bookmarkEnd w:id="1"/>
      <w:bookmarkEnd w:id="2"/>
      <w:r w:rsidRPr="001F7A9F">
        <w:rPr>
          <w:rFonts w:ascii="Book Antiqua" w:hAnsi="Book Antiqua"/>
          <w:lang w:val="es-PR"/>
        </w:rPr>
        <w:t>Artículo 6.</w:t>
      </w:r>
      <w:r w:rsidR="009C10A1" w:rsidRPr="001F7A9F">
        <w:rPr>
          <w:rFonts w:ascii="Book Antiqua" w:hAnsi="Book Antiqua"/>
          <w:lang w:val="es-PR"/>
        </w:rPr>
        <w:t>-</w:t>
      </w:r>
      <w:r w:rsidRPr="001F7A9F">
        <w:rPr>
          <w:rFonts w:ascii="Book Antiqua" w:hAnsi="Book Antiqua"/>
          <w:lang w:val="es-PR"/>
        </w:rPr>
        <w:t xml:space="preserve"> Organización del Servicio de Compensaciones a Obreros; Administrador del Fondo del Seguro del Estado; Comisión Industrial. </w:t>
      </w:r>
    </w:p>
    <w:p w14:paraId="54925D3F" w14:textId="2EBB6E59" w:rsidR="003B44CF" w:rsidRPr="00B75A7B" w:rsidRDefault="00A30698" w:rsidP="00B75A7B">
      <w:pPr>
        <w:spacing w:line="480" w:lineRule="auto"/>
        <w:ind w:left="900"/>
        <w:jc w:val="both"/>
        <w:rPr>
          <w:rFonts w:ascii="Book Antiqua" w:eastAsiaTheme="minorHAnsi" w:hAnsi="Book Antiqua" w:cstheme="minorBidi"/>
          <w:kern w:val="2"/>
          <w:szCs w:val="24"/>
          <w:lang w:val="es-PR"/>
          <w14:ligatures w14:val="standardContextual"/>
        </w:rPr>
      </w:pPr>
      <w:r w:rsidRPr="00B75A7B">
        <w:rPr>
          <w:rFonts w:ascii="Book Antiqua" w:eastAsiaTheme="minorHAnsi" w:hAnsi="Book Antiqua" w:cstheme="minorBidi"/>
          <w:kern w:val="2"/>
          <w:szCs w:val="24"/>
          <w:lang w:val="es-PR"/>
          <w14:ligatures w14:val="standardContextual"/>
        </w:rPr>
        <w:t xml:space="preserve">I. </w:t>
      </w:r>
      <w:r w:rsidR="003B44CF" w:rsidRPr="00B75A7B">
        <w:rPr>
          <w:rFonts w:ascii="Book Antiqua" w:eastAsiaTheme="minorHAnsi" w:hAnsi="Book Antiqua" w:cstheme="minorBidi"/>
          <w:kern w:val="2"/>
          <w:szCs w:val="24"/>
          <w:lang w:val="es-PR"/>
          <w14:ligatures w14:val="standardContextual"/>
        </w:rPr>
        <w:t>Organismos de Servicio</w:t>
      </w:r>
    </w:p>
    <w:p w14:paraId="0E101BAC" w14:textId="77777777" w:rsidR="003B44CF" w:rsidRPr="001F7A9F" w:rsidRDefault="003B44CF" w:rsidP="003B44CF">
      <w:pPr>
        <w:pStyle w:val="ListParagraph"/>
        <w:spacing w:line="480" w:lineRule="auto"/>
        <w:ind w:left="1260"/>
        <w:jc w:val="both"/>
        <w:rPr>
          <w:rFonts w:ascii="Book Antiqua" w:eastAsiaTheme="minorHAnsi" w:hAnsi="Book Antiqua" w:cstheme="minorBidi"/>
          <w:kern w:val="2"/>
          <w:szCs w:val="24"/>
          <w:lang w:val="es-PR"/>
          <w14:ligatures w14:val="standardContextual"/>
        </w:rPr>
      </w:pPr>
      <w:r w:rsidRPr="001F7A9F">
        <w:rPr>
          <w:rFonts w:ascii="Book Antiqua" w:eastAsiaTheme="minorHAnsi" w:hAnsi="Book Antiqua" w:cstheme="minorBidi"/>
          <w:kern w:val="2"/>
          <w:szCs w:val="24"/>
          <w:lang w:val="es-PR"/>
          <w14:ligatures w14:val="standardContextual"/>
        </w:rPr>
        <w:t>La prestación de servicios de compensaciones a obreros y empleados estará a cargo de los siguientes organismos:</w:t>
      </w:r>
    </w:p>
    <w:p w14:paraId="1B024A89" w14:textId="77777777" w:rsidR="003B44CF" w:rsidRPr="001F7A9F" w:rsidRDefault="003B44CF" w:rsidP="003B44CF">
      <w:pPr>
        <w:pStyle w:val="ListParagraph"/>
        <w:numPr>
          <w:ilvl w:val="0"/>
          <w:numId w:val="24"/>
        </w:numPr>
        <w:spacing w:line="480" w:lineRule="auto"/>
        <w:jc w:val="both"/>
        <w:rPr>
          <w:rFonts w:ascii="Book Antiqua" w:eastAsiaTheme="minorHAnsi" w:hAnsi="Book Antiqua" w:cstheme="minorBidi"/>
          <w:kern w:val="2"/>
          <w:szCs w:val="24"/>
          <w:lang w:val="es-PR"/>
          <w14:ligatures w14:val="standardContextual"/>
        </w:rPr>
      </w:pPr>
      <w:r w:rsidRPr="001F7A9F">
        <w:rPr>
          <w:rFonts w:ascii="Book Antiqua" w:eastAsiaTheme="minorHAnsi" w:hAnsi="Book Antiqua" w:cstheme="minorBidi"/>
          <w:kern w:val="2"/>
          <w:szCs w:val="24"/>
          <w:lang w:val="es-PR"/>
          <w14:ligatures w14:val="standardContextual"/>
        </w:rPr>
        <w:t>…</w:t>
      </w:r>
    </w:p>
    <w:p w14:paraId="41F23453" w14:textId="77777777" w:rsidR="003B44CF" w:rsidRDefault="003B44CF" w:rsidP="003B44CF">
      <w:pPr>
        <w:tabs>
          <w:tab w:val="left" w:pos="7860"/>
        </w:tabs>
        <w:spacing w:line="480" w:lineRule="auto"/>
        <w:ind w:left="900"/>
        <w:jc w:val="both"/>
        <w:rPr>
          <w:rFonts w:ascii="Book Antiqua" w:eastAsiaTheme="minorHAnsi" w:hAnsi="Book Antiqua" w:cstheme="minorBidi"/>
          <w:kern w:val="2"/>
          <w:szCs w:val="24"/>
          <w:lang w:val="es-PR"/>
          <w14:ligatures w14:val="standardContextual"/>
        </w:rPr>
      </w:pPr>
      <w:r>
        <w:rPr>
          <w:rFonts w:ascii="Book Antiqua" w:eastAsiaTheme="minorHAnsi" w:hAnsi="Book Antiqua" w:cstheme="minorBidi"/>
          <w:kern w:val="2"/>
          <w:szCs w:val="24"/>
          <w:lang w:val="es-PR"/>
          <w14:ligatures w14:val="standardContextual"/>
        </w:rPr>
        <w:lastRenderedPageBreak/>
        <w:t>(B) Comisión Industrial</w:t>
      </w:r>
      <w:r>
        <w:rPr>
          <w:rFonts w:ascii="Book Antiqua" w:eastAsiaTheme="minorHAnsi" w:hAnsi="Book Antiqua" w:cstheme="minorBidi"/>
          <w:kern w:val="2"/>
          <w:szCs w:val="24"/>
          <w:lang w:val="es-PR"/>
          <w14:ligatures w14:val="standardContextual"/>
        </w:rPr>
        <w:tab/>
      </w:r>
    </w:p>
    <w:p w14:paraId="03CE23BB" w14:textId="03BBE225" w:rsidR="003B44CF" w:rsidRPr="001F7A9F" w:rsidRDefault="003B44CF" w:rsidP="003B44CF">
      <w:pPr>
        <w:spacing w:line="480" w:lineRule="auto"/>
        <w:ind w:left="900"/>
        <w:jc w:val="both"/>
        <w:rPr>
          <w:rFonts w:ascii="Book Antiqua" w:eastAsiaTheme="minorHAnsi" w:hAnsi="Book Antiqua" w:cstheme="minorBidi"/>
          <w:kern w:val="2"/>
          <w:szCs w:val="24"/>
          <w:lang w:val="es-PR"/>
          <w14:ligatures w14:val="standardContextual"/>
        </w:rPr>
      </w:pPr>
      <w:r w:rsidRPr="001F7A9F">
        <w:rPr>
          <w:rFonts w:ascii="Book Antiqua" w:eastAsiaTheme="minorHAnsi" w:hAnsi="Book Antiqua" w:cstheme="minorBidi"/>
          <w:kern w:val="2"/>
          <w:szCs w:val="24"/>
          <w:lang w:val="es-PR"/>
          <w14:ligatures w14:val="standardContextual"/>
        </w:rPr>
        <w:t xml:space="preserve">(1) </w:t>
      </w:r>
      <w:r w:rsidR="00BA3E6E" w:rsidRPr="001F7A9F">
        <w:rPr>
          <w:rFonts w:ascii="Book Antiqua" w:eastAsiaTheme="minorHAnsi" w:hAnsi="Book Antiqua" w:cstheme="minorBidi"/>
          <w:kern w:val="2"/>
          <w:szCs w:val="24"/>
          <w:lang w:val="es-PR"/>
          <w14:ligatures w14:val="standardContextual"/>
        </w:rPr>
        <w:t>Creación y Organización.</w:t>
      </w:r>
    </w:p>
    <w:p w14:paraId="03131AD5" w14:textId="2F90147D" w:rsidR="00BA3E6E" w:rsidRPr="001F7A9F" w:rsidRDefault="00BA3E6E" w:rsidP="003B44CF">
      <w:pPr>
        <w:spacing w:line="480" w:lineRule="auto"/>
        <w:ind w:left="900"/>
        <w:jc w:val="both"/>
        <w:rPr>
          <w:rFonts w:ascii="Book Antiqua" w:eastAsiaTheme="minorHAnsi" w:hAnsi="Book Antiqua" w:cstheme="minorBidi"/>
          <w:kern w:val="2"/>
          <w:szCs w:val="24"/>
          <w:lang w:val="es-PR"/>
          <w14:ligatures w14:val="standardContextual"/>
        </w:rPr>
      </w:pPr>
      <w:r w:rsidRPr="001F7A9F">
        <w:rPr>
          <w:rFonts w:ascii="Book Antiqua" w:eastAsiaTheme="minorHAnsi" w:hAnsi="Book Antiqua" w:cstheme="minorBidi"/>
          <w:kern w:val="2"/>
          <w:szCs w:val="24"/>
          <w:lang w:val="es-PR"/>
          <w14:ligatures w14:val="standardContextual"/>
        </w:rPr>
        <w:t>…</w:t>
      </w:r>
    </w:p>
    <w:p w14:paraId="163D6CAA" w14:textId="77777777" w:rsidR="003B44CF" w:rsidRPr="001F7A9F" w:rsidRDefault="003B44CF" w:rsidP="003B44CF">
      <w:pPr>
        <w:spacing w:line="480" w:lineRule="auto"/>
        <w:ind w:left="900"/>
        <w:jc w:val="both"/>
        <w:rPr>
          <w:rFonts w:ascii="Book Antiqua" w:eastAsiaTheme="minorHAnsi" w:hAnsi="Book Antiqua" w:cstheme="minorBidi"/>
          <w:kern w:val="2"/>
          <w:szCs w:val="24"/>
          <w:lang w:val="es-PR"/>
          <w14:ligatures w14:val="standardContextual"/>
        </w:rPr>
      </w:pPr>
      <w:r w:rsidRPr="001F7A9F">
        <w:rPr>
          <w:rFonts w:ascii="Book Antiqua" w:eastAsiaTheme="minorHAnsi" w:hAnsi="Book Antiqua" w:cstheme="minorBidi"/>
          <w:kern w:val="2"/>
          <w:szCs w:val="24"/>
          <w:lang w:val="es-PR"/>
          <w14:ligatures w14:val="standardContextual"/>
        </w:rPr>
        <w:t xml:space="preserve">(2) </w:t>
      </w:r>
      <w:r w:rsidRPr="001F7A9F">
        <w:rPr>
          <w:rFonts w:ascii="Book Antiqua" w:hAnsi="Book Antiqua"/>
          <w:lang w:val="es-PR"/>
        </w:rPr>
        <w:t>Presupuesto de la Comisión Industrial. —</w:t>
      </w:r>
    </w:p>
    <w:p w14:paraId="4D7E8448" w14:textId="77777777" w:rsidR="003B44CF" w:rsidRPr="001F7A9F" w:rsidRDefault="003B44CF" w:rsidP="00F94D88">
      <w:pPr>
        <w:spacing w:line="480" w:lineRule="auto"/>
        <w:ind w:left="720" w:firstLine="720"/>
        <w:jc w:val="both"/>
        <w:rPr>
          <w:rFonts w:ascii="Book Antiqua" w:eastAsiaTheme="minorHAnsi" w:hAnsi="Book Antiqua" w:cstheme="minorBidi"/>
          <w:kern w:val="2"/>
          <w:szCs w:val="24"/>
          <w:lang w:val="es-PR"/>
          <w14:ligatures w14:val="standardContextual"/>
        </w:rPr>
      </w:pPr>
      <w:r w:rsidRPr="001F7A9F">
        <w:rPr>
          <w:rFonts w:ascii="Book Antiqua" w:eastAsiaTheme="minorHAnsi" w:hAnsi="Book Antiqua" w:cstheme="minorBidi"/>
          <w:kern w:val="2"/>
          <w:szCs w:val="24"/>
          <w:lang w:val="es-PR"/>
          <w14:ligatures w14:val="standardContextual"/>
        </w:rPr>
        <w:t>(a)…</w:t>
      </w:r>
    </w:p>
    <w:p w14:paraId="09A5A5C9" w14:textId="48E9CC1F" w:rsidR="003B44CF" w:rsidRPr="001F7A9F" w:rsidRDefault="003B44CF" w:rsidP="003B44CF">
      <w:pPr>
        <w:spacing w:line="480" w:lineRule="auto"/>
        <w:ind w:left="720" w:firstLine="720"/>
        <w:jc w:val="both"/>
        <w:rPr>
          <w:rFonts w:ascii="Book Antiqua" w:hAnsi="Book Antiqua"/>
          <w:szCs w:val="24"/>
          <w:lang w:val="es-PR"/>
        </w:rPr>
      </w:pPr>
      <w:r w:rsidRPr="001F7A9F">
        <w:rPr>
          <w:rFonts w:ascii="Book Antiqua" w:eastAsiaTheme="minorHAnsi" w:hAnsi="Book Antiqua" w:cstheme="minorBidi"/>
          <w:kern w:val="2"/>
          <w:szCs w:val="24"/>
          <w:lang w:val="es-PR"/>
          <w14:ligatures w14:val="standardContextual"/>
        </w:rPr>
        <w:t xml:space="preserve">(b) </w:t>
      </w:r>
      <w:r w:rsidRPr="001F7A9F">
        <w:rPr>
          <w:rFonts w:ascii="Book Antiqua" w:hAnsi="Book Antiqua"/>
          <w:szCs w:val="24"/>
          <w:lang w:val="es-PR"/>
        </w:rPr>
        <w:t>La Corporación mantendrá una cuenta especial de la cual transferirá el Secretario de Hacienda una cantidad para cubrir los gastos de la Comisión Industrial</w:t>
      </w:r>
      <w:r w:rsidR="00BA3E6E" w:rsidRPr="001F7A9F">
        <w:rPr>
          <w:rFonts w:ascii="Book Antiqua" w:hAnsi="Book Antiqua"/>
          <w:szCs w:val="24"/>
          <w:lang w:val="es-PR"/>
        </w:rPr>
        <w:t>.</w:t>
      </w:r>
      <w:r w:rsidR="00BA3E6E">
        <w:rPr>
          <w:rFonts w:ascii="Book Antiqua" w:hAnsi="Book Antiqua"/>
          <w:i/>
          <w:iCs/>
          <w:szCs w:val="24"/>
          <w:lang w:val="es-PR"/>
        </w:rPr>
        <w:t xml:space="preserve"> </w:t>
      </w:r>
      <w:r w:rsidRPr="001F7A9F">
        <w:rPr>
          <w:rFonts w:ascii="Book Antiqua" w:hAnsi="Book Antiqua"/>
          <w:szCs w:val="24"/>
          <w:lang w:val="es-PR"/>
        </w:rPr>
        <w:t>El presupuesto operacional de la Comisión Industrial será igual al cuatro por ciento</w:t>
      </w:r>
      <w:r w:rsidR="00C02274" w:rsidRPr="001F7A9F">
        <w:rPr>
          <w:rFonts w:ascii="Book Antiqua" w:hAnsi="Book Antiqua"/>
          <w:szCs w:val="24"/>
          <w:lang w:val="es-PR"/>
        </w:rPr>
        <w:t xml:space="preserve"> (4%)</w:t>
      </w:r>
      <w:r w:rsidRPr="001F7A9F">
        <w:rPr>
          <w:rFonts w:ascii="Book Antiqua" w:hAnsi="Book Antiqua"/>
          <w:szCs w:val="24"/>
          <w:lang w:val="es-PR"/>
        </w:rPr>
        <w:t xml:space="preserve"> de los ingresos de la Corporación por concepto del pago de primas durante el año fiscal precedente. A esos efectos, no más tarde del 1ro</w:t>
      </w:r>
      <w:r w:rsidR="00C12668">
        <w:rPr>
          <w:rFonts w:ascii="Book Antiqua" w:hAnsi="Book Antiqua"/>
          <w:szCs w:val="24"/>
          <w:lang w:val="es-PR"/>
        </w:rPr>
        <w:t>.</w:t>
      </w:r>
      <w:r w:rsidRPr="001F7A9F">
        <w:rPr>
          <w:rFonts w:ascii="Book Antiqua" w:hAnsi="Book Antiqua"/>
          <w:szCs w:val="24"/>
          <w:lang w:val="es-PR"/>
        </w:rPr>
        <w:t xml:space="preserve"> de marzo de cada año, la Corporación certificará su estimado de ingresos por lo que resta del año fiscal, en aras de proyectar la remesa anual a emitirse a la Comisión Industrial no más tarde del 15 de agosto de ese mismo año. De los ingresos ser distintos a los proyectados, la Corporación deberá hacer los ajustes pertinentes en aras de siempre cumplir con la exigencia precisa de remitir ese cuatro por ciento </w:t>
      </w:r>
      <w:r w:rsidR="00C02274" w:rsidRPr="001F7A9F">
        <w:rPr>
          <w:rFonts w:ascii="Book Antiqua" w:hAnsi="Book Antiqua"/>
          <w:szCs w:val="24"/>
          <w:lang w:val="es-PR"/>
        </w:rPr>
        <w:t xml:space="preserve">(4%) </w:t>
      </w:r>
      <w:r w:rsidRPr="001F7A9F">
        <w:rPr>
          <w:rFonts w:ascii="Book Antiqua" w:hAnsi="Book Antiqua"/>
          <w:szCs w:val="24"/>
          <w:lang w:val="es-PR"/>
        </w:rPr>
        <w:t xml:space="preserve">a la Comisión Industrial. Más aún, en caso de que al 15 de agosto la Corporación no esté en posición de poder enviar la remesa anual a la Comisión Industrial, en o antes del 31 de agosto </w:t>
      </w:r>
      <w:r w:rsidR="00C12668">
        <w:rPr>
          <w:rFonts w:ascii="Book Antiqua" w:hAnsi="Book Antiqua"/>
          <w:szCs w:val="24"/>
          <w:lang w:val="es-PR"/>
        </w:rPr>
        <w:t>e</w:t>
      </w:r>
      <w:r w:rsidRPr="001F7A9F">
        <w:rPr>
          <w:rFonts w:ascii="Book Antiqua" w:hAnsi="Book Antiqua"/>
          <w:szCs w:val="24"/>
          <w:lang w:val="es-PR"/>
        </w:rPr>
        <w:t xml:space="preserve">sta le enviará una remesa parcial a la Comisión Industrial correspondiente al cincuenta por ciento (50%) de la proyección certificada y la remesa restante la enviará no más tarde del 30 de </w:t>
      </w:r>
      <w:r w:rsidRPr="001F7A9F">
        <w:rPr>
          <w:rFonts w:ascii="Book Antiqua" w:hAnsi="Book Antiqua"/>
          <w:szCs w:val="24"/>
          <w:lang w:val="es-PR"/>
        </w:rPr>
        <w:lastRenderedPageBreak/>
        <w:t>noviembre del mismo año. Toda remesa enviada conforme a lo antes dispuesto deberá ser certificada debidamente por la Corporación.</w:t>
      </w:r>
    </w:p>
    <w:p w14:paraId="32D5CB84" w14:textId="252103F8" w:rsidR="003B44CF" w:rsidRDefault="003B44CF" w:rsidP="003B44CF">
      <w:pPr>
        <w:spacing w:line="480" w:lineRule="auto"/>
        <w:ind w:left="900"/>
        <w:jc w:val="both"/>
        <w:rPr>
          <w:rFonts w:ascii="Book Antiqua" w:eastAsiaTheme="minorHAnsi" w:hAnsi="Book Antiqua" w:cstheme="minorBidi"/>
          <w:kern w:val="2"/>
          <w:szCs w:val="24"/>
          <w:lang w:val="es-PR"/>
          <w14:ligatures w14:val="standardContextual"/>
        </w:rPr>
      </w:pPr>
      <w:r>
        <w:rPr>
          <w:rFonts w:ascii="Book Antiqua" w:eastAsiaTheme="minorHAnsi" w:hAnsi="Book Antiqua" w:cstheme="minorBidi"/>
          <w:kern w:val="2"/>
          <w:szCs w:val="24"/>
          <w:lang w:val="es-PR"/>
          <w14:ligatures w14:val="standardContextual"/>
        </w:rPr>
        <w:t>(c) …</w:t>
      </w:r>
      <w:r w:rsidR="00C12668">
        <w:rPr>
          <w:rFonts w:ascii="Book Antiqua" w:eastAsiaTheme="minorHAnsi" w:hAnsi="Book Antiqua" w:cstheme="minorBidi"/>
          <w:kern w:val="2"/>
          <w:szCs w:val="24"/>
          <w:lang w:val="es-PR"/>
          <w14:ligatures w14:val="standardContextual"/>
        </w:rPr>
        <w:t>”</w:t>
      </w:r>
    </w:p>
    <w:p w14:paraId="338261CD" w14:textId="04F4F75A" w:rsidR="00265F5D" w:rsidRDefault="00265F5D" w:rsidP="00265F5D">
      <w:pPr>
        <w:spacing w:line="480" w:lineRule="auto"/>
        <w:ind w:firstLine="360"/>
        <w:jc w:val="both"/>
        <w:rPr>
          <w:rFonts w:ascii="Book Antiqua" w:eastAsiaTheme="minorHAnsi" w:hAnsi="Book Antiqua" w:cstheme="minorBidi"/>
          <w:i/>
          <w:iCs/>
          <w:kern w:val="2"/>
          <w:szCs w:val="24"/>
          <w:u w:val="single"/>
          <w:lang w:val="es-PR"/>
          <w14:ligatures w14:val="standardContextual"/>
        </w:rPr>
      </w:pPr>
      <w:r w:rsidRPr="00265F5D">
        <w:rPr>
          <w:rFonts w:ascii="Book Antiqua" w:eastAsiaTheme="minorHAnsi" w:hAnsi="Book Antiqua" w:cstheme="minorBidi"/>
          <w:i/>
          <w:iCs/>
          <w:kern w:val="2"/>
          <w:szCs w:val="24"/>
          <w:u w:val="single"/>
          <w:lang w:val="es-PR"/>
          <w14:ligatures w14:val="standardContextual"/>
        </w:rPr>
        <w:t>Sección 2.- Reglamentación e Implementación</w:t>
      </w:r>
    </w:p>
    <w:p w14:paraId="71C0E45D" w14:textId="64D6F2F4" w:rsidR="00265F5D" w:rsidRPr="00265F5D" w:rsidRDefault="00265F5D" w:rsidP="00265F5D">
      <w:pPr>
        <w:spacing w:line="480" w:lineRule="auto"/>
        <w:ind w:firstLine="360"/>
        <w:jc w:val="both"/>
        <w:rPr>
          <w:rFonts w:ascii="Book Antiqua" w:eastAsiaTheme="minorHAnsi" w:hAnsi="Book Antiqua" w:cstheme="minorBidi"/>
          <w:i/>
          <w:iCs/>
          <w:kern w:val="2"/>
          <w:szCs w:val="24"/>
          <w:u w:val="single"/>
          <w:lang w:val="es-PR"/>
          <w14:ligatures w14:val="standardContextual"/>
        </w:rPr>
      </w:pPr>
      <w:r w:rsidRPr="00265F5D">
        <w:rPr>
          <w:rFonts w:ascii="Book Antiqua" w:eastAsiaTheme="minorHAnsi" w:hAnsi="Book Antiqua" w:cstheme="minorBidi"/>
          <w:i/>
          <w:iCs/>
          <w:kern w:val="2"/>
          <w:szCs w:val="24"/>
          <w:u w:val="single"/>
          <w:lang w:val="es-PR"/>
          <w14:ligatures w14:val="standardContextual"/>
        </w:rPr>
        <w:t>(a) Se faculta y ordena a la Comisión Industrial de Puerto Rico (CIPR), en coordinación con la Corporación del Fondo del Seguro del Estado (CFSE), el Departamento de Hacienda, la Autoridad de Asesoría Financiera y Agencia Fiscal de Puerto Rico (AAFAF), a adoptar las normas, procedimientos y reglamentos que sean necesarios para la implantación de esta Ley.</w:t>
      </w:r>
    </w:p>
    <w:p w14:paraId="1005CB2F" w14:textId="77777777" w:rsidR="00265F5D" w:rsidRPr="00265F5D" w:rsidRDefault="00265F5D" w:rsidP="00265F5D">
      <w:pPr>
        <w:spacing w:line="480" w:lineRule="auto"/>
        <w:ind w:firstLine="360"/>
        <w:jc w:val="both"/>
        <w:rPr>
          <w:rFonts w:ascii="Book Antiqua" w:eastAsiaTheme="minorHAnsi" w:hAnsi="Book Antiqua" w:cstheme="minorBidi"/>
          <w:i/>
          <w:iCs/>
          <w:kern w:val="2"/>
          <w:szCs w:val="24"/>
          <w:u w:val="single"/>
          <w:lang w:val="es-PR"/>
          <w14:ligatures w14:val="standardContextual"/>
        </w:rPr>
      </w:pPr>
      <w:r w:rsidRPr="00265F5D">
        <w:rPr>
          <w:rFonts w:ascii="Book Antiqua" w:eastAsiaTheme="minorHAnsi" w:hAnsi="Book Antiqua" w:cstheme="minorBidi"/>
          <w:i/>
          <w:iCs/>
          <w:kern w:val="2"/>
          <w:szCs w:val="24"/>
          <w:u w:val="single"/>
          <w:lang w:val="es-PR"/>
          <w14:ligatures w14:val="standardContextual"/>
        </w:rPr>
        <w:t xml:space="preserve">(b) A tales fines, las entidades antes mencionadas deberán formalizar un acuerdo </w:t>
      </w:r>
      <w:proofErr w:type="spellStart"/>
      <w:r w:rsidRPr="00265F5D">
        <w:rPr>
          <w:rFonts w:ascii="Book Antiqua" w:eastAsiaTheme="minorHAnsi" w:hAnsi="Book Antiqua" w:cstheme="minorBidi"/>
          <w:i/>
          <w:iCs/>
          <w:kern w:val="2"/>
          <w:szCs w:val="24"/>
          <w:u w:val="single"/>
          <w:lang w:val="es-PR"/>
          <w14:ligatures w14:val="standardContextual"/>
        </w:rPr>
        <w:t>interagencial</w:t>
      </w:r>
      <w:proofErr w:type="spellEnd"/>
      <w:r w:rsidRPr="00265F5D">
        <w:rPr>
          <w:rFonts w:ascii="Book Antiqua" w:eastAsiaTheme="minorHAnsi" w:hAnsi="Book Antiqua" w:cstheme="minorBidi"/>
          <w:i/>
          <w:iCs/>
          <w:kern w:val="2"/>
          <w:szCs w:val="24"/>
          <w:u w:val="single"/>
          <w:lang w:val="es-PR"/>
          <w14:ligatures w14:val="standardContextual"/>
        </w:rPr>
        <w:t xml:space="preserve"> o memorando de entendimiento (MOU) que establezca los mecanismos operacionales para la ejecución del calendario de certificación y remesa de fondos dispuesto en esta Ley. Dicho acuerdo incluirá, sin limitarse a: la designación de responsabilidades entre las agencias concernidas, los formatos estandarizados para la certificación de ingresos y solicitudes de desembolso, así como las rutas de evaluación, validación y aprobación correspondientes.</w:t>
      </w:r>
    </w:p>
    <w:p w14:paraId="6B6F0C25" w14:textId="1C117F68" w:rsidR="00265F5D" w:rsidRPr="00265F5D" w:rsidRDefault="00265F5D" w:rsidP="00265F5D">
      <w:pPr>
        <w:spacing w:line="480" w:lineRule="auto"/>
        <w:ind w:firstLine="360"/>
        <w:jc w:val="both"/>
        <w:rPr>
          <w:rFonts w:ascii="Book Antiqua" w:eastAsiaTheme="minorHAnsi" w:hAnsi="Book Antiqua" w:cstheme="minorBidi"/>
          <w:i/>
          <w:iCs/>
          <w:kern w:val="2"/>
          <w:szCs w:val="24"/>
          <w:u w:val="single"/>
          <w:lang w:val="es-PR"/>
          <w14:ligatures w14:val="standardContextual"/>
        </w:rPr>
      </w:pPr>
      <w:r w:rsidRPr="00265F5D">
        <w:rPr>
          <w:rFonts w:ascii="Book Antiqua" w:eastAsiaTheme="minorHAnsi" w:hAnsi="Book Antiqua" w:cstheme="minorBidi"/>
          <w:i/>
          <w:iCs/>
          <w:kern w:val="2"/>
          <w:szCs w:val="24"/>
          <w:u w:val="single"/>
          <w:lang w:val="es-PR"/>
          <w14:ligatures w14:val="standardContextual"/>
        </w:rPr>
        <w:t xml:space="preserve">(d) El desembolso de los fondos se realizará en armonía con el marco de control fiscal y los procesos de </w:t>
      </w:r>
      <w:proofErr w:type="spellStart"/>
      <w:r w:rsidRPr="00265F5D">
        <w:rPr>
          <w:rFonts w:ascii="Book Antiqua" w:eastAsiaTheme="minorHAnsi" w:hAnsi="Book Antiqua" w:cstheme="minorBidi"/>
          <w:i/>
          <w:iCs/>
          <w:kern w:val="2"/>
          <w:szCs w:val="24"/>
          <w:u w:val="single"/>
          <w:lang w:val="es-PR"/>
          <w14:ligatures w14:val="standardContextual"/>
        </w:rPr>
        <w:t>preintervención</w:t>
      </w:r>
      <w:proofErr w:type="spellEnd"/>
      <w:r w:rsidRPr="00265F5D">
        <w:rPr>
          <w:rFonts w:ascii="Book Antiqua" w:eastAsiaTheme="minorHAnsi" w:hAnsi="Book Antiqua" w:cstheme="minorBidi"/>
          <w:i/>
          <w:iCs/>
          <w:kern w:val="2"/>
          <w:szCs w:val="24"/>
          <w:u w:val="single"/>
          <w:lang w:val="es-PR"/>
          <w14:ligatures w14:val="standardContextual"/>
        </w:rPr>
        <w:t xml:space="preserve"> del Departamento de Hacienda, conforme a la normativa vigente, garantizando la trazabilidad de las transacciones, la adecuada fiscalización, auditoría y el cumplimiento con las leyes y reglamentos aplicables.</w:t>
      </w:r>
    </w:p>
    <w:p w14:paraId="4EED42F8" w14:textId="6A4C50D9" w:rsidR="003B44CF" w:rsidRPr="003B44CF" w:rsidRDefault="003B44CF" w:rsidP="003B44CF">
      <w:pPr>
        <w:pStyle w:val="BodyText"/>
        <w:rPr>
          <w:rFonts w:ascii="Book Antiqua" w:hAnsi="Book Antiqua"/>
          <w:lang w:val="es-PR"/>
        </w:rPr>
      </w:pPr>
      <w:r>
        <w:rPr>
          <w:rFonts w:ascii="Book Antiqua" w:hAnsi="Book Antiqua"/>
          <w:lang w:val="es-PR"/>
        </w:rPr>
        <w:tab/>
      </w:r>
      <w:r w:rsidRPr="003B44CF">
        <w:rPr>
          <w:rFonts w:ascii="Book Antiqua" w:hAnsi="Book Antiqua"/>
          <w:lang w:val="es-PR"/>
        </w:rPr>
        <w:t>Sección 2.</w:t>
      </w:r>
      <w:r w:rsidR="009C10A1">
        <w:rPr>
          <w:rFonts w:ascii="Book Antiqua" w:hAnsi="Book Antiqua"/>
          <w:lang w:val="es-PR"/>
        </w:rPr>
        <w:t>-</w:t>
      </w:r>
      <w:r w:rsidRPr="003B44CF">
        <w:rPr>
          <w:rFonts w:ascii="Book Antiqua" w:hAnsi="Book Antiqua"/>
          <w:lang w:val="es-PR"/>
        </w:rPr>
        <w:t xml:space="preserve"> Supremacía.</w:t>
      </w:r>
    </w:p>
    <w:p w14:paraId="7F2F10E3" w14:textId="5A956AEA" w:rsidR="003B44CF" w:rsidRPr="003B44CF" w:rsidRDefault="003B44CF" w:rsidP="003B44CF">
      <w:pPr>
        <w:pStyle w:val="BodyText"/>
        <w:rPr>
          <w:rFonts w:ascii="Book Antiqua" w:hAnsi="Book Antiqua"/>
          <w:lang w:val="es-PR"/>
        </w:rPr>
      </w:pPr>
      <w:r>
        <w:rPr>
          <w:rFonts w:ascii="Book Antiqua" w:hAnsi="Book Antiqua"/>
          <w:lang w:val="es-PR"/>
        </w:rPr>
        <w:tab/>
      </w:r>
      <w:r w:rsidRPr="003B44CF">
        <w:rPr>
          <w:rFonts w:ascii="Book Antiqua" w:hAnsi="Book Antiqua"/>
          <w:lang w:val="es-PR"/>
        </w:rPr>
        <w:t>Las disposiciones de esta Ley prevalecerán sobre cualquier otra disposición de ley o reglamento que no estuviere en armonía con lo aquí establecido.</w:t>
      </w:r>
    </w:p>
    <w:p w14:paraId="4BA7CAC7" w14:textId="2EEE1772" w:rsidR="003B44CF" w:rsidRPr="003B44CF" w:rsidRDefault="003B44CF" w:rsidP="003B44CF">
      <w:pPr>
        <w:pStyle w:val="BodyText"/>
        <w:rPr>
          <w:rFonts w:ascii="Book Antiqua" w:hAnsi="Book Antiqua"/>
          <w:lang w:val="es-PR"/>
        </w:rPr>
      </w:pPr>
      <w:r>
        <w:rPr>
          <w:rFonts w:ascii="Book Antiqua" w:hAnsi="Book Antiqua"/>
          <w:lang w:val="es-PR"/>
        </w:rPr>
        <w:tab/>
      </w:r>
      <w:r w:rsidRPr="003B44CF">
        <w:rPr>
          <w:rFonts w:ascii="Book Antiqua" w:hAnsi="Book Antiqua"/>
          <w:lang w:val="es-PR"/>
        </w:rPr>
        <w:t>Sección 3.</w:t>
      </w:r>
      <w:r w:rsidR="009C10A1">
        <w:rPr>
          <w:rFonts w:ascii="Book Antiqua" w:hAnsi="Book Antiqua"/>
          <w:lang w:val="es-PR"/>
        </w:rPr>
        <w:t xml:space="preserve">- </w:t>
      </w:r>
      <w:r w:rsidRPr="003B44CF">
        <w:rPr>
          <w:rFonts w:ascii="Book Antiqua" w:hAnsi="Book Antiqua"/>
          <w:lang w:val="es-PR"/>
        </w:rPr>
        <w:t>Vigencia.</w:t>
      </w:r>
    </w:p>
    <w:p w14:paraId="6036CCA5" w14:textId="1F833A4D" w:rsidR="00C91865" w:rsidRDefault="009C10A1" w:rsidP="003B44CF">
      <w:pPr>
        <w:pStyle w:val="BodyText"/>
        <w:rPr>
          <w:rFonts w:ascii="Book Antiqua" w:hAnsi="Book Antiqua"/>
          <w:lang w:val="es-PR"/>
        </w:rPr>
      </w:pPr>
      <w:r>
        <w:rPr>
          <w:rFonts w:ascii="Book Antiqua" w:hAnsi="Book Antiqua"/>
          <w:lang w:val="es-PR"/>
        </w:rPr>
        <w:lastRenderedPageBreak/>
        <w:tab/>
      </w:r>
      <w:r w:rsidR="003B44CF" w:rsidRPr="003B44CF">
        <w:rPr>
          <w:rFonts w:ascii="Book Antiqua" w:hAnsi="Book Antiqua"/>
          <w:lang w:val="es-PR"/>
        </w:rPr>
        <w:t>Esta Ley entrará en vigor inmediatamente después de su aprobación.</w:t>
      </w:r>
      <w:bookmarkEnd w:id="3"/>
    </w:p>
    <w:p w14:paraId="36FF1B0D" w14:textId="77777777" w:rsidR="0043422D" w:rsidRDefault="0043422D" w:rsidP="0043422D">
      <w:pPr>
        <w:pStyle w:val="BodyText"/>
        <w:suppressLineNumbers/>
        <w:rPr>
          <w:rFonts w:ascii="Book Antiqua" w:hAnsi="Book Antiqua"/>
          <w:lang w:val="es-PR"/>
        </w:rPr>
      </w:pPr>
    </w:p>
    <w:p w14:paraId="2B49B16C" w14:textId="77777777" w:rsidR="0043422D" w:rsidRPr="00EB4B50" w:rsidRDefault="0043422D" w:rsidP="0043422D">
      <w:pPr>
        <w:pStyle w:val="BodyText"/>
        <w:suppressLineNumbers/>
        <w:rPr>
          <w:rFonts w:ascii="Book Antiqua" w:hAnsi="Book Antiqua"/>
          <w:lang w:val="es-PR"/>
        </w:rPr>
      </w:pPr>
    </w:p>
    <w:sectPr w:rsidR="0043422D" w:rsidRPr="00EB4B50" w:rsidSect="003B44CF">
      <w:footerReference w:type="default" r:id="rId16"/>
      <w:footerReference w:type="first" r:id="rId17"/>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BD0FA9" w14:textId="77777777" w:rsidR="000D3748" w:rsidRDefault="000D3748">
      <w:r>
        <w:separator/>
      </w:r>
    </w:p>
  </w:endnote>
  <w:endnote w:type="continuationSeparator" w:id="0">
    <w:p w14:paraId="61D7FBF0" w14:textId="77777777" w:rsidR="000D3748" w:rsidRDefault="000D3748">
      <w:r>
        <w:continuationSeparator/>
      </w:r>
    </w:p>
  </w:endnote>
  <w:endnote w:type="continuationNotice" w:id="1">
    <w:p w14:paraId="4B1C8B64" w14:textId="77777777" w:rsidR="000D3748" w:rsidRDefault="000D37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DXANP N+ Serifa B T,">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60C70" w14:textId="77777777" w:rsidR="003B44CF" w:rsidRDefault="003B44CF">
    <w:pPr>
      <w:widowControl w:val="0"/>
      <w:spacing w:line="276" w:lineRule="auto"/>
      <w:rPr>
        <w:color w:val="000000"/>
      </w:rPr>
    </w:pPr>
  </w:p>
  <w:tbl>
    <w:tblPr>
      <w:tblW w:w="9360" w:type="dxa"/>
      <w:tblLayout w:type="fixed"/>
      <w:tblLook w:val="04A0" w:firstRow="1" w:lastRow="0" w:firstColumn="1" w:lastColumn="0" w:noHBand="0" w:noVBand="1"/>
    </w:tblPr>
    <w:tblGrid>
      <w:gridCol w:w="3120"/>
      <w:gridCol w:w="3120"/>
      <w:gridCol w:w="3120"/>
    </w:tblGrid>
    <w:tr w:rsidR="003B44CF" w14:paraId="052A4BB0" w14:textId="77777777">
      <w:trPr>
        <w:trHeight w:val="300"/>
      </w:trPr>
      <w:tc>
        <w:tcPr>
          <w:tcW w:w="3120" w:type="dxa"/>
          <w:tcMar>
            <w:top w:w="0" w:type="dxa"/>
            <w:left w:w="108" w:type="dxa"/>
            <w:bottom w:w="0" w:type="dxa"/>
            <w:right w:w="108" w:type="dxa"/>
          </w:tcMar>
        </w:tcPr>
        <w:p w14:paraId="76780A36" w14:textId="77777777" w:rsidR="003B44CF" w:rsidRPr="00C5444E" w:rsidRDefault="003B44CF">
          <w:pPr>
            <w:tabs>
              <w:tab w:val="center" w:pos="4320"/>
              <w:tab w:val="right" w:pos="8640"/>
            </w:tabs>
            <w:ind w:left="-115"/>
            <w:rPr>
              <w:color w:val="000000"/>
            </w:rPr>
          </w:pPr>
        </w:p>
      </w:tc>
      <w:tc>
        <w:tcPr>
          <w:tcW w:w="3120" w:type="dxa"/>
          <w:tcMar>
            <w:top w:w="0" w:type="dxa"/>
            <w:left w:w="108" w:type="dxa"/>
            <w:bottom w:w="0" w:type="dxa"/>
            <w:right w:w="108" w:type="dxa"/>
          </w:tcMar>
        </w:tcPr>
        <w:p w14:paraId="762CBE89" w14:textId="77777777" w:rsidR="003B44CF" w:rsidRPr="00C5444E" w:rsidRDefault="003B44CF">
          <w:pPr>
            <w:tabs>
              <w:tab w:val="center" w:pos="4320"/>
              <w:tab w:val="right" w:pos="8640"/>
            </w:tabs>
            <w:jc w:val="center"/>
            <w:rPr>
              <w:color w:val="000000"/>
            </w:rPr>
          </w:pPr>
        </w:p>
      </w:tc>
      <w:tc>
        <w:tcPr>
          <w:tcW w:w="3120" w:type="dxa"/>
          <w:tcMar>
            <w:top w:w="0" w:type="dxa"/>
            <w:left w:w="108" w:type="dxa"/>
            <w:bottom w:w="0" w:type="dxa"/>
            <w:right w:w="108" w:type="dxa"/>
          </w:tcMar>
        </w:tcPr>
        <w:p w14:paraId="2D9696F7" w14:textId="77777777" w:rsidR="003B44CF" w:rsidRPr="00C5444E" w:rsidRDefault="003B44CF">
          <w:pPr>
            <w:tabs>
              <w:tab w:val="center" w:pos="4320"/>
              <w:tab w:val="right" w:pos="8640"/>
            </w:tabs>
            <w:ind w:right="-115"/>
            <w:jc w:val="right"/>
            <w:rPr>
              <w:color w:val="000000"/>
            </w:rPr>
          </w:pPr>
        </w:p>
      </w:tc>
    </w:tr>
  </w:tbl>
  <w:p w14:paraId="42A65D21" w14:textId="77777777" w:rsidR="003B44CF" w:rsidRDefault="003B44CF">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EAA78" w14:textId="77777777" w:rsidR="003B44CF" w:rsidRDefault="003B44CF">
    <w:pPr>
      <w:widowControl w:val="0"/>
      <w:spacing w:line="276" w:lineRule="auto"/>
      <w:rPr>
        <w:color w:val="000000"/>
      </w:rPr>
    </w:pPr>
  </w:p>
  <w:tbl>
    <w:tblPr>
      <w:tblW w:w="9360" w:type="dxa"/>
      <w:tblLayout w:type="fixed"/>
      <w:tblLook w:val="04A0" w:firstRow="1" w:lastRow="0" w:firstColumn="1" w:lastColumn="0" w:noHBand="0" w:noVBand="1"/>
    </w:tblPr>
    <w:tblGrid>
      <w:gridCol w:w="3120"/>
      <w:gridCol w:w="3120"/>
      <w:gridCol w:w="3120"/>
    </w:tblGrid>
    <w:tr w:rsidR="003B44CF" w14:paraId="1921871F" w14:textId="77777777">
      <w:trPr>
        <w:trHeight w:val="300"/>
      </w:trPr>
      <w:tc>
        <w:tcPr>
          <w:tcW w:w="3120" w:type="dxa"/>
          <w:tcMar>
            <w:top w:w="0" w:type="dxa"/>
            <w:left w:w="108" w:type="dxa"/>
            <w:bottom w:w="0" w:type="dxa"/>
            <w:right w:w="108" w:type="dxa"/>
          </w:tcMar>
        </w:tcPr>
        <w:p w14:paraId="50CE74AB" w14:textId="77777777" w:rsidR="003B44CF" w:rsidRPr="00C5444E" w:rsidRDefault="003B44CF">
          <w:pPr>
            <w:tabs>
              <w:tab w:val="center" w:pos="4320"/>
              <w:tab w:val="right" w:pos="8640"/>
            </w:tabs>
            <w:ind w:left="-115"/>
            <w:rPr>
              <w:color w:val="000000"/>
            </w:rPr>
          </w:pPr>
        </w:p>
      </w:tc>
      <w:tc>
        <w:tcPr>
          <w:tcW w:w="3120" w:type="dxa"/>
          <w:tcMar>
            <w:top w:w="0" w:type="dxa"/>
            <w:left w:w="108" w:type="dxa"/>
            <w:bottom w:w="0" w:type="dxa"/>
            <w:right w:w="108" w:type="dxa"/>
          </w:tcMar>
        </w:tcPr>
        <w:p w14:paraId="1B5EA202" w14:textId="77777777" w:rsidR="003B44CF" w:rsidRPr="00C5444E" w:rsidRDefault="003B44CF">
          <w:pPr>
            <w:tabs>
              <w:tab w:val="center" w:pos="4320"/>
              <w:tab w:val="right" w:pos="8640"/>
            </w:tabs>
            <w:jc w:val="center"/>
            <w:rPr>
              <w:color w:val="000000"/>
            </w:rPr>
          </w:pPr>
        </w:p>
      </w:tc>
      <w:tc>
        <w:tcPr>
          <w:tcW w:w="3120" w:type="dxa"/>
          <w:tcMar>
            <w:top w:w="0" w:type="dxa"/>
            <w:left w:w="108" w:type="dxa"/>
            <w:bottom w:w="0" w:type="dxa"/>
            <w:right w:w="108" w:type="dxa"/>
          </w:tcMar>
        </w:tcPr>
        <w:p w14:paraId="1879F10F" w14:textId="77777777" w:rsidR="003B44CF" w:rsidRPr="00C5444E" w:rsidRDefault="003B44CF">
          <w:pPr>
            <w:tabs>
              <w:tab w:val="center" w:pos="4320"/>
              <w:tab w:val="right" w:pos="8640"/>
            </w:tabs>
            <w:ind w:right="-115"/>
            <w:jc w:val="right"/>
            <w:rPr>
              <w:color w:val="000000"/>
            </w:rPr>
          </w:pPr>
        </w:p>
      </w:tc>
    </w:tr>
  </w:tbl>
  <w:p w14:paraId="36496C5B" w14:textId="77777777" w:rsidR="003B44CF" w:rsidRDefault="003B44CF">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79DEE1" w14:textId="77777777" w:rsidR="000D3748" w:rsidRDefault="000D3748">
      <w:r>
        <w:separator/>
      </w:r>
    </w:p>
  </w:footnote>
  <w:footnote w:type="continuationSeparator" w:id="0">
    <w:p w14:paraId="3EA6F25E" w14:textId="77777777" w:rsidR="000D3748" w:rsidRDefault="000D3748">
      <w:r>
        <w:continuationSeparator/>
      </w:r>
    </w:p>
  </w:footnote>
  <w:footnote w:type="continuationNotice" w:id="1">
    <w:p w14:paraId="72E03454" w14:textId="77777777" w:rsidR="000D3748" w:rsidRDefault="000D374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2" w14:textId="77777777" w:rsidR="007F61B2" w:rsidRDefault="008308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2234033" w14:textId="77777777" w:rsidR="007F61B2" w:rsidRDefault="007F61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4" w14:textId="76BC11B2" w:rsidR="007F61B2" w:rsidRDefault="008308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t>3</w:t>
    </w:r>
    <w:r>
      <w:rPr>
        <w:rStyle w:val="PageNumber"/>
      </w:rPr>
      <w:fldChar w:fldCharType="end"/>
    </w:r>
  </w:p>
  <w:p w14:paraId="02234035" w14:textId="77777777" w:rsidR="007F61B2" w:rsidRDefault="007F61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2899A" w14:textId="77777777" w:rsidR="001F7A9F" w:rsidRDefault="001F7A9F" w:rsidP="001F7A9F">
    <w:pPr>
      <w:keepNext/>
      <w:suppressLineNumbers/>
      <w:tabs>
        <w:tab w:val="center" w:pos="4320"/>
        <w:tab w:val="right" w:pos="8640"/>
      </w:tabs>
      <w:autoSpaceDE w:val="0"/>
      <w:autoSpaceDN w:val="0"/>
      <w:adjustRightInd w:val="0"/>
      <w:jc w:val="center"/>
      <w:rPr>
        <w:rFonts w:ascii="Book Antiqua" w:hAnsi="Book Antiqua"/>
        <w:b/>
        <w:lang w:val="es-ES"/>
      </w:rPr>
    </w:pPr>
    <w:bookmarkStart w:id="0" w:name="_Hlk36034857"/>
    <w:r>
      <w:rPr>
        <w:rFonts w:ascii="Book Antiqua" w:eastAsia="MS Mincho" w:hAnsi="Book Antiqua" w:cs="Arial"/>
        <w:b/>
        <w:lang w:val="es-PR"/>
      </w:rPr>
      <w:t>TEXTO APROBADO EN VOTACIÓN FINAL POR EL SENADO</w:t>
    </w:r>
  </w:p>
  <w:p w14:paraId="6675ABF7" w14:textId="20234BA1" w:rsidR="001F7A9F" w:rsidRDefault="001F7A9F" w:rsidP="001F7A9F">
    <w:pPr>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cs="Arial"/>
        <w:b/>
        <w:lang w:val="es-PR"/>
      </w:rPr>
    </w:pPr>
    <w:r>
      <w:rPr>
        <w:rFonts w:ascii="Book Antiqua" w:eastAsia="MS Mincho" w:hAnsi="Book Antiqua" w:cs="Arial"/>
        <w:b/>
      </w:rPr>
      <w:t>(30 DE MARZO DE 2026)</w:t>
    </w:r>
    <w:bookmarkEnd w:id="0"/>
  </w:p>
  <w:p w14:paraId="02234038" w14:textId="239A1EAD" w:rsidR="007F61B2" w:rsidRPr="00C60B4E" w:rsidRDefault="00C60B4E" w:rsidP="00C60B4E">
    <w:pPr>
      <w:pStyle w:val="Header"/>
      <w:jc w:val="right"/>
      <w:rPr>
        <w:lang w:val="en-US"/>
      </w:rPr>
    </w:pPr>
    <w:r>
      <w:rPr>
        <w:lang w:val="en-US"/>
      </w:rPr>
      <w:t>A-0</w:t>
    </w:r>
    <w:r w:rsidR="00793FB1">
      <w:rPr>
        <w:lang w:val="en-US"/>
      </w:rPr>
      <w:t>9</w:t>
    </w:r>
    <w:r w:rsidR="00057584">
      <w:rPr>
        <w:lang w:val="en-US"/>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432B"/>
    <w:multiLevelType w:val="hybridMultilevel"/>
    <w:tmpl w:val="F4F84DF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C4314C"/>
    <w:multiLevelType w:val="hybridMultilevel"/>
    <w:tmpl w:val="D7FC9D40"/>
    <w:lvl w:ilvl="0" w:tplc="A196A33C">
      <w:start w:val="1"/>
      <w:numFmt w:val="lowerRoman"/>
      <w:lvlText w:val="%1."/>
      <w:lvlJc w:val="right"/>
      <w:pPr>
        <w:ind w:left="720" w:firstLine="72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5FC40DA"/>
    <w:multiLevelType w:val="hybridMultilevel"/>
    <w:tmpl w:val="B05E7F7E"/>
    <w:lvl w:ilvl="0" w:tplc="9CE2F166">
      <w:start w:val="1"/>
      <w:numFmt w:val="decimal"/>
      <w:lvlText w:val="%1."/>
      <w:lvlJc w:val="left"/>
      <w:pPr>
        <w:ind w:left="1260" w:hanging="360"/>
      </w:pPr>
      <w:rPr>
        <w:rFonts w:hint="default"/>
        <w:strike/>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08E90DBA"/>
    <w:multiLevelType w:val="multilevel"/>
    <w:tmpl w:val="08E90DBA"/>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12C36F8F"/>
    <w:multiLevelType w:val="hybridMultilevel"/>
    <w:tmpl w:val="0A20E4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9F45A1"/>
    <w:multiLevelType w:val="hybridMultilevel"/>
    <w:tmpl w:val="E7B6ED0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24451AD"/>
    <w:multiLevelType w:val="hybridMultilevel"/>
    <w:tmpl w:val="61241950"/>
    <w:lvl w:ilvl="0" w:tplc="6A98DCB4">
      <w:start w:val="1"/>
      <w:numFmt w:val="upperLetter"/>
      <w:lvlText w:val="(%1)"/>
      <w:lvlJc w:val="left"/>
      <w:pPr>
        <w:ind w:left="1305" w:hanging="405"/>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2A4020DA"/>
    <w:multiLevelType w:val="hybridMultilevel"/>
    <w:tmpl w:val="2C2CEED4"/>
    <w:lvl w:ilvl="0" w:tplc="2DE617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9A6A59"/>
    <w:multiLevelType w:val="hybridMultilevel"/>
    <w:tmpl w:val="0CEE646C"/>
    <w:lvl w:ilvl="0" w:tplc="E27C45B4">
      <w:start w:val="1"/>
      <w:numFmt w:val="lowerLetter"/>
      <w:lvlText w:val="(%1)"/>
      <w:lvlJc w:val="left"/>
      <w:pPr>
        <w:ind w:left="0" w:firstLine="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3" w15:restartNumberingAfterBreak="0">
    <w:nsid w:val="3A6D1429"/>
    <w:multiLevelType w:val="multilevel"/>
    <w:tmpl w:val="3A6D1429"/>
    <w:lvl w:ilvl="0">
      <w:start w:val="1"/>
      <w:numFmt w:val="decimal"/>
      <w:lvlText w:val="(%1)"/>
      <w:lvlJc w:val="left"/>
      <w:pPr>
        <w:ind w:left="1808" w:hanging="360"/>
      </w:pPr>
      <w:rPr>
        <w:vertAlign w:val="baseline"/>
      </w:rPr>
    </w:lvl>
    <w:lvl w:ilvl="1">
      <w:start w:val="1"/>
      <w:numFmt w:val="lowerLetter"/>
      <w:lvlText w:val="%2."/>
      <w:lvlJc w:val="left"/>
      <w:pPr>
        <w:ind w:left="2528" w:hanging="360"/>
      </w:pPr>
      <w:rPr>
        <w:vertAlign w:val="baseline"/>
      </w:rPr>
    </w:lvl>
    <w:lvl w:ilvl="2">
      <w:start w:val="1"/>
      <w:numFmt w:val="lowerRoman"/>
      <w:lvlText w:val="%3."/>
      <w:lvlJc w:val="right"/>
      <w:pPr>
        <w:ind w:left="3248" w:hanging="180"/>
      </w:pPr>
      <w:rPr>
        <w:vertAlign w:val="baseline"/>
      </w:rPr>
    </w:lvl>
    <w:lvl w:ilvl="3">
      <w:start w:val="1"/>
      <w:numFmt w:val="decimal"/>
      <w:lvlText w:val="%4."/>
      <w:lvlJc w:val="left"/>
      <w:pPr>
        <w:ind w:left="3968" w:hanging="360"/>
      </w:pPr>
      <w:rPr>
        <w:vertAlign w:val="baseline"/>
      </w:rPr>
    </w:lvl>
    <w:lvl w:ilvl="4">
      <w:start w:val="1"/>
      <w:numFmt w:val="lowerLetter"/>
      <w:lvlText w:val="%5."/>
      <w:lvlJc w:val="left"/>
      <w:pPr>
        <w:ind w:left="4688" w:hanging="360"/>
      </w:pPr>
      <w:rPr>
        <w:vertAlign w:val="baseline"/>
      </w:rPr>
    </w:lvl>
    <w:lvl w:ilvl="5">
      <w:start w:val="1"/>
      <w:numFmt w:val="lowerRoman"/>
      <w:lvlText w:val="%6."/>
      <w:lvlJc w:val="right"/>
      <w:pPr>
        <w:ind w:left="5408" w:hanging="180"/>
      </w:pPr>
      <w:rPr>
        <w:vertAlign w:val="baseline"/>
      </w:rPr>
    </w:lvl>
    <w:lvl w:ilvl="6">
      <w:start w:val="1"/>
      <w:numFmt w:val="decimal"/>
      <w:lvlText w:val="%7."/>
      <w:lvlJc w:val="left"/>
      <w:pPr>
        <w:ind w:left="6128" w:hanging="360"/>
      </w:pPr>
      <w:rPr>
        <w:vertAlign w:val="baseline"/>
      </w:rPr>
    </w:lvl>
    <w:lvl w:ilvl="7">
      <w:start w:val="1"/>
      <w:numFmt w:val="lowerLetter"/>
      <w:lvlText w:val="%8."/>
      <w:lvlJc w:val="left"/>
      <w:pPr>
        <w:ind w:left="6848" w:hanging="360"/>
      </w:pPr>
      <w:rPr>
        <w:vertAlign w:val="baseline"/>
      </w:rPr>
    </w:lvl>
    <w:lvl w:ilvl="8">
      <w:start w:val="1"/>
      <w:numFmt w:val="lowerRoman"/>
      <w:lvlText w:val="%9."/>
      <w:lvlJc w:val="right"/>
      <w:pPr>
        <w:ind w:left="7568" w:hanging="180"/>
      </w:pPr>
      <w:rPr>
        <w:vertAlign w:val="baseline"/>
      </w:rPr>
    </w:lvl>
  </w:abstractNum>
  <w:abstractNum w:abstractNumId="14" w15:restartNumberingAfterBreak="0">
    <w:nsid w:val="43E728CF"/>
    <w:multiLevelType w:val="hybridMultilevel"/>
    <w:tmpl w:val="7C46F14E"/>
    <w:lvl w:ilvl="0" w:tplc="B4EC7A8E">
      <w:start w:val="1"/>
      <w:numFmt w:val="lowerRoman"/>
      <w:lvlText w:val="%1."/>
      <w:lvlJc w:val="left"/>
      <w:pPr>
        <w:ind w:left="720" w:firstLine="720"/>
      </w:pPr>
      <w:rPr>
        <w:rFonts w:hint="default"/>
      </w:r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5"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28D300C"/>
    <w:multiLevelType w:val="hybridMultilevel"/>
    <w:tmpl w:val="CDF6F1EE"/>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96B1637"/>
    <w:multiLevelType w:val="hybridMultilevel"/>
    <w:tmpl w:val="8D48A9D6"/>
    <w:lvl w:ilvl="0" w:tplc="43E2A924">
      <w:start w:val="1"/>
      <w:numFmt w:val="lowerRoman"/>
      <w:lvlText w:val="%1."/>
      <w:lvlJc w:val="left"/>
      <w:pPr>
        <w:ind w:left="720" w:firstLine="720"/>
      </w:pPr>
      <w:rPr>
        <w:rFonts w:hint="default"/>
      </w:rPr>
    </w:lvl>
    <w:lvl w:ilvl="1" w:tplc="20000019">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20" w15:restartNumberingAfterBreak="0">
    <w:nsid w:val="597D51CD"/>
    <w:multiLevelType w:val="hybridMultilevel"/>
    <w:tmpl w:val="1A2ED33C"/>
    <w:lvl w:ilvl="0" w:tplc="39D03A54">
      <w:start w:val="1"/>
      <w:numFmt w:val="lowerLetter"/>
      <w:lvlText w:val="(%1)"/>
      <w:lvlJc w:val="left"/>
      <w:pPr>
        <w:ind w:left="0" w:firstLine="720"/>
      </w:pPr>
      <w:rPr>
        <w:rFonts w:hint="default"/>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1"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A046703"/>
    <w:multiLevelType w:val="hybridMultilevel"/>
    <w:tmpl w:val="427607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148936030">
    <w:abstractNumId w:val="13"/>
  </w:num>
  <w:num w:numId="2" w16cid:durableId="2037927756">
    <w:abstractNumId w:val="10"/>
  </w:num>
  <w:num w:numId="3" w16cid:durableId="508376565">
    <w:abstractNumId w:val="15"/>
  </w:num>
  <w:num w:numId="4" w16cid:durableId="216819222">
    <w:abstractNumId w:val="11"/>
  </w:num>
  <w:num w:numId="5" w16cid:durableId="517544549">
    <w:abstractNumId w:val="21"/>
  </w:num>
  <w:num w:numId="6" w16cid:durableId="478498451">
    <w:abstractNumId w:val="9"/>
  </w:num>
  <w:num w:numId="7" w16cid:durableId="46998239">
    <w:abstractNumId w:val="23"/>
  </w:num>
  <w:num w:numId="8" w16cid:durableId="275597364">
    <w:abstractNumId w:val="5"/>
  </w:num>
  <w:num w:numId="9" w16cid:durableId="1126703027">
    <w:abstractNumId w:val="3"/>
  </w:num>
  <w:num w:numId="10" w16cid:durableId="1162702400">
    <w:abstractNumId w:val="6"/>
  </w:num>
  <w:num w:numId="11" w16cid:durableId="2055156664">
    <w:abstractNumId w:val="16"/>
  </w:num>
  <w:num w:numId="12" w16cid:durableId="1121461949">
    <w:abstractNumId w:val="18"/>
  </w:num>
  <w:num w:numId="13" w16cid:durableId="261303919">
    <w:abstractNumId w:val="4"/>
  </w:num>
  <w:num w:numId="14" w16cid:durableId="1608542314">
    <w:abstractNumId w:val="0"/>
  </w:num>
  <w:num w:numId="15" w16cid:durableId="687564547">
    <w:abstractNumId w:val="1"/>
  </w:num>
  <w:num w:numId="16" w16cid:durableId="273637373">
    <w:abstractNumId w:val="12"/>
  </w:num>
  <w:num w:numId="17" w16cid:durableId="1320235784">
    <w:abstractNumId w:val="19"/>
  </w:num>
  <w:num w:numId="18" w16cid:durableId="1401176248">
    <w:abstractNumId w:val="20"/>
  </w:num>
  <w:num w:numId="19" w16cid:durableId="376929053">
    <w:abstractNumId w:val="14"/>
  </w:num>
  <w:num w:numId="20" w16cid:durableId="262231328">
    <w:abstractNumId w:val="17"/>
  </w:num>
  <w:num w:numId="21" w16cid:durableId="2065105753">
    <w:abstractNumId w:val="7"/>
  </w:num>
  <w:num w:numId="22" w16cid:durableId="1804614622">
    <w:abstractNumId w:val="22"/>
  </w:num>
  <w:num w:numId="23" w16cid:durableId="478421519">
    <w:abstractNumId w:val="2"/>
  </w:num>
  <w:num w:numId="24" w16cid:durableId="190382770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5FA"/>
    <w:rsid w:val="00005CEB"/>
    <w:rsid w:val="00014190"/>
    <w:rsid w:val="00014A7E"/>
    <w:rsid w:val="000164BB"/>
    <w:rsid w:val="00020EA3"/>
    <w:rsid w:val="000270A5"/>
    <w:rsid w:val="0004098B"/>
    <w:rsid w:val="00045F08"/>
    <w:rsid w:val="00057584"/>
    <w:rsid w:val="000579C4"/>
    <w:rsid w:val="00062B92"/>
    <w:rsid w:val="00063D14"/>
    <w:rsid w:val="000659E0"/>
    <w:rsid w:val="000741B3"/>
    <w:rsid w:val="00076D71"/>
    <w:rsid w:val="00076E80"/>
    <w:rsid w:val="000866CA"/>
    <w:rsid w:val="0009772C"/>
    <w:rsid w:val="000A1D21"/>
    <w:rsid w:val="000A1D5C"/>
    <w:rsid w:val="000A4C96"/>
    <w:rsid w:val="000A5112"/>
    <w:rsid w:val="000B0936"/>
    <w:rsid w:val="000C2412"/>
    <w:rsid w:val="000D129F"/>
    <w:rsid w:val="000D3748"/>
    <w:rsid w:val="000D67C9"/>
    <w:rsid w:val="000E25DA"/>
    <w:rsid w:val="000E5ABE"/>
    <w:rsid w:val="000E6A9E"/>
    <w:rsid w:val="000F2477"/>
    <w:rsid w:val="000F3B48"/>
    <w:rsid w:val="00100AF1"/>
    <w:rsid w:val="001016AC"/>
    <w:rsid w:val="0010370A"/>
    <w:rsid w:val="0011023B"/>
    <w:rsid w:val="00112D3D"/>
    <w:rsid w:val="00121A8C"/>
    <w:rsid w:val="00151B88"/>
    <w:rsid w:val="00151EAB"/>
    <w:rsid w:val="00154D43"/>
    <w:rsid w:val="00154FD3"/>
    <w:rsid w:val="001614B1"/>
    <w:rsid w:val="00167892"/>
    <w:rsid w:val="00170D6C"/>
    <w:rsid w:val="00176176"/>
    <w:rsid w:val="00183D59"/>
    <w:rsid w:val="001855E6"/>
    <w:rsid w:val="0019638B"/>
    <w:rsid w:val="00196959"/>
    <w:rsid w:val="001A4F66"/>
    <w:rsid w:val="001A7DF2"/>
    <w:rsid w:val="001B27CD"/>
    <w:rsid w:val="001B45AF"/>
    <w:rsid w:val="001B6435"/>
    <w:rsid w:val="001C1A00"/>
    <w:rsid w:val="001C5485"/>
    <w:rsid w:val="001D7752"/>
    <w:rsid w:val="001E08D1"/>
    <w:rsid w:val="001F5E7F"/>
    <w:rsid w:val="001F7A9F"/>
    <w:rsid w:val="00203A46"/>
    <w:rsid w:val="00206653"/>
    <w:rsid w:val="0021171A"/>
    <w:rsid w:val="00231429"/>
    <w:rsid w:val="002354F5"/>
    <w:rsid w:val="0023774B"/>
    <w:rsid w:val="0024422E"/>
    <w:rsid w:val="00247D33"/>
    <w:rsid w:val="002541AD"/>
    <w:rsid w:val="00254612"/>
    <w:rsid w:val="00265F5D"/>
    <w:rsid w:val="00271EE7"/>
    <w:rsid w:val="0027475C"/>
    <w:rsid w:val="00274D04"/>
    <w:rsid w:val="0027683B"/>
    <w:rsid w:val="00283306"/>
    <w:rsid w:val="00293AAF"/>
    <w:rsid w:val="00294DCD"/>
    <w:rsid w:val="00296F04"/>
    <w:rsid w:val="002972D2"/>
    <w:rsid w:val="002A2E3E"/>
    <w:rsid w:val="002A5F56"/>
    <w:rsid w:val="002A684D"/>
    <w:rsid w:val="002B42DB"/>
    <w:rsid w:val="002B5D05"/>
    <w:rsid w:val="002B635D"/>
    <w:rsid w:val="002C09F7"/>
    <w:rsid w:val="002C454D"/>
    <w:rsid w:val="002D29E2"/>
    <w:rsid w:val="002D2C15"/>
    <w:rsid w:val="002D5613"/>
    <w:rsid w:val="002E5701"/>
    <w:rsid w:val="002E6517"/>
    <w:rsid w:val="002F6C22"/>
    <w:rsid w:val="003007AB"/>
    <w:rsid w:val="00306C4B"/>
    <w:rsid w:val="00306D6F"/>
    <w:rsid w:val="0030725B"/>
    <w:rsid w:val="00310A31"/>
    <w:rsid w:val="0031489E"/>
    <w:rsid w:val="00326CBF"/>
    <w:rsid w:val="003309F7"/>
    <w:rsid w:val="00336436"/>
    <w:rsid w:val="0034109D"/>
    <w:rsid w:val="003438BE"/>
    <w:rsid w:val="003465AB"/>
    <w:rsid w:val="003475FA"/>
    <w:rsid w:val="00350A18"/>
    <w:rsid w:val="00353DAF"/>
    <w:rsid w:val="00357876"/>
    <w:rsid w:val="00361B2B"/>
    <w:rsid w:val="00366A6D"/>
    <w:rsid w:val="00367F94"/>
    <w:rsid w:val="00370898"/>
    <w:rsid w:val="003718F2"/>
    <w:rsid w:val="003848FF"/>
    <w:rsid w:val="00395EF3"/>
    <w:rsid w:val="00396297"/>
    <w:rsid w:val="003A7944"/>
    <w:rsid w:val="003B343A"/>
    <w:rsid w:val="003B44CF"/>
    <w:rsid w:val="003B7E24"/>
    <w:rsid w:val="003C15C9"/>
    <w:rsid w:val="003C2BBB"/>
    <w:rsid w:val="003D3DB3"/>
    <w:rsid w:val="003D4D7E"/>
    <w:rsid w:val="003E247C"/>
    <w:rsid w:val="003E2A06"/>
    <w:rsid w:val="003F1396"/>
    <w:rsid w:val="003F3C4F"/>
    <w:rsid w:val="003F3D81"/>
    <w:rsid w:val="003F565B"/>
    <w:rsid w:val="004053B1"/>
    <w:rsid w:val="00410446"/>
    <w:rsid w:val="004142B3"/>
    <w:rsid w:val="00417589"/>
    <w:rsid w:val="004178C9"/>
    <w:rsid w:val="004200C7"/>
    <w:rsid w:val="00420984"/>
    <w:rsid w:val="0043422D"/>
    <w:rsid w:val="004366F6"/>
    <w:rsid w:val="00441832"/>
    <w:rsid w:val="00441E7B"/>
    <w:rsid w:val="00443336"/>
    <w:rsid w:val="004433CA"/>
    <w:rsid w:val="00447E1B"/>
    <w:rsid w:val="004512E8"/>
    <w:rsid w:val="00452905"/>
    <w:rsid w:val="004547A7"/>
    <w:rsid w:val="00463D73"/>
    <w:rsid w:val="00464285"/>
    <w:rsid w:val="00467979"/>
    <w:rsid w:val="0047581C"/>
    <w:rsid w:val="00477188"/>
    <w:rsid w:val="00477788"/>
    <w:rsid w:val="00484A39"/>
    <w:rsid w:val="004851CC"/>
    <w:rsid w:val="0048628A"/>
    <w:rsid w:val="00486D91"/>
    <w:rsid w:val="00492CD7"/>
    <w:rsid w:val="004A24C6"/>
    <w:rsid w:val="004A41D0"/>
    <w:rsid w:val="004B278A"/>
    <w:rsid w:val="004B2F36"/>
    <w:rsid w:val="004B68F9"/>
    <w:rsid w:val="004C178C"/>
    <w:rsid w:val="004C5E2E"/>
    <w:rsid w:val="004C670A"/>
    <w:rsid w:val="004D04DE"/>
    <w:rsid w:val="004D0718"/>
    <w:rsid w:val="004D3FBD"/>
    <w:rsid w:val="004D406E"/>
    <w:rsid w:val="004D6AE4"/>
    <w:rsid w:val="004E2CE2"/>
    <w:rsid w:val="004E2E81"/>
    <w:rsid w:val="004E57F6"/>
    <w:rsid w:val="004E62D8"/>
    <w:rsid w:val="004F7331"/>
    <w:rsid w:val="0050380A"/>
    <w:rsid w:val="00504471"/>
    <w:rsid w:val="00506A16"/>
    <w:rsid w:val="005130BF"/>
    <w:rsid w:val="00523805"/>
    <w:rsid w:val="005332AA"/>
    <w:rsid w:val="00552A30"/>
    <w:rsid w:val="00557D84"/>
    <w:rsid w:val="00560A03"/>
    <w:rsid w:val="00561180"/>
    <w:rsid w:val="0056407E"/>
    <w:rsid w:val="0057356F"/>
    <w:rsid w:val="00580F55"/>
    <w:rsid w:val="00593C7F"/>
    <w:rsid w:val="00594085"/>
    <w:rsid w:val="005A119E"/>
    <w:rsid w:val="005A183F"/>
    <w:rsid w:val="005A37CE"/>
    <w:rsid w:val="005A4CFA"/>
    <w:rsid w:val="005A5437"/>
    <w:rsid w:val="005B67C4"/>
    <w:rsid w:val="005D1822"/>
    <w:rsid w:val="005D4C44"/>
    <w:rsid w:val="005D5738"/>
    <w:rsid w:val="005E4879"/>
    <w:rsid w:val="005E5478"/>
    <w:rsid w:val="005E5FE3"/>
    <w:rsid w:val="005E62A5"/>
    <w:rsid w:val="005E75FF"/>
    <w:rsid w:val="005F02A0"/>
    <w:rsid w:val="005F197B"/>
    <w:rsid w:val="005F492A"/>
    <w:rsid w:val="00600473"/>
    <w:rsid w:val="00601919"/>
    <w:rsid w:val="006031E1"/>
    <w:rsid w:val="0061681A"/>
    <w:rsid w:val="00624EE4"/>
    <w:rsid w:val="00631CBE"/>
    <w:rsid w:val="006329AB"/>
    <w:rsid w:val="006408D2"/>
    <w:rsid w:val="00641191"/>
    <w:rsid w:val="00646680"/>
    <w:rsid w:val="00650175"/>
    <w:rsid w:val="00650529"/>
    <w:rsid w:val="00651941"/>
    <w:rsid w:val="00652773"/>
    <w:rsid w:val="006534FD"/>
    <w:rsid w:val="00653E7E"/>
    <w:rsid w:val="00664C3F"/>
    <w:rsid w:val="00666535"/>
    <w:rsid w:val="00667B4D"/>
    <w:rsid w:val="00672EC7"/>
    <w:rsid w:val="00683A9C"/>
    <w:rsid w:val="006859AB"/>
    <w:rsid w:val="00690BA5"/>
    <w:rsid w:val="006941F5"/>
    <w:rsid w:val="006956FE"/>
    <w:rsid w:val="00697A07"/>
    <w:rsid w:val="00697AA5"/>
    <w:rsid w:val="006A4836"/>
    <w:rsid w:val="006B0DE4"/>
    <w:rsid w:val="006B102E"/>
    <w:rsid w:val="006B2595"/>
    <w:rsid w:val="006B3260"/>
    <w:rsid w:val="006B5B38"/>
    <w:rsid w:val="006B6474"/>
    <w:rsid w:val="006C22CA"/>
    <w:rsid w:val="006C7979"/>
    <w:rsid w:val="006D4DDC"/>
    <w:rsid w:val="006D6F10"/>
    <w:rsid w:val="006E101C"/>
    <w:rsid w:val="006E2726"/>
    <w:rsid w:val="006E5CFC"/>
    <w:rsid w:val="006E77D4"/>
    <w:rsid w:val="006E782B"/>
    <w:rsid w:val="006F0E20"/>
    <w:rsid w:val="006F4EDF"/>
    <w:rsid w:val="006F64F8"/>
    <w:rsid w:val="007026D1"/>
    <w:rsid w:val="00704D1B"/>
    <w:rsid w:val="007107D9"/>
    <w:rsid w:val="007151E8"/>
    <w:rsid w:val="007156C7"/>
    <w:rsid w:val="007160C5"/>
    <w:rsid w:val="00723722"/>
    <w:rsid w:val="007254CC"/>
    <w:rsid w:val="007409EB"/>
    <w:rsid w:val="007429F0"/>
    <w:rsid w:val="00747032"/>
    <w:rsid w:val="007549F4"/>
    <w:rsid w:val="00761F10"/>
    <w:rsid w:val="007775FF"/>
    <w:rsid w:val="00785210"/>
    <w:rsid w:val="007913C2"/>
    <w:rsid w:val="00792036"/>
    <w:rsid w:val="00793FB1"/>
    <w:rsid w:val="00796A1D"/>
    <w:rsid w:val="007A4890"/>
    <w:rsid w:val="007A4AD0"/>
    <w:rsid w:val="007A7038"/>
    <w:rsid w:val="007B0DBF"/>
    <w:rsid w:val="007B3D22"/>
    <w:rsid w:val="007C018A"/>
    <w:rsid w:val="007C2ABA"/>
    <w:rsid w:val="007C73C1"/>
    <w:rsid w:val="007D02AC"/>
    <w:rsid w:val="007D04C1"/>
    <w:rsid w:val="007D2643"/>
    <w:rsid w:val="007D542B"/>
    <w:rsid w:val="007E7423"/>
    <w:rsid w:val="007F42C2"/>
    <w:rsid w:val="007F58AC"/>
    <w:rsid w:val="007F61B2"/>
    <w:rsid w:val="008027D7"/>
    <w:rsid w:val="00807747"/>
    <w:rsid w:val="0081147A"/>
    <w:rsid w:val="00820557"/>
    <w:rsid w:val="00820D67"/>
    <w:rsid w:val="00822EB0"/>
    <w:rsid w:val="0083082B"/>
    <w:rsid w:val="00836D91"/>
    <w:rsid w:val="00840D0F"/>
    <w:rsid w:val="00843AAE"/>
    <w:rsid w:val="00851372"/>
    <w:rsid w:val="008529AB"/>
    <w:rsid w:val="008552D1"/>
    <w:rsid w:val="00867902"/>
    <w:rsid w:val="008763F7"/>
    <w:rsid w:val="00877906"/>
    <w:rsid w:val="00883F2D"/>
    <w:rsid w:val="00890999"/>
    <w:rsid w:val="00894201"/>
    <w:rsid w:val="008968F0"/>
    <w:rsid w:val="008A57BD"/>
    <w:rsid w:val="008B1FE6"/>
    <w:rsid w:val="008B307B"/>
    <w:rsid w:val="008B5572"/>
    <w:rsid w:val="008C17D4"/>
    <w:rsid w:val="008D0C41"/>
    <w:rsid w:val="008E045D"/>
    <w:rsid w:val="008E11EF"/>
    <w:rsid w:val="008E480B"/>
    <w:rsid w:val="008F3657"/>
    <w:rsid w:val="008F6826"/>
    <w:rsid w:val="008F6EA1"/>
    <w:rsid w:val="0090363D"/>
    <w:rsid w:val="0092574A"/>
    <w:rsid w:val="00926BC1"/>
    <w:rsid w:val="009320A8"/>
    <w:rsid w:val="00940544"/>
    <w:rsid w:val="0094294A"/>
    <w:rsid w:val="009434A9"/>
    <w:rsid w:val="00945971"/>
    <w:rsid w:val="00960475"/>
    <w:rsid w:val="009617D5"/>
    <w:rsid w:val="00961DDB"/>
    <w:rsid w:val="00966FA9"/>
    <w:rsid w:val="009771FC"/>
    <w:rsid w:val="009812E2"/>
    <w:rsid w:val="009A05A3"/>
    <w:rsid w:val="009A741D"/>
    <w:rsid w:val="009A787A"/>
    <w:rsid w:val="009C10A1"/>
    <w:rsid w:val="009C47A8"/>
    <w:rsid w:val="009C54CA"/>
    <w:rsid w:val="009D115E"/>
    <w:rsid w:val="009D659A"/>
    <w:rsid w:val="009E0FA1"/>
    <w:rsid w:val="009E1FC8"/>
    <w:rsid w:val="009F61F7"/>
    <w:rsid w:val="00A03E35"/>
    <w:rsid w:val="00A05CBE"/>
    <w:rsid w:val="00A11DFD"/>
    <w:rsid w:val="00A1720E"/>
    <w:rsid w:val="00A258E7"/>
    <w:rsid w:val="00A30405"/>
    <w:rsid w:val="00A30698"/>
    <w:rsid w:val="00A36A5F"/>
    <w:rsid w:val="00A415F2"/>
    <w:rsid w:val="00A43B6B"/>
    <w:rsid w:val="00A43EC5"/>
    <w:rsid w:val="00A47F1B"/>
    <w:rsid w:val="00A50B4C"/>
    <w:rsid w:val="00A50CBC"/>
    <w:rsid w:val="00A54EEA"/>
    <w:rsid w:val="00A701C5"/>
    <w:rsid w:val="00A71027"/>
    <w:rsid w:val="00A75FF7"/>
    <w:rsid w:val="00A82019"/>
    <w:rsid w:val="00A87FC6"/>
    <w:rsid w:val="00A95B27"/>
    <w:rsid w:val="00AA3873"/>
    <w:rsid w:val="00AA3B92"/>
    <w:rsid w:val="00AA4522"/>
    <w:rsid w:val="00AA46E1"/>
    <w:rsid w:val="00AA50DE"/>
    <w:rsid w:val="00AB2370"/>
    <w:rsid w:val="00AC1EBE"/>
    <w:rsid w:val="00AC3C0A"/>
    <w:rsid w:val="00AC4ADE"/>
    <w:rsid w:val="00AD0068"/>
    <w:rsid w:val="00AD224C"/>
    <w:rsid w:val="00AE243B"/>
    <w:rsid w:val="00AE3B8E"/>
    <w:rsid w:val="00AF0830"/>
    <w:rsid w:val="00AF2BB2"/>
    <w:rsid w:val="00AF3E42"/>
    <w:rsid w:val="00AF5FD1"/>
    <w:rsid w:val="00AF70D8"/>
    <w:rsid w:val="00B00B01"/>
    <w:rsid w:val="00B03527"/>
    <w:rsid w:val="00B12A36"/>
    <w:rsid w:val="00B13131"/>
    <w:rsid w:val="00B13F57"/>
    <w:rsid w:val="00B17A3A"/>
    <w:rsid w:val="00B20052"/>
    <w:rsid w:val="00B20247"/>
    <w:rsid w:val="00B23602"/>
    <w:rsid w:val="00B31609"/>
    <w:rsid w:val="00B37CE4"/>
    <w:rsid w:val="00B516B0"/>
    <w:rsid w:val="00B51D4B"/>
    <w:rsid w:val="00B54D7C"/>
    <w:rsid w:val="00B60022"/>
    <w:rsid w:val="00B63686"/>
    <w:rsid w:val="00B644EA"/>
    <w:rsid w:val="00B74C74"/>
    <w:rsid w:val="00B75A7B"/>
    <w:rsid w:val="00B7637E"/>
    <w:rsid w:val="00B77C27"/>
    <w:rsid w:val="00B8688D"/>
    <w:rsid w:val="00B872A1"/>
    <w:rsid w:val="00B909F0"/>
    <w:rsid w:val="00B933DA"/>
    <w:rsid w:val="00B93659"/>
    <w:rsid w:val="00BA3E6E"/>
    <w:rsid w:val="00BA5775"/>
    <w:rsid w:val="00BA62C3"/>
    <w:rsid w:val="00BB4E75"/>
    <w:rsid w:val="00BB63E5"/>
    <w:rsid w:val="00BC0E43"/>
    <w:rsid w:val="00BC29F9"/>
    <w:rsid w:val="00BD0C31"/>
    <w:rsid w:val="00BE6B79"/>
    <w:rsid w:val="00BF0C93"/>
    <w:rsid w:val="00BF24DA"/>
    <w:rsid w:val="00BF3FD2"/>
    <w:rsid w:val="00BF5B60"/>
    <w:rsid w:val="00BF603F"/>
    <w:rsid w:val="00BF7DBB"/>
    <w:rsid w:val="00C00DC9"/>
    <w:rsid w:val="00C02130"/>
    <w:rsid w:val="00C02274"/>
    <w:rsid w:val="00C02A40"/>
    <w:rsid w:val="00C10F6D"/>
    <w:rsid w:val="00C12668"/>
    <w:rsid w:val="00C26945"/>
    <w:rsid w:val="00C27360"/>
    <w:rsid w:val="00C34C2D"/>
    <w:rsid w:val="00C36ABA"/>
    <w:rsid w:val="00C53A8C"/>
    <w:rsid w:val="00C579BE"/>
    <w:rsid w:val="00C60B4E"/>
    <w:rsid w:val="00C63A02"/>
    <w:rsid w:val="00C7113B"/>
    <w:rsid w:val="00C72B8C"/>
    <w:rsid w:val="00C76F14"/>
    <w:rsid w:val="00C80649"/>
    <w:rsid w:val="00C83431"/>
    <w:rsid w:val="00C90A6A"/>
    <w:rsid w:val="00C91865"/>
    <w:rsid w:val="00C95A69"/>
    <w:rsid w:val="00CA19DB"/>
    <w:rsid w:val="00CA275F"/>
    <w:rsid w:val="00CA35FE"/>
    <w:rsid w:val="00CA4453"/>
    <w:rsid w:val="00CA567F"/>
    <w:rsid w:val="00CA5F57"/>
    <w:rsid w:val="00CA6D1B"/>
    <w:rsid w:val="00CB7B9F"/>
    <w:rsid w:val="00CC1885"/>
    <w:rsid w:val="00CC5676"/>
    <w:rsid w:val="00CD2CC2"/>
    <w:rsid w:val="00CE0C8C"/>
    <w:rsid w:val="00CE133F"/>
    <w:rsid w:val="00CE2334"/>
    <w:rsid w:val="00CF2808"/>
    <w:rsid w:val="00CF3342"/>
    <w:rsid w:val="00D05D9A"/>
    <w:rsid w:val="00D12650"/>
    <w:rsid w:val="00D217C6"/>
    <w:rsid w:val="00D24DA2"/>
    <w:rsid w:val="00D35008"/>
    <w:rsid w:val="00D37054"/>
    <w:rsid w:val="00D37D69"/>
    <w:rsid w:val="00D40AE2"/>
    <w:rsid w:val="00D40D7F"/>
    <w:rsid w:val="00D53ACF"/>
    <w:rsid w:val="00D57D0F"/>
    <w:rsid w:val="00D623E2"/>
    <w:rsid w:val="00D76523"/>
    <w:rsid w:val="00D77C8E"/>
    <w:rsid w:val="00D82800"/>
    <w:rsid w:val="00D85598"/>
    <w:rsid w:val="00D90036"/>
    <w:rsid w:val="00D92E87"/>
    <w:rsid w:val="00D953E1"/>
    <w:rsid w:val="00DA1F13"/>
    <w:rsid w:val="00DA34D8"/>
    <w:rsid w:val="00DB4272"/>
    <w:rsid w:val="00DB6ED3"/>
    <w:rsid w:val="00DC2DE4"/>
    <w:rsid w:val="00DC6D36"/>
    <w:rsid w:val="00DD2763"/>
    <w:rsid w:val="00DE2A89"/>
    <w:rsid w:val="00DE6FCA"/>
    <w:rsid w:val="00E028DD"/>
    <w:rsid w:val="00E044DD"/>
    <w:rsid w:val="00E04B77"/>
    <w:rsid w:val="00E06704"/>
    <w:rsid w:val="00E15C25"/>
    <w:rsid w:val="00E20220"/>
    <w:rsid w:val="00E263C7"/>
    <w:rsid w:val="00E27D4B"/>
    <w:rsid w:val="00E304C8"/>
    <w:rsid w:val="00E51CE3"/>
    <w:rsid w:val="00E5538A"/>
    <w:rsid w:val="00E60299"/>
    <w:rsid w:val="00E615E1"/>
    <w:rsid w:val="00E64B96"/>
    <w:rsid w:val="00E90C62"/>
    <w:rsid w:val="00E95C46"/>
    <w:rsid w:val="00EA2D19"/>
    <w:rsid w:val="00EA412D"/>
    <w:rsid w:val="00EA455E"/>
    <w:rsid w:val="00EB412E"/>
    <w:rsid w:val="00EB4427"/>
    <w:rsid w:val="00EB4B50"/>
    <w:rsid w:val="00EB6306"/>
    <w:rsid w:val="00EC209F"/>
    <w:rsid w:val="00EC23C9"/>
    <w:rsid w:val="00EC69FF"/>
    <w:rsid w:val="00EC7C09"/>
    <w:rsid w:val="00ED031F"/>
    <w:rsid w:val="00EE4413"/>
    <w:rsid w:val="00EE61D0"/>
    <w:rsid w:val="00EE7CB6"/>
    <w:rsid w:val="00EF5966"/>
    <w:rsid w:val="00EF75E1"/>
    <w:rsid w:val="00F02966"/>
    <w:rsid w:val="00F04EF2"/>
    <w:rsid w:val="00F05BAB"/>
    <w:rsid w:val="00F12A2B"/>
    <w:rsid w:val="00F15352"/>
    <w:rsid w:val="00F207F8"/>
    <w:rsid w:val="00F20816"/>
    <w:rsid w:val="00F20819"/>
    <w:rsid w:val="00F234E9"/>
    <w:rsid w:val="00F34824"/>
    <w:rsid w:val="00F434E6"/>
    <w:rsid w:val="00F47CF7"/>
    <w:rsid w:val="00F50746"/>
    <w:rsid w:val="00F51E9F"/>
    <w:rsid w:val="00F565DA"/>
    <w:rsid w:val="00F618DB"/>
    <w:rsid w:val="00F65039"/>
    <w:rsid w:val="00F66F83"/>
    <w:rsid w:val="00F711AE"/>
    <w:rsid w:val="00F752B4"/>
    <w:rsid w:val="00F84E92"/>
    <w:rsid w:val="00F87422"/>
    <w:rsid w:val="00F94D88"/>
    <w:rsid w:val="00FA489F"/>
    <w:rsid w:val="00FA5408"/>
    <w:rsid w:val="00FA6279"/>
    <w:rsid w:val="00FA7A68"/>
    <w:rsid w:val="00FB153D"/>
    <w:rsid w:val="00FB58AD"/>
    <w:rsid w:val="00FB63E2"/>
    <w:rsid w:val="00FC1EE1"/>
    <w:rsid w:val="00FC564C"/>
    <w:rsid w:val="00FD1837"/>
    <w:rsid w:val="00FD56E5"/>
    <w:rsid w:val="00FD76AF"/>
    <w:rsid w:val="00FF1BC7"/>
    <w:rsid w:val="00FF5E2C"/>
    <w:rsid w:val="1B65777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233FFC"/>
  <w15:docId w15:val="{D726A335-1236-437B-ADF6-2B3FC9828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unhideWhenUsed="1"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qFormat="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sz w:val="16"/>
      <w:szCs w:val="16"/>
      <w:lang w:val="zh-CN" w:eastAsia="zh-CN"/>
    </w:rPr>
  </w:style>
  <w:style w:type="paragraph" w:styleId="BodyText">
    <w:name w:val="Body Text"/>
    <w:basedOn w:val="Normal"/>
    <w:link w:val="BodyTextChar"/>
    <w:qFormat/>
    <w:pPr>
      <w:widowControl w:val="0"/>
      <w:tabs>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line="480" w:lineRule="auto"/>
      <w:ind w:right="360"/>
      <w:jc w:val="both"/>
    </w:pPr>
    <w:rPr>
      <w:snapToGrid w:val="0"/>
      <w:spacing w:val="-3"/>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unhideWhenUsed/>
    <w:qFormat/>
    <w:rPr>
      <w:sz w:val="20"/>
      <w:lang w:val="zh-CN" w:eastAsia="zh-CN"/>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qFormat/>
    <w:pPr>
      <w:tabs>
        <w:tab w:val="center" w:pos="4320"/>
        <w:tab w:val="right" w:pos="8640"/>
      </w:tabs>
    </w:pPr>
    <w:rPr>
      <w:lang w:val="zh-CN" w:eastAsia="zh-CN"/>
    </w:rPr>
  </w:style>
  <w:style w:type="paragraph" w:styleId="Header">
    <w:name w:val="header"/>
    <w:basedOn w:val="Normal"/>
    <w:link w:val="HeaderChar"/>
    <w:qFormat/>
    <w:pPr>
      <w:tabs>
        <w:tab w:val="center" w:pos="4320"/>
        <w:tab w:val="right" w:pos="8640"/>
      </w:tabs>
    </w:pPr>
    <w:rPr>
      <w:lang w:val="zh-CN" w:eastAsia="zh-CN"/>
    </w:rPr>
  </w:style>
  <w:style w:type="paragraph" w:styleId="HTMLPreformatted">
    <w:name w:val="HTML Preformatted"/>
    <w:basedOn w:val="Normal"/>
    <w:link w:val="HTMLPreformattedChar"/>
    <w:uiPriority w:val="99"/>
    <w:semiHidden/>
    <w:unhideWhenUsed/>
    <w:qFormat/>
    <w:rPr>
      <w:rFonts w:ascii="Consolas" w:hAnsi="Consolas"/>
      <w:sz w:val="20"/>
    </w:rPr>
  </w:style>
  <w:style w:type="character" w:styleId="Hyperlink">
    <w:name w:val="Hyperlink"/>
    <w:uiPriority w:val="99"/>
    <w:unhideWhenUsed/>
    <w:qFormat/>
    <w:rPr>
      <w:color w:val="0000FF"/>
      <w:u w:val="single"/>
    </w:rPr>
  </w:style>
  <w:style w:type="character" w:styleId="LineNumber">
    <w:name w:val="line number"/>
    <w:basedOn w:val="DefaultParagraphFont"/>
    <w:uiPriority w:val="99"/>
    <w:semiHidden/>
    <w:unhideWhenUsed/>
    <w:qFormat/>
  </w:style>
  <w:style w:type="character" w:styleId="PageNumber">
    <w:name w:val="page number"/>
    <w:basedOn w:val="DefaultParagraphFont"/>
    <w:qFormat/>
  </w:style>
  <w:style w:type="paragraph" w:customStyle="1" w:styleId="Title2">
    <w:name w:val="Title2"/>
    <w:basedOn w:val="Normal"/>
    <w:next w:val="Normal"/>
    <w:qFormat/>
    <w:pPr>
      <w:tabs>
        <w:tab w:val="left" w:pos="648"/>
        <w:tab w:val="right" w:pos="7776"/>
        <w:tab w:val="left" w:pos="7848"/>
      </w:tabs>
    </w:pPr>
  </w:style>
  <w:style w:type="character" w:customStyle="1" w:styleId="HeaderChar">
    <w:name w:val="Header Char"/>
    <w:link w:val="Header"/>
    <w:rPr>
      <w:rFonts w:ascii="Times New Roman" w:eastAsia="Times New Roman" w:hAnsi="Times New Roman" w:cs="Times New Roman"/>
      <w:sz w:val="24"/>
      <w:szCs w:val="20"/>
    </w:rPr>
  </w:style>
  <w:style w:type="character" w:customStyle="1" w:styleId="FooterChar">
    <w:name w:val="Footer Char"/>
    <w:link w:val="Footer"/>
    <w:rPr>
      <w:rFonts w:ascii="Times New Roman" w:eastAsia="Times New Roman" w:hAnsi="Times New Roman" w:cs="Times New Roman"/>
      <w:sz w:val="24"/>
      <w:szCs w:val="20"/>
    </w:rPr>
  </w:style>
  <w:style w:type="character" w:customStyle="1" w:styleId="CommentTextChar">
    <w:name w:val="Comment Text Char"/>
    <w:link w:val="CommentText"/>
    <w:uiPriority w:val="99"/>
    <w:qFormat/>
    <w:rPr>
      <w:rFonts w:ascii="Times New Roman" w:eastAsia="Times New Roman" w:hAnsi="Times New Roman"/>
    </w:rPr>
  </w:style>
  <w:style w:type="character" w:customStyle="1" w:styleId="CommentSubjectChar">
    <w:name w:val="Comment Subject Char"/>
    <w:link w:val="CommentSubject"/>
    <w:uiPriority w:val="99"/>
    <w:semiHidden/>
    <w:qFormat/>
    <w:rPr>
      <w:rFonts w:ascii="Times New Roman" w:eastAsia="Times New Roman" w:hAnsi="Times New Roman"/>
      <w:b/>
      <w:bCs/>
    </w:rPr>
  </w:style>
  <w:style w:type="character" w:customStyle="1" w:styleId="BalloonTextChar">
    <w:name w:val="Balloon Text Char"/>
    <w:link w:val="BalloonText"/>
    <w:uiPriority w:val="99"/>
    <w:semiHidden/>
    <w:qFormat/>
    <w:rPr>
      <w:rFonts w:ascii="Tahoma" w:eastAsia="Times New Roman" w:hAnsi="Tahoma" w:cs="Tahoma"/>
      <w:sz w:val="16"/>
      <w:szCs w:val="16"/>
    </w:rPr>
  </w:style>
  <w:style w:type="paragraph" w:styleId="NoSpacing">
    <w:name w:val="No Spacing"/>
    <w:uiPriority w:val="1"/>
    <w:qFormat/>
    <w:rPr>
      <w:rFonts w:ascii="Times New Roman" w:eastAsia="Times New Roman" w:hAnsi="Times New Roman"/>
      <w:sz w:val="24"/>
    </w:rPr>
  </w:style>
  <w:style w:type="paragraph" w:styleId="ListParagraph">
    <w:name w:val="List Paragraph"/>
    <w:basedOn w:val="Normal"/>
    <w:uiPriority w:val="34"/>
    <w:qFormat/>
    <w:pPr>
      <w:ind w:left="720"/>
      <w:contextualSpacing/>
    </w:pPr>
  </w:style>
  <w:style w:type="character" w:customStyle="1" w:styleId="BodyTextChar">
    <w:name w:val="Body Text Char"/>
    <w:link w:val="BodyText"/>
    <w:rPr>
      <w:rFonts w:ascii="Times New Roman" w:eastAsia="Times New Roman" w:hAnsi="Times New Roman"/>
      <w:snapToGrid w:val="0"/>
      <w:spacing w:val="-3"/>
      <w:sz w:val="24"/>
    </w:rPr>
  </w:style>
  <w:style w:type="character" w:customStyle="1" w:styleId="apple-converted-space">
    <w:name w:val="apple-converted-space"/>
    <w:basedOn w:val="DefaultParagraphFont"/>
    <w:qFormat/>
  </w:style>
  <w:style w:type="character" w:styleId="PlaceholderText">
    <w:name w:val="Placeholder Text"/>
    <w:basedOn w:val="DefaultParagraphFont"/>
    <w:uiPriority w:val="99"/>
    <w:semiHidden/>
    <w:rPr>
      <w:color w:val="808080"/>
    </w:rPr>
  </w:style>
  <w:style w:type="character" w:customStyle="1" w:styleId="HTMLPreformattedChar">
    <w:name w:val="HTML Preformatted Char"/>
    <w:basedOn w:val="DefaultParagraphFont"/>
    <w:link w:val="HTMLPreformatted"/>
    <w:uiPriority w:val="99"/>
    <w:semiHidden/>
    <w:qFormat/>
    <w:rPr>
      <w:rFonts w:ascii="Consolas" w:eastAsia="Times New Roman" w:hAnsi="Consolas"/>
    </w:rPr>
  </w:style>
  <w:style w:type="paragraph" w:customStyle="1" w:styleId="Revision1">
    <w:name w:val="Revision1"/>
    <w:hidden/>
    <w:uiPriority w:val="99"/>
    <w:semiHidden/>
    <w:qFormat/>
    <w:rPr>
      <w:rFonts w:ascii="Times New Roman" w:eastAsia="Times New Roman" w:hAnsi="Times New Roman"/>
      <w:sz w:val="24"/>
    </w:rPr>
  </w:style>
  <w:style w:type="paragraph" w:customStyle="1" w:styleId="default">
    <w:name w:val="default"/>
    <w:basedOn w:val="Normal"/>
    <w:rsid w:val="003309F7"/>
    <w:pPr>
      <w:autoSpaceDE w:val="0"/>
      <w:autoSpaceDN w:val="0"/>
    </w:pPr>
    <w:rPr>
      <w:rFonts w:ascii="DXANP N+ Serifa B T," w:hAnsi="DXANP N+ Serifa B T,"/>
      <w:color w:val="000000"/>
      <w:szCs w:val="24"/>
    </w:rPr>
  </w:style>
  <w:style w:type="character" w:customStyle="1" w:styleId="hps">
    <w:name w:val="hps"/>
    <w:basedOn w:val="DefaultParagraphFont"/>
    <w:rsid w:val="00796A1D"/>
  </w:style>
  <w:style w:type="table" w:customStyle="1" w:styleId="Style42">
    <w:name w:val="_Style 42"/>
    <w:basedOn w:val="TableNormal"/>
    <w:rsid w:val="00641191"/>
    <w:rPr>
      <w:rFonts w:ascii="Times New Roman" w:eastAsia="Times New Roman" w:hAnsi="Times New Roman"/>
    </w:rPr>
    <w:tblPr>
      <w:tblInd w:w="0" w:type="nil"/>
    </w:tblPr>
  </w:style>
  <w:style w:type="table" w:customStyle="1" w:styleId="Style43">
    <w:name w:val="_Style 43"/>
    <w:basedOn w:val="TableNormal"/>
    <w:qFormat/>
    <w:rsid w:val="00641191"/>
    <w:rPr>
      <w:rFonts w:ascii="Times New Roman" w:eastAsia="Times New Roman" w:hAnsi="Times New Roman"/>
    </w:rPr>
    <w:tblPr>
      <w:tblInd w:w="0" w:type="nil"/>
    </w:tblPr>
  </w:style>
  <w:style w:type="paragraph" w:styleId="BodyTextIndent2">
    <w:name w:val="Body Text Indent 2"/>
    <w:basedOn w:val="Normal"/>
    <w:link w:val="BodyTextIndent2Char"/>
    <w:rsid w:val="00E20220"/>
    <w:pPr>
      <w:spacing w:after="120" w:line="480" w:lineRule="auto"/>
      <w:ind w:left="360"/>
    </w:pPr>
    <w:rPr>
      <w:lang w:val="es-PR"/>
    </w:rPr>
  </w:style>
  <w:style w:type="character" w:customStyle="1" w:styleId="BodyTextIndent2Char">
    <w:name w:val="Body Text Indent 2 Char"/>
    <w:basedOn w:val="DefaultParagraphFont"/>
    <w:link w:val="BodyTextIndent2"/>
    <w:rsid w:val="00E20220"/>
    <w:rPr>
      <w:rFonts w:ascii="Times New Roman" w:eastAsia="Times New Roman" w:hAnsi="Times New Roman"/>
      <w:sz w:val="24"/>
      <w:lang w:val="es-PR"/>
    </w:rPr>
  </w:style>
  <w:style w:type="paragraph" w:styleId="NormalWeb">
    <w:name w:val="Normal (Web)"/>
    <w:basedOn w:val="Normal"/>
    <w:uiPriority w:val="99"/>
    <w:unhideWhenUsed/>
    <w:rsid w:val="00B63686"/>
    <w:pPr>
      <w:spacing w:before="100" w:beforeAutospacing="1" w:after="100" w:afterAutospacing="1"/>
    </w:pPr>
    <w:rPr>
      <w:szCs w:val="24"/>
    </w:rPr>
  </w:style>
  <w:style w:type="character" w:styleId="Strong">
    <w:name w:val="Strong"/>
    <w:basedOn w:val="DefaultParagraphFont"/>
    <w:uiPriority w:val="22"/>
    <w:qFormat/>
    <w:rsid w:val="00BB4E75"/>
    <w:rPr>
      <w:b/>
      <w:bCs/>
    </w:rPr>
  </w:style>
  <w:style w:type="character" w:customStyle="1" w:styleId="normaltextrun">
    <w:name w:val="normaltextrun"/>
    <w:basedOn w:val="DefaultParagraphFont"/>
    <w:qFormat/>
    <w:rsid w:val="00C91865"/>
  </w:style>
  <w:style w:type="character" w:styleId="Emphasis">
    <w:name w:val="Emphasis"/>
    <w:basedOn w:val="DefaultParagraphFont"/>
    <w:uiPriority w:val="20"/>
    <w:qFormat/>
    <w:rsid w:val="00C91865"/>
    <w:rPr>
      <w:i/>
      <w:iCs/>
    </w:rPr>
  </w:style>
  <w:style w:type="paragraph" w:customStyle="1" w:styleId="p1">
    <w:name w:val="p1"/>
    <w:basedOn w:val="Normal"/>
    <w:qFormat/>
    <w:rsid w:val="00C91865"/>
    <w:rPr>
      <w:color w:val="000000"/>
      <w:sz w:val="18"/>
      <w:szCs w:val="18"/>
      <w:lang w:val="es-ES"/>
    </w:rPr>
  </w:style>
  <w:style w:type="character" w:customStyle="1" w:styleId="eop">
    <w:name w:val="eop"/>
    <w:basedOn w:val="DefaultParagraphFont"/>
    <w:qFormat/>
    <w:rsid w:val="00C91865"/>
  </w:style>
  <w:style w:type="character" w:styleId="FootnoteReference">
    <w:name w:val="footnote reference"/>
    <w:uiPriority w:val="99"/>
    <w:qFormat/>
    <w:rsid w:val="00C02A40"/>
    <w:rPr>
      <w:vertAlign w:val="superscript"/>
    </w:rPr>
  </w:style>
  <w:style w:type="paragraph" w:styleId="FootnoteText">
    <w:name w:val="footnote text"/>
    <w:basedOn w:val="Normal"/>
    <w:link w:val="FootnoteTextChar"/>
    <w:uiPriority w:val="99"/>
    <w:qFormat/>
    <w:rsid w:val="00C02A40"/>
    <w:rPr>
      <w:sz w:val="20"/>
      <w:szCs w:val="24"/>
    </w:rPr>
  </w:style>
  <w:style w:type="character" w:customStyle="1" w:styleId="FootnoteTextChar">
    <w:name w:val="Footnote Text Char"/>
    <w:basedOn w:val="DefaultParagraphFont"/>
    <w:link w:val="FootnoteText"/>
    <w:uiPriority w:val="99"/>
    <w:qFormat/>
    <w:rsid w:val="00C02A40"/>
    <w:rPr>
      <w:rFonts w:ascii="Times New Roman" w:eastAsia="Times New Roman" w:hAnsi="Times New Roman"/>
      <w:szCs w:val="24"/>
    </w:rPr>
  </w:style>
  <w:style w:type="paragraph" w:styleId="BodyTextIndent">
    <w:name w:val="Body Text Indent"/>
    <w:basedOn w:val="Normal"/>
    <w:link w:val="BodyTextIndentChar"/>
    <w:uiPriority w:val="99"/>
    <w:unhideWhenUsed/>
    <w:rsid w:val="004B278A"/>
    <w:pPr>
      <w:spacing w:after="120"/>
      <w:ind w:left="360"/>
    </w:pPr>
    <w:rPr>
      <w:szCs w:val="24"/>
    </w:rPr>
  </w:style>
  <w:style w:type="character" w:customStyle="1" w:styleId="BodyTextIndentChar">
    <w:name w:val="Body Text Indent Char"/>
    <w:basedOn w:val="DefaultParagraphFont"/>
    <w:link w:val="BodyTextIndent"/>
    <w:uiPriority w:val="99"/>
    <w:rsid w:val="004B278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4SQX5P7U7WPY-958212181-822473</_dlc_DocId>
    <_dlc_DocIdUrl xmlns="c890fddd-4e87-4e08-8b51-545f2a3f7b06">
      <Url>https://senpr.sharepoint.com/sites/obralegislativa/_layouts/15/DocIdRedir.aspx?ID=4SQX5P7U7WPY-958212181-822473</Url>
      <Description>4SQX5P7U7WPY-958212181-822473</Description>
    </_dlc_DocIdUrl>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20766C-C554-4E58-82FA-AC8EB64EC27F}">
  <ds:schemaRefs>
    <ds:schemaRef ds:uri="http://schemas.microsoft.com/sharepoint/events"/>
  </ds:schemaRefs>
</ds:datastoreItem>
</file>

<file path=customXml/itemProps2.xml><?xml version="1.0" encoding="utf-8"?>
<ds:datastoreItem xmlns:ds="http://schemas.openxmlformats.org/officeDocument/2006/customXml" ds:itemID="{98F7027A-7C15-4003-85A9-1068AEB8B15C}">
  <ds:schemaRefs>
    <ds:schemaRef ds:uri="http://schemas.microsoft.com/sharepoint/v3/contenttype/forms"/>
  </ds:schemaRefs>
</ds:datastoreItem>
</file>

<file path=customXml/itemProps3.xml><?xml version="1.0" encoding="utf-8"?>
<ds:datastoreItem xmlns:ds="http://schemas.openxmlformats.org/officeDocument/2006/customXml" ds:itemID="{9D1E426E-D115-4C9A-87F3-D3A5FCACC326}">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B1F50149-03E6-49CB-B1A9-E4301B362AA2}">
  <ds:schemaRefs>
    <ds:schemaRef ds:uri="http://schemas.openxmlformats.org/officeDocument/2006/bibliography"/>
  </ds:schemaRefs>
</ds:datastoreItem>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6.xml><?xml version="1.0" encoding="utf-8"?>
<ds:datastoreItem xmlns:ds="http://schemas.openxmlformats.org/officeDocument/2006/customXml" ds:itemID="{A709DDC6-928E-4143-A301-1FA46EEDC4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1270</Words>
  <Characters>7244</Characters>
  <Application>Microsoft Office Word</Application>
  <DocSecurity>4</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S. Adams Vega</dc:creator>
  <cp:lastModifiedBy>Camyl Moreno Pantojas</cp:lastModifiedBy>
  <cp:revision>2</cp:revision>
  <cp:lastPrinted>2026-04-09T16:45:00Z</cp:lastPrinted>
  <dcterms:created xsi:type="dcterms:W3CDTF">2026-04-28T19:00:00Z</dcterms:created>
  <dcterms:modified xsi:type="dcterms:W3CDTF">2026-04-28T19:00:00Z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F21EA6FB911D41E088D4785716AE1F03_13</vt:lpwstr>
  </property>
  <property fmtid="{D5CDD505-2E9C-101B-9397-08002B2CF9AE}" pid="4" name="ContentTypeId">
    <vt:lpwstr>0x0101008C58FC75B682744FB4A53C756BEDC3A3</vt:lpwstr>
  </property>
  <property fmtid="{D5CDD505-2E9C-101B-9397-08002B2CF9AE}" pid="5" name="MediaServiceImageTags">
    <vt:lpwstr/>
  </property>
  <property fmtid="{D5CDD505-2E9C-101B-9397-08002B2CF9AE}" pid="6" name="_dlc_DocIdItemGuid">
    <vt:lpwstr>26312a07-e939-4dea-a9ab-80703ee7e3c6</vt:lpwstr>
  </property>
</Properties>
</file>