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9C10A1"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9C10A1">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9C10A1">
        <w:rPr>
          <w:rFonts w:ascii="Book Antiqua" w:hAnsi="Book Antiqua"/>
          <w:vertAlign w:val="superscript"/>
          <w:lang w:val="es-PR"/>
        </w:rPr>
        <w:t>r</w:t>
      </w:r>
      <w:r w:rsidRPr="009C10A1">
        <w:rPr>
          <w:rFonts w:ascii="Book Antiqua" w:hAnsi="Book Antiqua"/>
          <w:vertAlign w:val="superscript"/>
          <w:lang w:val="es-PR"/>
        </w:rPr>
        <w:t>a.</w:t>
      </w:r>
      <w:r w:rsidRPr="008B5572">
        <w:rPr>
          <w:rFonts w:ascii="Book Antiqua" w:hAnsi="Book Antiqua"/>
          <w:lang w:val="es-PR"/>
        </w:rPr>
        <w:t xml:space="preserve"> Sesión</w:t>
      </w:r>
    </w:p>
    <w:p w14:paraId="02234000" w14:textId="224D97AF" w:rsidR="007F61B2" w:rsidRPr="008B5572" w:rsidRDefault="0083082B" w:rsidP="009C10A1">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41DE9568"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296F04">
        <w:rPr>
          <w:rFonts w:ascii="Book Antiqua" w:hAnsi="Book Antiqua"/>
          <w:b/>
          <w:sz w:val="52"/>
          <w:szCs w:val="52"/>
          <w:lang w:val="es-PR"/>
        </w:rPr>
        <w:t xml:space="preserve"> 919</w:t>
      </w:r>
    </w:p>
    <w:p w14:paraId="59074E5F" w14:textId="6D3EE7C6" w:rsidR="00151EAB" w:rsidRPr="008B5572" w:rsidRDefault="00296F04"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4CB61052" w:rsidR="00151EAB" w:rsidRPr="008B5572" w:rsidRDefault="00151EAB" w:rsidP="009C10A1">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9C10A1" w:rsidRDefault="007F61B2" w:rsidP="00151EAB">
      <w:pPr>
        <w:pStyle w:val="NoSpacing"/>
        <w:rPr>
          <w:rFonts w:ascii="Book Antiqua" w:hAnsi="Book Antiqua"/>
          <w:sz w:val="12"/>
          <w:szCs w:val="12"/>
          <w:lang w:val="es-PR"/>
        </w:rPr>
      </w:pPr>
    </w:p>
    <w:p w14:paraId="3D30E8BA" w14:textId="4342885C" w:rsidR="009E1FC8" w:rsidRPr="007A4177" w:rsidRDefault="0083082B" w:rsidP="009E1FC8">
      <w:pPr>
        <w:spacing w:line="360" w:lineRule="auto"/>
        <w:jc w:val="center"/>
        <w:rPr>
          <w:rFonts w:ascii="Book Antiqua" w:hAnsi="Book Antiqua"/>
          <w:i/>
          <w:iCs/>
          <w:szCs w:val="24"/>
          <w:lang w:val="es-419"/>
        </w:rPr>
      </w:pPr>
      <w:r w:rsidRPr="009E1FC8">
        <w:rPr>
          <w:rFonts w:ascii="Book Antiqua" w:hAnsi="Book Antiqua"/>
          <w:i/>
          <w:iCs/>
          <w:lang w:val="es-PR"/>
        </w:rPr>
        <w:t>Referido a</w:t>
      </w:r>
      <w:r w:rsidR="009E1FC8">
        <w:rPr>
          <w:rFonts w:ascii="Book Antiqua" w:hAnsi="Book Antiqua"/>
          <w:i/>
          <w:iCs/>
          <w:lang w:val="es-PR"/>
        </w:rPr>
        <w:t xml:space="preserve"> la Comisión de</w:t>
      </w:r>
      <w:r w:rsidR="009E1FC8" w:rsidRPr="009E1FC8">
        <w:rPr>
          <w:rFonts w:ascii="Book Antiqua" w:hAnsi="Book Antiqua"/>
          <w:i/>
          <w:iCs/>
          <w:szCs w:val="24"/>
          <w:lang w:val="es-419"/>
        </w:rPr>
        <w:t xml:space="preserve"> </w:t>
      </w:r>
      <w:r w:rsidR="009E1FC8" w:rsidRPr="007A4177">
        <w:rPr>
          <w:rFonts w:ascii="Book Antiqua" w:hAnsi="Book Antiqua"/>
          <w:i/>
          <w:iCs/>
          <w:szCs w:val="24"/>
          <w:lang w:val="es-419"/>
        </w:rPr>
        <w:t>Innovación, Reforma y Nombramientos</w:t>
      </w:r>
    </w:p>
    <w:p w14:paraId="0223400A" w14:textId="77777777" w:rsidR="007F61B2" w:rsidRPr="009E1FC8" w:rsidRDefault="007F61B2">
      <w:pPr>
        <w:jc w:val="both"/>
        <w:rPr>
          <w:rFonts w:ascii="Book Antiqua" w:hAnsi="Book Antiqua"/>
          <w:sz w:val="12"/>
          <w:szCs w:val="12"/>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9C10A1" w:rsidRDefault="007F61B2">
      <w:pPr>
        <w:jc w:val="center"/>
        <w:rPr>
          <w:rFonts w:ascii="Book Antiqua" w:hAnsi="Book Antiqua"/>
          <w:b/>
          <w:sz w:val="12"/>
          <w:szCs w:val="12"/>
          <w:lang w:val="es-PR"/>
        </w:rPr>
      </w:pPr>
    </w:p>
    <w:p w14:paraId="745087CD" w14:textId="77777777" w:rsidR="003B44CF" w:rsidRDefault="0083082B" w:rsidP="003B44CF">
      <w:pPr>
        <w:ind w:left="540" w:hanging="540"/>
        <w:jc w:val="both"/>
        <w:rPr>
          <w:rFonts w:ascii="Book Antiqua" w:eastAsia="Book Antiqua" w:hAnsi="Book Antiqua" w:cs="Book Antiqua"/>
          <w:color w:val="000000"/>
          <w:lang w:val="es-PR"/>
        </w:rPr>
      </w:pPr>
      <w:r w:rsidRPr="008B5572">
        <w:rPr>
          <w:rFonts w:ascii="Book Antiqua" w:hAnsi="Book Antiqua"/>
          <w:snapToGrid w:val="0"/>
          <w:szCs w:val="24"/>
          <w:lang w:val="es-PR"/>
        </w:rPr>
        <w:t xml:space="preserve">Para </w:t>
      </w:r>
      <w:r w:rsidR="003B44CF" w:rsidRPr="00B604F2">
        <w:rPr>
          <w:rFonts w:ascii="Book Antiqua" w:eastAsia="Book Antiqua" w:hAnsi="Book Antiqua" w:cs="Book Antiqua"/>
          <w:color w:val="000000"/>
          <w:lang w:val="es-PR"/>
        </w:rPr>
        <w:t>enmendar el Artículo 6 de la Ley Núm.</w:t>
      </w:r>
      <w:r w:rsidR="003B44CF">
        <w:rPr>
          <w:rFonts w:ascii="Book Antiqua" w:eastAsia="Book Antiqua" w:hAnsi="Book Antiqua" w:cs="Book Antiqua"/>
          <w:color w:val="000000"/>
          <w:lang w:val="es-PR"/>
        </w:rPr>
        <w:t xml:space="preserve"> </w:t>
      </w:r>
      <w:r w:rsidR="003B44CF" w:rsidRPr="00B604F2">
        <w:rPr>
          <w:rFonts w:ascii="Book Antiqua" w:eastAsia="Book Antiqua" w:hAnsi="Book Antiqua" w:cs="Book Antiqua"/>
          <w:color w:val="000000"/>
          <w:lang w:val="es-PR"/>
        </w:rPr>
        <w:t>45 de 8 de 18 de abril de 1935, según enmendada, conocida como “Ley de Compensaciones por Accidentes del Trabajo”, a los fines ordenar al Departamento de Hacienda del Gobierno de Puerto Rico, desembolsar el presupuesto anual de la Comisión Industrial, al inicio de cada año fiscal, y no de forma fragmentada; y para otros fines relacionados.</w:t>
      </w:r>
    </w:p>
    <w:p w14:paraId="5C7B7FAA" w14:textId="77777777" w:rsidR="008E045D" w:rsidRPr="00C91865" w:rsidRDefault="008E045D" w:rsidP="00793FB1">
      <w:pPr>
        <w:ind w:left="360" w:hanging="360"/>
        <w:jc w:val="both"/>
        <w:rPr>
          <w:rFonts w:ascii="Book Antiqua" w:hAnsi="Book Antiqua"/>
          <w:snapToGrid w:val="0"/>
          <w:szCs w:val="24"/>
          <w:highlight w:val="yellow"/>
          <w:lang w:val="es-PR"/>
        </w:rPr>
      </w:pPr>
    </w:p>
    <w:p w14:paraId="0223400F" w14:textId="181076F9"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9C10A1">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9C10A1" w:rsidRDefault="007F61B2">
      <w:pPr>
        <w:ind w:left="720" w:hanging="720"/>
        <w:jc w:val="center"/>
        <w:rPr>
          <w:rFonts w:ascii="Book Antiqua" w:hAnsi="Book Antiqua"/>
          <w:snapToGrid w:val="0"/>
          <w:sz w:val="12"/>
          <w:szCs w:val="12"/>
          <w:lang w:val="es-PR"/>
        </w:rPr>
      </w:pPr>
    </w:p>
    <w:p w14:paraId="5EB93419" w14:textId="77777777" w:rsidR="003B44CF" w:rsidRDefault="003B44CF" w:rsidP="009C10A1">
      <w:pPr>
        <w:spacing w:before="120" w:after="120" w:line="360" w:lineRule="auto"/>
        <w:ind w:firstLine="540"/>
        <w:jc w:val="both"/>
        <w:rPr>
          <w:rFonts w:ascii="Book Antiqua" w:hAnsi="Book Antiqua"/>
          <w:lang w:val="es-PR"/>
        </w:rPr>
      </w:pPr>
      <w:r>
        <w:rPr>
          <w:rFonts w:ascii="Book Antiqua" w:eastAsiaTheme="minorHAnsi" w:hAnsi="Book Antiqua" w:cs="Arial"/>
          <w:kern w:val="2"/>
          <w:szCs w:val="24"/>
          <w:lang w:val="es-PR"/>
          <w14:ligatures w14:val="standardContextual"/>
        </w:rPr>
        <w:t xml:space="preserve">El Gobierno de Puerto Rico luego de la crisis económica por la que atravesó, </w:t>
      </w:r>
      <w:r w:rsidRPr="4DB92138">
        <w:rPr>
          <w:rFonts w:ascii="Book Antiqua" w:hAnsi="Book Antiqua"/>
          <w:lang w:val="es-PR"/>
        </w:rPr>
        <w:t>ha fortalecido sus procesos presupuestarios, financieros y de reestructuración del aparato gubernamental. Cónsono con lo anterior, se ha reconocido la importancia que tiene dentro de los procesos de análisis e impacto fiscal, el brindar certeza a la situación fiscal y presupuestaria de cada una de las entidades y dependencias que conforman nuestro Gobierno.</w:t>
      </w:r>
      <w:r>
        <w:rPr>
          <w:rFonts w:ascii="Book Antiqua" w:hAnsi="Book Antiqua"/>
          <w:lang w:val="es-PR"/>
        </w:rPr>
        <w:t xml:space="preserve"> </w:t>
      </w:r>
    </w:p>
    <w:p w14:paraId="021097E6" w14:textId="77777777" w:rsidR="003B44CF" w:rsidRDefault="003B44CF" w:rsidP="009C10A1">
      <w:pPr>
        <w:spacing w:before="120" w:after="120" w:line="360" w:lineRule="auto"/>
        <w:ind w:firstLine="540"/>
        <w:jc w:val="both"/>
        <w:rPr>
          <w:rFonts w:ascii="Book Antiqua" w:hAnsi="Book Antiqua"/>
          <w:lang w:val="es-PR"/>
        </w:rPr>
      </w:pPr>
      <w:r>
        <w:rPr>
          <w:rFonts w:ascii="Book Antiqua" w:hAnsi="Book Antiqua"/>
          <w:lang w:val="es-PR"/>
        </w:rPr>
        <w:t xml:space="preserve">Dentro del alcance de la responsabilidad del Estado, </w:t>
      </w:r>
      <w:r w:rsidRPr="4DB92138">
        <w:rPr>
          <w:rFonts w:ascii="Book Antiqua" w:hAnsi="Book Antiqua"/>
          <w:lang w:val="es-PR"/>
        </w:rPr>
        <w:t xml:space="preserve">se encuentra el corregir y/o atemperar procesos en aquellas entidades o dependencias de este; y eso es lo que pretende esta pieza legislativa. La Comisión Industrial de Puerto Rico fue creada </w:t>
      </w:r>
      <w:r w:rsidRPr="4DB92138">
        <w:rPr>
          <w:rFonts w:ascii="Book Antiqua" w:hAnsi="Book Antiqua"/>
          <w:lang w:val="es-PR"/>
        </w:rPr>
        <w:lastRenderedPageBreak/>
        <w:t>mediante la Ley Núm. 45 de 18 de abril de 1935, según enmendada, con el propósito de servir como un organismo apelativo con facultad en ley para revisar las decisiones de la Corporación del Fondo del Seguro del Estado, las cuales podrá revocar, modificar o confirmar. Además, la Comisión revisa las decisiones de la Corporación del Fondo del Seguro del Estado cuando son apeladas, para determinar si las mismas están conforme a la Ley. Son agencias distintas, con funciones diferentes.</w:t>
      </w:r>
    </w:p>
    <w:p w14:paraId="51A00CD9" w14:textId="77777777" w:rsidR="003B44CF" w:rsidRDefault="003B44CF" w:rsidP="009C10A1">
      <w:pPr>
        <w:spacing w:before="120" w:after="120" w:line="360" w:lineRule="auto"/>
        <w:ind w:firstLine="540"/>
        <w:jc w:val="both"/>
        <w:rPr>
          <w:rFonts w:ascii="Book Antiqua" w:hAnsi="Book Antiqua"/>
          <w:lang w:val="es-PR"/>
        </w:rPr>
      </w:pPr>
      <w:r>
        <w:rPr>
          <w:rFonts w:ascii="Book Antiqua" w:hAnsi="Book Antiqua"/>
          <w:lang w:val="es-PR"/>
        </w:rPr>
        <w:t xml:space="preserve">Producto de las dinámicas naturales </w:t>
      </w:r>
      <w:r w:rsidRPr="4DB92138">
        <w:rPr>
          <w:rFonts w:ascii="Book Antiqua" w:hAnsi="Book Antiqua"/>
          <w:lang w:val="es-PR"/>
        </w:rPr>
        <w:t xml:space="preserve">de los procesos de reclamación de compensación por accidentes en el empleo, la misión de la Comisión Industrial de Puerto Rico cobra mayor importancia. Esta estriba en garantizar que el lesionado reciba el tratamiento adecuado y la compensación justa y razonable, y de igual forma, que los patronos tengan un foro imparcial para dirimir sus controversias con la Corporación del Fondo del Seguro de Estado. </w:t>
      </w:r>
      <w:r>
        <w:rPr>
          <w:rFonts w:ascii="Book Antiqua" w:hAnsi="Book Antiqua"/>
          <w:lang w:val="es-PR"/>
        </w:rPr>
        <w:t>Ahora bien, según se desprende del Informe Final del Proceso de Transición del Gobierno de Puerto Rico, sometido el 27 de enero de 2025, en su página 287, actualmente la Comisión Industrial de Puerto Rico enfrenta limitaciones en la asignación y gestión presupuestaria, que han provocado:</w:t>
      </w:r>
    </w:p>
    <w:p w14:paraId="0419C6D1" w14:textId="77777777" w:rsidR="003B44CF" w:rsidRPr="00076DAA" w:rsidRDefault="003B44CF" w:rsidP="00CE133F">
      <w:pPr>
        <w:spacing w:line="360" w:lineRule="auto"/>
        <w:ind w:left="720" w:right="720"/>
        <w:contextualSpacing/>
        <w:jc w:val="both"/>
        <w:rPr>
          <w:rFonts w:ascii="Book Antiqua" w:hAnsi="Book Antiqua"/>
          <w:b/>
          <w:bCs/>
          <w:lang w:val="es-PR"/>
        </w:rPr>
      </w:pPr>
      <w:r>
        <w:rPr>
          <w:rFonts w:ascii="Book Antiqua" w:hAnsi="Book Antiqua"/>
          <w:lang w:val="es-PR"/>
        </w:rPr>
        <w:t>“…[</w:t>
      </w:r>
      <w:r w:rsidRPr="00E80D45">
        <w:rPr>
          <w:rFonts w:ascii="Book Antiqua" w:hAnsi="Book Antiqua"/>
          <w:lang w:val="es-PR"/>
        </w:rPr>
        <w:t>p</w:t>
      </w:r>
      <w:r>
        <w:rPr>
          <w:rFonts w:ascii="Book Antiqua" w:hAnsi="Book Antiqua"/>
          <w:lang w:val="es-PR"/>
        </w:rPr>
        <w:t>]</w:t>
      </w:r>
      <w:proofErr w:type="spellStart"/>
      <w:r w:rsidRPr="00E80D45">
        <w:rPr>
          <w:rFonts w:ascii="Book Antiqua" w:hAnsi="Book Antiqua"/>
          <w:lang w:val="es-PR"/>
        </w:rPr>
        <w:t>roblemas</w:t>
      </w:r>
      <w:proofErr w:type="spellEnd"/>
      <w:r w:rsidRPr="00E80D45">
        <w:rPr>
          <w:rFonts w:ascii="Book Antiqua" w:hAnsi="Book Antiqua"/>
          <w:lang w:val="es-PR"/>
        </w:rPr>
        <w:t xml:space="preserve"> recurrentes relacionados con la dependencia en la remesa presupuestaria de la Corporación del Fondo del Seguro del Estado (CFSE), la cual </w:t>
      </w:r>
      <w:r w:rsidRPr="00076DAA">
        <w:rPr>
          <w:rFonts w:ascii="Book Antiqua" w:hAnsi="Book Antiqua"/>
          <w:b/>
          <w:bCs/>
          <w:lang w:val="es-PR"/>
        </w:rPr>
        <w:t>es transferida de manera fragmentada y sujeta a aprobaciones externas</w:t>
      </w:r>
      <w:r w:rsidRPr="00E80D45">
        <w:rPr>
          <w:rFonts w:ascii="Book Antiqua" w:hAnsi="Book Antiqua"/>
          <w:lang w:val="es-PR"/>
        </w:rPr>
        <w:t xml:space="preserve">. Esto ha causado, en ocasiones, retrasos en el pago a suplidores y dificultades para cumplir con la nómina, especialmente en periodos críticos del año fiscal. Adicionalmente, la gestión del presupuesto a través del </w:t>
      </w:r>
      <w:r w:rsidRPr="00076DAA">
        <w:rPr>
          <w:rFonts w:ascii="Book Antiqua" w:hAnsi="Book Antiqua"/>
          <w:b/>
          <w:bCs/>
          <w:lang w:val="es-PR"/>
        </w:rPr>
        <w:t>Departamento de Hacienda introduce restricciones burocráticas que limitan la capacidad de la Comisión para manejar sus recursos con autonomía y agilidad</w:t>
      </w:r>
      <w:r>
        <w:rPr>
          <w:rFonts w:ascii="Book Antiqua" w:hAnsi="Book Antiqua"/>
          <w:lang w:val="es-PR"/>
        </w:rPr>
        <w:t xml:space="preserve">.” </w:t>
      </w:r>
      <w:r>
        <w:rPr>
          <w:rFonts w:ascii="Book Antiqua" w:hAnsi="Book Antiqua"/>
          <w:b/>
          <w:bCs/>
          <w:lang w:val="es-PR"/>
        </w:rPr>
        <w:t>(Énfasis suplido)</w:t>
      </w:r>
    </w:p>
    <w:p w14:paraId="6BECEC35" w14:textId="77777777" w:rsidR="003B44CF" w:rsidRPr="009C10A1" w:rsidRDefault="003B44CF" w:rsidP="00CE133F">
      <w:pPr>
        <w:spacing w:line="360" w:lineRule="auto"/>
        <w:ind w:left="720" w:right="720"/>
        <w:contextualSpacing/>
        <w:jc w:val="both"/>
        <w:rPr>
          <w:rFonts w:ascii="Book Antiqua" w:hAnsi="Book Antiqua"/>
          <w:sz w:val="12"/>
          <w:szCs w:val="12"/>
          <w:lang w:val="es-PR"/>
        </w:rPr>
      </w:pPr>
    </w:p>
    <w:p w14:paraId="7B2E9480" w14:textId="77777777" w:rsidR="003B44CF" w:rsidRDefault="003B44CF" w:rsidP="009C10A1">
      <w:pPr>
        <w:spacing w:after="200" w:line="360" w:lineRule="auto"/>
        <w:ind w:firstLine="540"/>
        <w:jc w:val="both"/>
        <w:rPr>
          <w:rFonts w:ascii="Book Antiqua" w:eastAsia="Book Antiqua" w:hAnsi="Book Antiqua" w:cs="Book Antiqua"/>
          <w:color w:val="000000"/>
          <w:lang w:val="es-PR"/>
        </w:rPr>
      </w:pPr>
      <w:r w:rsidRPr="00C5444E">
        <w:rPr>
          <w:rFonts w:ascii="Book Antiqua" w:eastAsia="Book Antiqua" w:hAnsi="Book Antiqua" w:cs="Book Antiqua"/>
          <w:color w:val="000000"/>
          <w:lang w:val="es-PR"/>
        </w:rPr>
        <w:t xml:space="preserve">Esta Asamblea Legislativa reconoce la importancia </w:t>
      </w:r>
      <w:r>
        <w:rPr>
          <w:rFonts w:ascii="Book Antiqua" w:eastAsiaTheme="minorHAnsi" w:hAnsi="Book Antiqua" w:cstheme="minorBidi"/>
          <w:kern w:val="2"/>
          <w:szCs w:val="24"/>
          <w:lang w:val="es-PR"/>
          <w14:ligatures w14:val="standardContextual"/>
        </w:rPr>
        <w:t xml:space="preserve">de promover un gobierno más ágil y eficiente, por lo cual resulta meritorio que esta ejerza su prerrogativa constitucional para reorganizar el proceso presupuestario bajo el cual ha operado la Comisión Industrial del Gobierno de Puerto Rico. </w:t>
      </w:r>
      <w:r w:rsidRPr="00C5444E">
        <w:rPr>
          <w:rFonts w:ascii="Book Antiqua" w:eastAsia="Book Antiqua" w:hAnsi="Book Antiqua" w:cs="Book Antiqua"/>
          <w:color w:val="000000"/>
          <w:lang w:val="es-PR"/>
        </w:rPr>
        <w:t xml:space="preserve">Por ello, considera meritorio </w:t>
      </w:r>
      <w:r>
        <w:rPr>
          <w:rFonts w:ascii="Book Antiqua" w:eastAsia="Book Antiqua" w:hAnsi="Book Antiqua" w:cs="Book Antiqua"/>
          <w:color w:val="000000"/>
          <w:lang w:val="es-PR"/>
        </w:rPr>
        <w:t xml:space="preserve">aprobar toda legislación </w:t>
      </w:r>
      <w:r>
        <w:rPr>
          <w:rFonts w:ascii="Book Antiqua" w:eastAsia="Book Antiqua" w:hAnsi="Book Antiqua" w:cs="Book Antiqua"/>
          <w:color w:val="000000"/>
          <w:lang w:val="es-PR"/>
        </w:rPr>
        <w:lastRenderedPageBreak/>
        <w:t>necesaria, que redunden en mejorar la eficiencia gubernamental, y aquellas que redunden en condiciones más favorables para el ambiente para hacer negocios en la Isla, y las relaciones obrero-patronales.</w:t>
      </w:r>
    </w:p>
    <w:p w14:paraId="6AA32E6F" w14:textId="02F4BA1E" w:rsidR="00E028DD" w:rsidRPr="00CE133F" w:rsidRDefault="0083082B" w:rsidP="00C91865">
      <w:pPr>
        <w:spacing w:line="480" w:lineRule="auto"/>
        <w:jc w:val="both"/>
        <w:rPr>
          <w:rFonts w:ascii="Book Antiqua" w:hAnsi="Book Antiqua"/>
          <w:b/>
          <w:bCs/>
          <w:iCs/>
          <w:lang w:val="es-PR"/>
        </w:rPr>
      </w:pPr>
      <w:r w:rsidRPr="00CE133F">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43F44A72" w14:textId="0C6DB9AE" w:rsidR="003B44CF" w:rsidRDefault="003B44CF" w:rsidP="003B44CF">
      <w:pPr>
        <w:pStyle w:val="BodyText"/>
        <w:ind w:firstLine="720"/>
        <w:rPr>
          <w:rFonts w:ascii="Book Antiqua" w:hAnsi="Book Antiqua"/>
          <w:color w:val="000000"/>
          <w:lang w:val="es-ES"/>
        </w:rPr>
      </w:pPr>
      <w:bookmarkStart w:id="0" w:name="{20D8}"/>
      <w:bookmarkStart w:id="1" w:name="_Hlk189832381"/>
      <w:bookmarkStart w:id="2" w:name="_Hlk206434876"/>
      <w:r w:rsidRPr="00532372">
        <w:rPr>
          <w:rFonts w:ascii="Book Antiqua" w:hAnsi="Book Antiqua"/>
          <w:color w:val="000000"/>
          <w:lang w:val="es-ES"/>
        </w:rPr>
        <w:t xml:space="preserve">Sección 1.- Se enmienda el Artículo </w:t>
      </w:r>
      <w:r>
        <w:rPr>
          <w:rFonts w:ascii="Book Antiqua" w:hAnsi="Book Antiqua"/>
          <w:color w:val="000000"/>
          <w:lang w:val="es-ES"/>
        </w:rPr>
        <w:t>6</w:t>
      </w:r>
      <w:r w:rsidRPr="00532372">
        <w:rPr>
          <w:rFonts w:ascii="Book Antiqua" w:hAnsi="Book Antiqua"/>
          <w:color w:val="000000"/>
          <w:lang w:val="es-ES"/>
        </w:rPr>
        <w:t xml:space="preserve"> de la Ley </w:t>
      </w:r>
      <w:r>
        <w:rPr>
          <w:rFonts w:ascii="Book Antiqua" w:hAnsi="Book Antiqua"/>
          <w:color w:val="000000"/>
          <w:lang w:val="es-ES"/>
        </w:rPr>
        <w:t>45-1935</w:t>
      </w:r>
      <w:r w:rsidRPr="00532372">
        <w:rPr>
          <w:rFonts w:ascii="Book Antiqua" w:hAnsi="Book Antiqua"/>
          <w:color w:val="000000"/>
          <w:lang w:val="es-ES"/>
        </w:rPr>
        <w:t>, según enmendada, conocida como</w:t>
      </w:r>
      <w:r>
        <w:rPr>
          <w:rFonts w:ascii="Book Antiqua" w:hAnsi="Book Antiqua"/>
          <w:color w:val="000000"/>
          <w:lang w:val="es-ES"/>
        </w:rPr>
        <w:t xml:space="preserve"> “Ley de Compensaciones por Accidentes del Trabajo”</w:t>
      </w:r>
      <w:r w:rsidRPr="00532372">
        <w:rPr>
          <w:rFonts w:ascii="Book Antiqua" w:hAnsi="Book Antiqua"/>
          <w:color w:val="000000"/>
          <w:lang w:val="es-ES"/>
        </w:rPr>
        <w:t xml:space="preserve"> para que se lea como sigue:</w:t>
      </w:r>
    </w:p>
    <w:p w14:paraId="0DD8E33D" w14:textId="5AA60DED" w:rsidR="003B44CF" w:rsidRPr="00253B4D" w:rsidRDefault="003B44CF" w:rsidP="003B44CF">
      <w:pPr>
        <w:pStyle w:val="BodyText"/>
        <w:ind w:firstLine="720"/>
        <w:rPr>
          <w:rFonts w:ascii="Book Antiqua" w:hAnsi="Book Antiqua"/>
          <w:color w:val="000000"/>
          <w:lang w:val="es-ES"/>
        </w:rPr>
      </w:pPr>
      <w:r w:rsidRPr="003B44CF">
        <w:rPr>
          <w:rFonts w:ascii="Book Antiqua" w:hAnsi="Book Antiqua"/>
          <w:lang w:val="es-PR"/>
        </w:rPr>
        <w:t>“</w:t>
      </w:r>
      <w:bookmarkEnd w:id="0"/>
      <w:bookmarkEnd w:id="1"/>
      <w:r w:rsidRPr="003B44CF">
        <w:rPr>
          <w:rFonts w:ascii="Book Antiqua" w:hAnsi="Book Antiqua"/>
          <w:lang w:val="es-PR"/>
        </w:rPr>
        <w:t>Artículo 6.</w:t>
      </w:r>
      <w:r w:rsidR="009C10A1">
        <w:rPr>
          <w:rFonts w:ascii="Book Antiqua" w:hAnsi="Book Antiqua"/>
          <w:lang w:val="es-PR"/>
        </w:rPr>
        <w:t>-</w:t>
      </w:r>
      <w:r w:rsidRPr="003B44CF">
        <w:rPr>
          <w:rFonts w:ascii="Book Antiqua" w:hAnsi="Book Antiqua"/>
          <w:lang w:val="es-PR"/>
        </w:rPr>
        <w:t xml:space="preserve"> Organización del Servicios de Compensaciones a Obreros; Administrador del Fondo del Seguro del Estado; Comisión Industrial. </w:t>
      </w:r>
    </w:p>
    <w:p w14:paraId="54925D3F" w14:textId="77777777" w:rsidR="003B44CF" w:rsidRDefault="003B44CF" w:rsidP="003B44CF">
      <w:pPr>
        <w:pStyle w:val="ListParagraph"/>
        <w:numPr>
          <w:ilvl w:val="0"/>
          <w:numId w:val="23"/>
        </w:numPr>
        <w:spacing w:line="480" w:lineRule="auto"/>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Organismos de Servicio</w:t>
      </w:r>
    </w:p>
    <w:p w14:paraId="0E101BAC" w14:textId="77777777" w:rsidR="003B44CF" w:rsidRPr="000C003F" w:rsidRDefault="003B44CF" w:rsidP="003B44CF">
      <w:pPr>
        <w:pStyle w:val="ListParagraph"/>
        <w:spacing w:line="480" w:lineRule="auto"/>
        <w:ind w:left="126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La prestación de servicios de compensaciones a obreros y empleados estará a cargo de los siguientes organismos:</w:t>
      </w:r>
    </w:p>
    <w:p w14:paraId="1B024A89" w14:textId="77777777" w:rsidR="003B44CF" w:rsidRPr="00CF5FA4" w:rsidRDefault="003B44CF" w:rsidP="003B44CF">
      <w:pPr>
        <w:pStyle w:val="ListParagraph"/>
        <w:numPr>
          <w:ilvl w:val="0"/>
          <w:numId w:val="24"/>
        </w:numPr>
        <w:spacing w:line="480" w:lineRule="auto"/>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w:t>
      </w:r>
    </w:p>
    <w:p w14:paraId="41F23453" w14:textId="77777777" w:rsidR="003B44CF" w:rsidRDefault="003B44CF" w:rsidP="003B44CF">
      <w:pPr>
        <w:tabs>
          <w:tab w:val="left" w:pos="7860"/>
        </w:tabs>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(B) Comisión Industrial</w:t>
      </w:r>
      <w:r>
        <w:rPr>
          <w:rFonts w:ascii="Book Antiqua" w:eastAsiaTheme="minorHAnsi" w:hAnsi="Book Antiqua" w:cstheme="minorBidi"/>
          <w:kern w:val="2"/>
          <w:szCs w:val="24"/>
          <w:lang w:val="es-PR"/>
          <w14:ligatures w14:val="standardContextual"/>
        </w:rPr>
        <w:tab/>
      </w:r>
    </w:p>
    <w:p w14:paraId="03CE23BB" w14:textId="77777777" w:rsidR="003B44C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(1) …</w:t>
      </w:r>
    </w:p>
    <w:p w14:paraId="163D6CAA" w14:textId="77777777" w:rsidR="003B44C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 xml:space="preserve">(2) </w:t>
      </w:r>
      <w:r w:rsidRPr="009379F6">
        <w:rPr>
          <w:rFonts w:ascii="Book Antiqua" w:hAnsi="Book Antiqua"/>
          <w:lang w:val="es-PR"/>
        </w:rPr>
        <w:t>Presupuesto de la Comisión Industrial. —</w:t>
      </w:r>
    </w:p>
    <w:p w14:paraId="4D7E8448" w14:textId="77777777" w:rsidR="003B44CF" w:rsidRDefault="003B44CF" w:rsidP="00F94D88">
      <w:pPr>
        <w:spacing w:line="480" w:lineRule="auto"/>
        <w:ind w:left="720" w:firstLine="72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(a)…</w:t>
      </w:r>
    </w:p>
    <w:p w14:paraId="09A5A5C9" w14:textId="77777777" w:rsidR="003B44CF" w:rsidRPr="001C6C66" w:rsidRDefault="003B44CF" w:rsidP="003B44CF">
      <w:pPr>
        <w:spacing w:line="480" w:lineRule="auto"/>
        <w:ind w:left="720" w:firstLine="720"/>
        <w:jc w:val="both"/>
        <w:rPr>
          <w:rFonts w:ascii="Book Antiqua" w:hAnsi="Book Antiqua"/>
          <w:i/>
          <w:iCs/>
          <w:szCs w:val="24"/>
          <w:lang w:val="es-PR"/>
        </w:rPr>
      </w:pPr>
      <w:r>
        <w:rPr>
          <w:rFonts w:ascii="Book Antiqua" w:eastAsiaTheme="minorHAnsi" w:hAnsi="Book Antiqua" w:cstheme="minorBidi"/>
          <w:kern w:val="2"/>
          <w:szCs w:val="24"/>
          <w:lang w:val="es-PR"/>
          <w14:ligatures w14:val="standardContextual"/>
        </w:rPr>
        <w:t xml:space="preserve">(b) </w:t>
      </w:r>
      <w:r w:rsidRPr="00E90E33">
        <w:rPr>
          <w:rFonts w:ascii="Book Antiqua" w:hAnsi="Book Antiqua"/>
          <w:szCs w:val="24"/>
          <w:lang w:val="es-PR"/>
        </w:rPr>
        <w:t>La Corporación mantendrá una cuenta especial de la cual transferirá el Secretario de Hacienda una cantidad para cubrir los gastos de la Comisión Industrial</w:t>
      </w:r>
      <w:r w:rsidRPr="00E90E33">
        <w:rPr>
          <w:rFonts w:ascii="Book Antiqua" w:hAnsi="Book Antiqua"/>
          <w:b/>
          <w:bCs/>
          <w:szCs w:val="24"/>
          <w:lang w:val="es-PR"/>
        </w:rPr>
        <w:t xml:space="preserve">; una cantidad que no excederá del presupuesto aprobado por la Asamblea Legislativa a del cuatro (4) por ciento del total ingresado por concepto de primas de la Corporación durante el año económico anterior, de las dos </w:t>
      </w:r>
      <w:r w:rsidRPr="00E90E33">
        <w:rPr>
          <w:rFonts w:ascii="Book Antiqua" w:hAnsi="Book Antiqua"/>
          <w:b/>
          <w:bCs/>
          <w:szCs w:val="24"/>
          <w:lang w:val="es-PR"/>
        </w:rPr>
        <w:lastRenderedPageBreak/>
        <w:t xml:space="preserve">cantidades la que sea menor. Si el presupuesto autorizado fuera mayor que la cantidad transferida por la Corporación, la diferencia se cargará al presupuesto general. </w:t>
      </w:r>
      <w:r w:rsidRPr="00E90E33">
        <w:rPr>
          <w:rFonts w:ascii="Book Antiqua" w:hAnsi="Book Antiqua"/>
          <w:i/>
          <w:iCs/>
          <w:szCs w:val="24"/>
          <w:lang w:val="es-PR"/>
        </w:rPr>
        <w:t>El presupuesto operacional de la Comisión Industrial será igual al cuatro (4) por ciento de los ingresos de la Corporación por concepto del pago de primas durante el año fiscal precedente. A esos efectos, no más tarde del 1ro de marzo de cada año, la Corporación certificará su estimado de ingresos por lo que resta del año fiscal, en aras de proyectar la remesa anual a emitirse a la Comisión Industrial no más tarde del 15 de agosto de ese mismo año. De los ingresos ser distintos a los proyectados, la Corporación deberá hacer los ajustes pertinentes en aras de siempre cumplir con la exigencia precisa de remitir ese cuatro (4) por ciento a la Comisión Industrial. Más aún, en caso de que al 15 de agosto la Corporación no esté en posición de poder enviar la remesa anual a la Comisión Industrial, en o antes del 31 de agosto ésta le enviará una remesa parcial a la Comisión Industrial correspondiente al cincuenta por ciento (50%) de la proyección certificada y la remesa restante la enviará no más tarde del 30 de noviembre del mismo año. Toda remesa enviada conforme a lo antes dispuesto deberá ser certificada debidamente por la Corporación.</w:t>
      </w:r>
    </w:p>
    <w:p w14:paraId="32D5CB84" w14:textId="77777777" w:rsidR="003B44C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(c) …</w:t>
      </w:r>
    </w:p>
    <w:p w14:paraId="4EED42F8" w14:textId="6A4C50D9"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Sección 2.</w:t>
      </w:r>
      <w:r w:rsidR="009C10A1">
        <w:rPr>
          <w:rFonts w:ascii="Book Antiqua" w:hAnsi="Book Antiqua"/>
          <w:lang w:val="es-PR"/>
        </w:rPr>
        <w:t>-</w:t>
      </w:r>
      <w:r w:rsidRPr="003B44CF">
        <w:rPr>
          <w:rFonts w:ascii="Book Antiqua" w:hAnsi="Book Antiqua"/>
          <w:lang w:val="es-PR"/>
        </w:rPr>
        <w:t xml:space="preserve"> Supremacía.</w:t>
      </w:r>
    </w:p>
    <w:p w14:paraId="7F2F10E3" w14:textId="5A956AEA"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Las disposiciones de esta Ley prevalecerán sobre cualquier otra disposición de ley o reglamento que no estuviere en armonía con lo aquí establecido.</w:t>
      </w:r>
    </w:p>
    <w:p w14:paraId="4BA7CAC7" w14:textId="2EEE1772"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Sección 3.</w:t>
      </w:r>
      <w:r w:rsidR="009C10A1">
        <w:rPr>
          <w:rFonts w:ascii="Book Antiqua" w:hAnsi="Book Antiqua"/>
          <w:lang w:val="es-PR"/>
        </w:rPr>
        <w:t xml:space="preserve">- </w:t>
      </w:r>
      <w:r w:rsidRPr="003B44CF">
        <w:rPr>
          <w:rFonts w:ascii="Book Antiqua" w:hAnsi="Book Antiqua"/>
          <w:lang w:val="es-PR"/>
        </w:rPr>
        <w:t>Vigencia.</w:t>
      </w:r>
    </w:p>
    <w:p w14:paraId="6036CCA5" w14:textId="1F833A4D" w:rsidR="00C91865" w:rsidRPr="00EB4B50" w:rsidRDefault="009C10A1" w:rsidP="003B44CF">
      <w:pPr>
        <w:pStyle w:val="BodyText"/>
        <w:rPr>
          <w:rFonts w:ascii="Book Antiqua" w:hAnsi="Book Antiqua"/>
          <w:lang w:val="es-PR"/>
        </w:rPr>
      </w:pPr>
      <w:r>
        <w:rPr>
          <w:rFonts w:ascii="Book Antiqua" w:hAnsi="Book Antiqua"/>
          <w:lang w:val="es-PR"/>
        </w:rPr>
        <w:tab/>
      </w:r>
      <w:r w:rsidR="003B44CF" w:rsidRPr="003B44CF">
        <w:rPr>
          <w:rFonts w:ascii="Book Antiqua" w:hAnsi="Book Antiqua"/>
          <w:lang w:val="es-PR"/>
        </w:rPr>
        <w:t>Esta Ley entrará en vigor inmediatamente después de su aprobación.</w:t>
      </w:r>
      <w:bookmarkEnd w:id="2"/>
    </w:p>
    <w:sectPr w:rsidR="00C91865" w:rsidRPr="00EB4B50" w:rsidSect="003B44CF">
      <w:footerReference w:type="default" r:id="rId15"/>
      <w:footerReference w:type="first" r:id="rI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BB123" w14:textId="77777777" w:rsidR="00484A39" w:rsidRDefault="00484A39">
      <w:r>
        <w:separator/>
      </w:r>
    </w:p>
  </w:endnote>
  <w:endnote w:type="continuationSeparator" w:id="0">
    <w:p w14:paraId="71D7C821" w14:textId="77777777" w:rsidR="00484A39" w:rsidRDefault="00484A39">
      <w:r>
        <w:continuationSeparator/>
      </w:r>
    </w:p>
  </w:endnote>
  <w:endnote w:type="continuationNotice" w:id="1">
    <w:p w14:paraId="0276C8B0" w14:textId="77777777" w:rsidR="00484A39" w:rsidRDefault="00484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60C70" w14:textId="77777777" w:rsidR="003B44CF" w:rsidRDefault="003B44CF">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3B44CF" w14:paraId="052A4BB0" w14:textId="77777777">
      <w:trPr>
        <w:trHeight w:val="300"/>
      </w:trPr>
      <w:tc>
        <w:tcPr>
          <w:tcW w:w="3120" w:type="dxa"/>
          <w:tcMar>
            <w:top w:w="0" w:type="dxa"/>
            <w:left w:w="108" w:type="dxa"/>
            <w:bottom w:w="0" w:type="dxa"/>
            <w:right w:w="108" w:type="dxa"/>
          </w:tcMar>
        </w:tcPr>
        <w:p w14:paraId="76780A36" w14:textId="77777777" w:rsidR="003B44CF" w:rsidRPr="00C5444E" w:rsidRDefault="003B44CF">
          <w:pPr>
            <w:tabs>
              <w:tab w:val="center" w:pos="4320"/>
              <w:tab w:val="right" w:pos="8640"/>
            </w:tabs>
            <w:ind w:left="-115"/>
            <w:rPr>
              <w:color w:val="000000"/>
            </w:rPr>
          </w:pPr>
        </w:p>
      </w:tc>
      <w:tc>
        <w:tcPr>
          <w:tcW w:w="3120" w:type="dxa"/>
          <w:tcMar>
            <w:top w:w="0" w:type="dxa"/>
            <w:left w:w="108" w:type="dxa"/>
            <w:bottom w:w="0" w:type="dxa"/>
            <w:right w:w="108" w:type="dxa"/>
          </w:tcMar>
        </w:tcPr>
        <w:p w14:paraId="762CBE89" w14:textId="77777777" w:rsidR="003B44CF" w:rsidRPr="00C5444E" w:rsidRDefault="003B44CF">
          <w:pPr>
            <w:tabs>
              <w:tab w:val="center" w:pos="4320"/>
              <w:tab w:val="right" w:pos="8640"/>
            </w:tabs>
            <w:jc w:val="center"/>
            <w:rPr>
              <w:color w:val="000000"/>
            </w:rPr>
          </w:pPr>
        </w:p>
      </w:tc>
      <w:tc>
        <w:tcPr>
          <w:tcW w:w="3120" w:type="dxa"/>
          <w:tcMar>
            <w:top w:w="0" w:type="dxa"/>
            <w:left w:w="108" w:type="dxa"/>
            <w:bottom w:w="0" w:type="dxa"/>
            <w:right w:w="108" w:type="dxa"/>
          </w:tcMar>
        </w:tcPr>
        <w:p w14:paraId="2D9696F7" w14:textId="77777777" w:rsidR="003B44CF" w:rsidRPr="00C5444E" w:rsidRDefault="003B44CF">
          <w:pPr>
            <w:tabs>
              <w:tab w:val="center" w:pos="4320"/>
              <w:tab w:val="right" w:pos="8640"/>
            </w:tabs>
            <w:ind w:right="-115"/>
            <w:jc w:val="right"/>
            <w:rPr>
              <w:color w:val="000000"/>
            </w:rPr>
          </w:pPr>
        </w:p>
      </w:tc>
    </w:tr>
  </w:tbl>
  <w:p w14:paraId="42A65D21" w14:textId="77777777" w:rsidR="003B44CF" w:rsidRDefault="003B44C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EAA78" w14:textId="77777777" w:rsidR="003B44CF" w:rsidRDefault="003B44CF">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3B44CF" w14:paraId="1921871F" w14:textId="77777777">
      <w:trPr>
        <w:trHeight w:val="300"/>
      </w:trPr>
      <w:tc>
        <w:tcPr>
          <w:tcW w:w="3120" w:type="dxa"/>
          <w:tcMar>
            <w:top w:w="0" w:type="dxa"/>
            <w:left w:w="108" w:type="dxa"/>
            <w:bottom w:w="0" w:type="dxa"/>
            <w:right w:w="108" w:type="dxa"/>
          </w:tcMar>
        </w:tcPr>
        <w:p w14:paraId="50CE74AB" w14:textId="77777777" w:rsidR="003B44CF" w:rsidRPr="00C5444E" w:rsidRDefault="003B44CF">
          <w:pPr>
            <w:tabs>
              <w:tab w:val="center" w:pos="4320"/>
              <w:tab w:val="right" w:pos="8640"/>
            </w:tabs>
            <w:ind w:left="-115"/>
            <w:rPr>
              <w:color w:val="000000"/>
            </w:rPr>
          </w:pPr>
        </w:p>
      </w:tc>
      <w:tc>
        <w:tcPr>
          <w:tcW w:w="3120" w:type="dxa"/>
          <w:tcMar>
            <w:top w:w="0" w:type="dxa"/>
            <w:left w:w="108" w:type="dxa"/>
            <w:bottom w:w="0" w:type="dxa"/>
            <w:right w:w="108" w:type="dxa"/>
          </w:tcMar>
        </w:tcPr>
        <w:p w14:paraId="1B5EA202" w14:textId="77777777" w:rsidR="003B44CF" w:rsidRPr="00C5444E" w:rsidRDefault="003B44CF">
          <w:pPr>
            <w:tabs>
              <w:tab w:val="center" w:pos="4320"/>
              <w:tab w:val="right" w:pos="8640"/>
            </w:tabs>
            <w:jc w:val="center"/>
            <w:rPr>
              <w:color w:val="000000"/>
            </w:rPr>
          </w:pPr>
        </w:p>
      </w:tc>
      <w:tc>
        <w:tcPr>
          <w:tcW w:w="3120" w:type="dxa"/>
          <w:tcMar>
            <w:top w:w="0" w:type="dxa"/>
            <w:left w:w="108" w:type="dxa"/>
            <w:bottom w:w="0" w:type="dxa"/>
            <w:right w:w="108" w:type="dxa"/>
          </w:tcMar>
        </w:tcPr>
        <w:p w14:paraId="1879F10F" w14:textId="77777777" w:rsidR="003B44CF" w:rsidRPr="00C5444E" w:rsidRDefault="003B44CF">
          <w:pPr>
            <w:tabs>
              <w:tab w:val="center" w:pos="4320"/>
              <w:tab w:val="right" w:pos="8640"/>
            </w:tabs>
            <w:ind w:right="-115"/>
            <w:jc w:val="right"/>
            <w:rPr>
              <w:color w:val="000000"/>
            </w:rPr>
          </w:pPr>
        </w:p>
      </w:tc>
    </w:tr>
  </w:tbl>
  <w:p w14:paraId="36496C5B" w14:textId="77777777" w:rsidR="003B44CF" w:rsidRDefault="003B44C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050B7" w14:textId="77777777" w:rsidR="00484A39" w:rsidRDefault="00484A39">
      <w:r>
        <w:separator/>
      </w:r>
    </w:p>
  </w:footnote>
  <w:footnote w:type="continuationSeparator" w:id="0">
    <w:p w14:paraId="6747FB24" w14:textId="77777777" w:rsidR="00484A39" w:rsidRDefault="00484A39">
      <w:r>
        <w:continuationSeparator/>
      </w:r>
    </w:p>
  </w:footnote>
  <w:footnote w:type="continuationNotice" w:id="1">
    <w:p w14:paraId="290DE891" w14:textId="77777777" w:rsidR="00484A39" w:rsidRDefault="00484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239A1EAD" w:rsidR="007F61B2" w:rsidRPr="00C60B4E" w:rsidRDefault="00C60B4E" w:rsidP="00C60B4E">
    <w:pPr>
      <w:pStyle w:val="Header"/>
      <w:jc w:val="right"/>
      <w:rPr>
        <w:lang w:val="en-US"/>
      </w:rPr>
    </w:pPr>
    <w:r>
      <w:rPr>
        <w:lang w:val="en-US"/>
      </w:rPr>
      <w:t>A-0</w:t>
    </w:r>
    <w:r w:rsidR="00793FB1">
      <w:rPr>
        <w:lang w:val="en-US"/>
      </w:rPr>
      <w:t>9</w:t>
    </w:r>
    <w:r w:rsidR="00057584">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4"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5"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3"/>
  </w:num>
  <w:num w:numId="2" w16cid:durableId="2037927756">
    <w:abstractNumId w:val="10"/>
  </w:num>
  <w:num w:numId="3" w16cid:durableId="508376565">
    <w:abstractNumId w:val="15"/>
  </w:num>
  <w:num w:numId="4" w16cid:durableId="216819222">
    <w:abstractNumId w:val="11"/>
  </w:num>
  <w:num w:numId="5" w16cid:durableId="517544549">
    <w:abstractNumId w:val="21"/>
  </w:num>
  <w:num w:numId="6" w16cid:durableId="478498451">
    <w:abstractNumId w:val="9"/>
  </w:num>
  <w:num w:numId="7" w16cid:durableId="46998239">
    <w:abstractNumId w:val="23"/>
  </w:num>
  <w:num w:numId="8" w16cid:durableId="275597364">
    <w:abstractNumId w:val="5"/>
  </w:num>
  <w:num w:numId="9" w16cid:durableId="1126703027">
    <w:abstractNumId w:val="3"/>
  </w:num>
  <w:num w:numId="10" w16cid:durableId="1162702400">
    <w:abstractNumId w:val="6"/>
  </w:num>
  <w:num w:numId="11" w16cid:durableId="2055156664">
    <w:abstractNumId w:val="16"/>
  </w:num>
  <w:num w:numId="12" w16cid:durableId="1121461949">
    <w:abstractNumId w:val="18"/>
  </w:num>
  <w:num w:numId="13" w16cid:durableId="261303919">
    <w:abstractNumId w:val="4"/>
  </w:num>
  <w:num w:numId="14" w16cid:durableId="1608542314">
    <w:abstractNumId w:val="0"/>
  </w:num>
  <w:num w:numId="15" w16cid:durableId="687564547">
    <w:abstractNumId w:val="1"/>
  </w:num>
  <w:num w:numId="16" w16cid:durableId="273637373">
    <w:abstractNumId w:val="12"/>
  </w:num>
  <w:num w:numId="17" w16cid:durableId="1320235784">
    <w:abstractNumId w:val="19"/>
  </w:num>
  <w:num w:numId="18" w16cid:durableId="1401176248">
    <w:abstractNumId w:val="20"/>
  </w:num>
  <w:num w:numId="19" w16cid:durableId="376929053">
    <w:abstractNumId w:val="14"/>
  </w:num>
  <w:num w:numId="20" w16cid:durableId="262231328">
    <w:abstractNumId w:val="17"/>
  </w:num>
  <w:num w:numId="21" w16cid:durableId="2065105753">
    <w:abstractNumId w:val="7"/>
  </w:num>
  <w:num w:numId="22" w16cid:durableId="1804614622">
    <w:abstractNumId w:val="22"/>
  </w:num>
  <w:num w:numId="23" w16cid:durableId="478421519">
    <w:abstractNumId w:val="2"/>
  </w:num>
  <w:num w:numId="24" w16cid:durableId="19038277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D129F"/>
    <w:rsid w:val="000D67C9"/>
    <w:rsid w:val="000E25DA"/>
    <w:rsid w:val="000E5ABE"/>
    <w:rsid w:val="000E6A9E"/>
    <w:rsid w:val="000F2477"/>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6F04"/>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B44CF"/>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4A39"/>
    <w:rsid w:val="004851CC"/>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10A1"/>
    <w:rsid w:val="009C47A8"/>
    <w:rsid w:val="009C54CA"/>
    <w:rsid w:val="009D115E"/>
    <w:rsid w:val="009D659A"/>
    <w:rsid w:val="009E0FA1"/>
    <w:rsid w:val="009E1FC8"/>
    <w:rsid w:val="009F61F7"/>
    <w:rsid w:val="00A03E35"/>
    <w:rsid w:val="00A05CBE"/>
    <w:rsid w:val="00A1720E"/>
    <w:rsid w:val="00A258E7"/>
    <w:rsid w:val="00A30405"/>
    <w:rsid w:val="00A36A5F"/>
    <w:rsid w:val="00A415F2"/>
    <w:rsid w:val="00A43B6B"/>
    <w:rsid w:val="00A43EC5"/>
    <w:rsid w:val="00A47F1B"/>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D224C"/>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133F"/>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94D88"/>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4SQX5P7U7WPY-958212181-822473</_dlc_DocId>
    <_dlc_DocIdUrl xmlns="c890fddd-4e87-4e08-8b51-545f2a3f7b06">
      <Url>https://senpr.sharepoint.com/sites/obralegislativa/_layouts/15/DocIdRedir.aspx?ID=4SQX5P7U7WPY-958212181-822473</Url>
      <Description>4SQX5P7U7WPY-958212181-822473</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2.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A709DDC6-928E-4143-A301-1FA46EEDC443}"/>
</file>

<file path=customXml/itemProps5.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6.xml><?xml version="1.0" encoding="utf-8"?>
<ds:datastoreItem xmlns:ds="http://schemas.openxmlformats.org/officeDocument/2006/customXml" ds:itemID="{B320766C-C554-4E58-82FA-AC8EB64EC27F}"/>
</file>

<file path=docProps/app.xml><?xml version="1.0" encoding="utf-8"?>
<Properties xmlns="http://schemas.openxmlformats.org/officeDocument/2006/extended-properties" xmlns:vt="http://schemas.openxmlformats.org/officeDocument/2006/docPropsVTypes">
  <Template>Normal</Template>
  <TotalTime>6</TotalTime>
  <Pages>4</Pages>
  <Words>1059</Words>
  <Characters>5605</Characters>
  <Application>Microsoft Office Word</Application>
  <DocSecurity>0</DocSecurity>
  <Lines>114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5</cp:revision>
  <cp:lastPrinted>2026-01-12T13:48:00Z</cp:lastPrinted>
  <dcterms:created xsi:type="dcterms:W3CDTF">2026-01-12T17:53:00Z</dcterms:created>
  <dcterms:modified xsi:type="dcterms:W3CDTF">2026-01-14T18:10:00Z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26312a07-e939-4dea-a9ab-80703ee7e3c6</vt:lpwstr>
  </property>
</Properties>
</file>